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云阳县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园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地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林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地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草地基准地价说明</w:t>
      </w:r>
      <w:bookmarkStart w:id="0" w:name="_Hlk49100522"/>
      <w:bookmarkStart w:id="1" w:name="_Toc26920"/>
      <w:bookmarkStart w:id="2" w:name="_Toc1397"/>
      <w:bookmarkStart w:id="3" w:name="_Toc3667"/>
      <w:bookmarkStart w:id="4" w:name="_Toc151988184"/>
      <w:bookmarkStart w:id="5" w:name="_Toc1808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i/>
          <w:i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一、使用范围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云阳县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园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草地基准地价适用于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云阳县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管辖范围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的园地、林地、草地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kern w:val="0"/>
          <w:sz w:val="32"/>
          <w:szCs w:val="32"/>
        </w:rPr>
        <w:t>二、基准地价内涵</w:t>
      </w:r>
    </w:p>
    <w:p>
      <w:pPr>
        <w:pageBreakBefore w:val="0"/>
        <w:kinsoku/>
        <w:wordWrap/>
        <w:topLinePunct w:val="0"/>
        <w:autoSpaceDE/>
        <w:autoSpaceDN/>
        <w:bidi w:val="0"/>
        <w:spacing w:line="578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园地、草地基准地价是在年度土地利用现状变更调查确定的用途下，于某一期日、不同土地级别、设定基本设施状况下，一定年期的承包经营权在当地市场条件下的区域平均价格。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/>
          <w:sz w:val="32"/>
          <w:szCs w:val="32"/>
        </w:rPr>
        <w:t>林地基准地价是在年度土地利用现状变更调查确定的用途下，于某一期日、不同土地级别、设定基本设施状况下，一定年期的承包经营权及地上附着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林地作物</w:t>
      </w:r>
      <w:r>
        <w:rPr>
          <w:rFonts w:hint="eastAsia" w:ascii="Times New Roman" w:hAnsi="Times New Roman" w:eastAsia="方正仿宋_GBK"/>
          <w:sz w:val="32"/>
          <w:szCs w:val="32"/>
        </w:rPr>
        <w:t>在当地市场条件下的区域平均价格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jc w:val="center"/>
        <w:textAlignment w:val="center"/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kern w:val="0"/>
          <w:sz w:val="28"/>
          <w:szCs w:val="28"/>
          <w:lang w:val="en-US" w:eastAsia="zh-CN" w:bidi="ar-SA"/>
        </w:rPr>
        <w:t>园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0"/>
          <w:kern w:val="0"/>
          <w:sz w:val="28"/>
          <w:szCs w:val="28"/>
          <w:lang w:val="en-US" w:eastAsia="zh-CN" w:bidi="ar-SA"/>
        </w:rPr>
        <w:t>地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kern w:val="0"/>
          <w:sz w:val="28"/>
          <w:szCs w:val="28"/>
          <w:lang w:val="en-US" w:eastAsia="zh-CN" w:bidi="ar-SA"/>
        </w:rPr>
        <w:t>林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0"/>
          <w:kern w:val="0"/>
          <w:sz w:val="28"/>
          <w:szCs w:val="28"/>
          <w:lang w:val="en-US" w:eastAsia="zh-CN" w:bidi="ar-SA"/>
        </w:rPr>
        <w:t>地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kern w:val="0"/>
          <w:sz w:val="28"/>
          <w:szCs w:val="28"/>
          <w:lang w:val="en-US" w:eastAsia="zh-CN" w:bidi="ar-SA"/>
        </w:rPr>
        <w:t>草地基准地价内涵表</w:t>
      </w:r>
    </w:p>
    <w:tbl>
      <w:tblPr>
        <w:tblStyle w:val="7"/>
        <w:tblW w:w="92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2502"/>
        <w:gridCol w:w="2566"/>
        <w:gridCol w:w="2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项目名</w:t>
            </w:r>
          </w:p>
        </w:tc>
        <w:tc>
          <w:tcPr>
            <w:tcW w:w="25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园地</w:t>
            </w:r>
          </w:p>
        </w:tc>
        <w:tc>
          <w:tcPr>
            <w:tcW w:w="2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林地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草地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估价期日</w:t>
            </w:r>
          </w:p>
        </w:tc>
        <w:tc>
          <w:tcPr>
            <w:tcW w:w="73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2023年1月1日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权利年期</w:t>
            </w:r>
          </w:p>
        </w:tc>
        <w:tc>
          <w:tcPr>
            <w:tcW w:w="25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30年</w:t>
            </w:r>
          </w:p>
        </w:tc>
        <w:tc>
          <w:tcPr>
            <w:tcW w:w="2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70年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权利类型</w:t>
            </w:r>
          </w:p>
        </w:tc>
        <w:tc>
          <w:tcPr>
            <w:tcW w:w="25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园地承包经营权</w:t>
            </w:r>
          </w:p>
        </w:tc>
        <w:tc>
          <w:tcPr>
            <w:tcW w:w="2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林地承包经营权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草地承包经营权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利用类型</w:t>
            </w:r>
          </w:p>
        </w:tc>
        <w:tc>
          <w:tcPr>
            <w:tcW w:w="25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果园、茶园、其他园地</w:t>
            </w:r>
          </w:p>
        </w:tc>
        <w:tc>
          <w:tcPr>
            <w:tcW w:w="2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乔木林地、竹林地、灌木林地、其他林地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其他草地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基础设施状况</w:t>
            </w:r>
          </w:p>
        </w:tc>
        <w:tc>
          <w:tcPr>
            <w:tcW w:w="25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宗地所在区域通路、宗地内土地较平整、有基本的排水与灌溉设施</w:t>
            </w:r>
          </w:p>
        </w:tc>
        <w:tc>
          <w:tcPr>
            <w:tcW w:w="2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宗地所在区域道路通达，宗地内有集材道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宗地所在区域通路、宗地内土地较平整、有基本的排水与灌溉设施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地上附着物状况</w:t>
            </w:r>
          </w:p>
        </w:tc>
        <w:tc>
          <w:tcPr>
            <w:tcW w:w="25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不含地上附着园地作物价值</w:t>
            </w:r>
          </w:p>
        </w:tc>
        <w:tc>
          <w:tcPr>
            <w:tcW w:w="25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包含地上附着林地作物价值（高大乔木或珍贵树种，成熟林）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不含地上附着草地作物价值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土地用途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6" w:name="_Hlk3990094"/>
      <w:bookmarkStart w:id="7" w:name="_Hlk3990194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基准地价的土地用途分为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园地、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林地、草地三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个一级类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eastAsia="zh-CN"/>
        </w:rPr>
        <w:t>（一）</w:t>
      </w:r>
      <w:bookmarkEnd w:id="7"/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val="en-US" w:eastAsia="zh-CN"/>
        </w:rPr>
        <w:t>园地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</w:rPr>
        <w:t>包括果园、茶园和其它园地。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>林地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包括乔木林地、灌木林地、竹林地和其他林地。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>草地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包括其他草地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和人工牧草地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 w:bidi="ar-SA"/>
        </w:rPr>
        <w:t>四、基准地价的应用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运用基准地价系数修正法进行宗地地价评估时，选择对应用途级别的基准地价，并根据宗地实际情况进行交易期日、年期、基础设施状况等修正。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i/>
          <w:i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（一</w:t>
      </w:r>
      <w:r>
        <w:rPr>
          <w:rFonts w:hint="eastAsia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宗地价格计算公式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园地宗地地价=适用的基准地价×期日修正系数×年期修正系数×用地类型修正系数×价格影响因素修正系数+基础设施状况修正值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林地宗地地价=适用的基准地价×期日修正系数×年期修正系数×用地类型修正系数×主导树种修正系数×龄组修正系数×价格影响因素修正系数+基础设施状况修正值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草地宗地地价=适用的基准地价×期日修正系数×年期修正系数×用地类型修正系数×价格影响因素修正系数+基础设施状况修正值</w:t>
      </w:r>
    </w:p>
    <w:bookmarkEnd w:id="0"/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8" w:lineRule="exact"/>
        <w:ind w:left="0" w:firstLine="640" w:firstLineChars="200"/>
        <w:jc w:val="both"/>
        <w:textAlignment w:val="auto"/>
        <w:outlineLvl w:val="2"/>
        <w:rPr>
          <w:rFonts w:hint="eastAsia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</w:rPr>
        <w:t>（二）宗地价格测算中有关参数的确定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8" w:lineRule="exact"/>
        <w:ind w:left="0" w:firstLine="640" w:firstLineChars="200"/>
        <w:jc w:val="both"/>
        <w:textAlignment w:val="auto"/>
        <w:outlineLvl w:val="2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.确定适用的基准地价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8" w:lineRule="exact"/>
        <w:ind w:left="0" w:firstLine="640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根据宗地的现状用途，按照本说明第三条规定的用地类型，确定适用的基准地价用地类型后，再依据公布执行的土地级别，确定对应地类级别应适用的基准地价。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8" w:lineRule="exact"/>
        <w:ind w:left="0" w:firstLine="640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2.确定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用地类型修正系数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宗地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用地类型修正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的，应按照《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用地类型修正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系数表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》确定的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用地类型修正系数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修正。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8" w:lineRule="exact"/>
        <w:ind w:left="0" w:firstLine="640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3.</w:t>
      </w:r>
      <w:bookmarkEnd w:id="1"/>
      <w:bookmarkEnd w:id="2"/>
      <w:bookmarkEnd w:id="3"/>
      <w:bookmarkEnd w:id="4"/>
      <w:bookmarkEnd w:id="5"/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确定交易期日修正系数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期日修正公式如下：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8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bookmarkStart w:id="8" w:name="_Toc69743333"/>
      <w:bookmarkStart w:id="9" w:name="_Toc69312833"/>
      <w:bookmarkStart w:id="10" w:name="_Toc7589"/>
      <w:bookmarkStart w:id="11" w:name="_Toc21193"/>
      <w:bookmarkStart w:id="12" w:name="_Toc69474957"/>
      <w:bookmarkStart w:id="13" w:name="_Toc69891939"/>
      <w:bookmarkStart w:id="14" w:name="_Toc69313033"/>
      <w:bookmarkStart w:id="15" w:name="_Toc69311747"/>
      <m:oMathPara>
        <m:oMath>
          <m:sSub>
            <m:sSubPr>
              <m:ctrlPr>
                <w:rPr>
                  <w:rFonts w:hint="default" w:ascii="Cambria Math" w:hAnsi="Cambria Math" w:eastAsia="方正仿宋_GBK" w:cs="Times New Roman"/>
                  <w:color w:val="000000"/>
                  <w:sz w:val="32"/>
                  <w:szCs w:val="32"/>
                </w:rPr>
              </m:ctrlPr>
            </m:sSubPr>
            <m:e>
              <m:sSub>
                <m:sSubPr>
                  <m:ctrlPr>
                    <w:rPr>
                      <w:rFonts w:hint="default" w:ascii="Cambria Math" w:hAnsi="Cambria Math" w:eastAsia="方正仿宋_GBK" w:cs="Times New Roman"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方正仿宋_GBK" w:cs="Times New Roman"/>
                      <w:color w:val="000000"/>
                      <w:sz w:val="32"/>
                      <w:szCs w:val="32"/>
                    </w:rPr>
                    <m:t>K</m:t>
                  </m:r>
                  <m:ctrlPr>
                    <w:rPr>
                      <w:rFonts w:hint="default" w:ascii="Cambria Math" w:hAnsi="Cambria Math" w:eastAsia="方正仿宋_GBK" w:cs="Times New Roman"/>
                      <w:color w:val="000000"/>
                      <w:sz w:val="32"/>
                      <w:szCs w:val="32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方正仿宋_GBK" w:cs="Times New Roman"/>
                      <w:color w:val="000000"/>
                      <w:sz w:val="32"/>
                      <w:szCs w:val="32"/>
                    </w:rPr>
                    <m:t>1</m:t>
                  </m:r>
                  <m:ctrlPr>
                    <w:rPr>
                      <w:rFonts w:hint="default" w:ascii="Cambria Math" w:hAnsi="Cambria Math" w:eastAsia="方正仿宋_GBK" w:cs="Times New Roman"/>
                      <w:color w:val="000000"/>
                      <w:sz w:val="32"/>
                      <w:szCs w:val="32"/>
                    </w:rPr>
                  </m:ctrlPr>
                </m:sub>
              </m:sSub>
              <m:r>
                <m:rPr>
                  <m:sty m:val="p"/>
                </m:rPr>
                <w:rPr>
                  <w:rFonts w:hint="default" w:ascii="Cambria Math" w:hAnsi="Cambria Math" w:eastAsia="方正仿宋_GBK" w:cs="Times New Roman"/>
                  <w:color w:val="000000"/>
                  <w:sz w:val="32"/>
                  <w:szCs w:val="32"/>
                </w:rPr>
                <m:t>=</m:t>
              </m:r>
              <m:r>
                <m:rPr/>
                <w:rPr>
                  <w:rFonts w:hint="default" w:ascii="Cambria Math" w:hAnsi="Cambria Math" w:eastAsia="方正仿宋_GBK" w:cs="Times New Roman"/>
                  <w:color w:val="000000"/>
                  <w:sz w:val="32"/>
                  <w:szCs w:val="32"/>
                </w:rPr>
                <m:t>l</m:t>
              </m:r>
              <m:ctrlPr>
                <w:rPr>
                  <w:rFonts w:hint="default" w:ascii="Cambria Math" w:hAnsi="Cambria Math" w:eastAsia="方正仿宋_GBK" w:cs="Times New Roman"/>
                  <w:color w:val="000000"/>
                  <w:sz w:val="32"/>
                  <w:szCs w:val="32"/>
                </w:rPr>
              </m:ctrlPr>
            </m:e>
            <m:sub>
              <m:r>
                <m:rPr/>
                <w:rPr>
                  <w:rFonts w:hint="default" w:ascii="Cambria Math" w:hAnsi="Cambria Math" w:eastAsia="方正仿宋_GBK" w:cs="Times New Roman"/>
                  <w:color w:val="000000"/>
                  <w:sz w:val="32"/>
                  <w:szCs w:val="32"/>
                </w:rPr>
                <m:t>p</m:t>
              </m:r>
              <m:ctrlPr>
                <w:rPr>
                  <w:rFonts w:hint="default" w:ascii="Cambria Math" w:hAnsi="Cambria Math" w:eastAsia="方正仿宋_GBK" w:cs="Times New Roman"/>
                  <w:color w:val="000000"/>
                  <w:sz w:val="32"/>
                  <w:szCs w:val="32"/>
                </w:rPr>
              </m:ctrlPr>
            </m:sub>
          </m:sSub>
          <m:r>
            <m:rPr/>
            <w:rPr>
              <w:rFonts w:hint="default" w:ascii="Cambria Math" w:hAnsi="Cambria Math" w:eastAsia="方正仿宋_GBK" w:cs="Times New Roman"/>
              <w:color w:val="000000"/>
              <w:sz w:val="32"/>
              <w:szCs w:val="32"/>
            </w:rPr>
            <m:t>/</m:t>
          </m:r>
          <m:sSub>
            <m:sSubPr>
              <m:ctrlPr>
                <w:rPr>
                  <w:rFonts w:hint="default" w:ascii="Cambria Math" w:hAnsi="Cambria Math" w:eastAsia="方正仿宋_GBK" w:cs="Times New Roman"/>
                  <w:i/>
                  <w:color w:val="000000"/>
                  <w:sz w:val="32"/>
                  <w:szCs w:val="32"/>
                </w:rPr>
              </m:ctrlPr>
            </m:sSubPr>
            <m:e>
              <m:r>
                <m:rPr/>
                <w:rPr>
                  <w:rFonts w:hint="default" w:ascii="Cambria Math" w:hAnsi="Cambria Math" w:eastAsia="方正仿宋_GBK" w:cs="Times New Roman"/>
                  <w:color w:val="000000"/>
                  <w:sz w:val="32"/>
                  <w:szCs w:val="32"/>
                </w:rPr>
                <m:t>l</m:t>
              </m:r>
              <m:ctrlPr>
                <w:rPr>
                  <w:rFonts w:hint="default" w:ascii="Cambria Math" w:hAnsi="Cambria Math" w:eastAsia="方正仿宋_GBK" w:cs="Times New Roman"/>
                  <w:i/>
                  <w:color w:val="000000"/>
                  <w:sz w:val="32"/>
                  <w:szCs w:val="32"/>
                </w:rPr>
              </m:ctrlPr>
            </m:e>
            <m:sub>
              <m:r>
                <m:rPr/>
                <w:rPr>
                  <w:rFonts w:hint="default" w:ascii="Cambria Math" w:hAnsi="Cambria Math" w:eastAsia="方正仿宋_GBK" w:cs="Times New Roman"/>
                  <w:color w:val="000000"/>
                  <w:sz w:val="32"/>
                  <w:szCs w:val="32"/>
                </w:rPr>
                <m:t>b</m:t>
              </m:r>
              <m:ctrlPr>
                <w:rPr>
                  <w:rFonts w:hint="default" w:ascii="Cambria Math" w:hAnsi="Cambria Math" w:eastAsia="方正仿宋_GBK" w:cs="Times New Roman"/>
                  <w:i/>
                  <w:color w:val="000000"/>
                  <w:sz w:val="32"/>
                  <w:szCs w:val="32"/>
                </w:rPr>
              </m:ctrlPr>
            </m:sub>
          </m:sSub>
        </m:oMath>
      </m:oMathPara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式中：K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——期日修正系数；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m:oMath>
        <m:sSub>
          <m:sSubPr>
            <m:ctrlPr>
              <w:rPr>
                <w:rFonts w:hint="default" w:ascii="Cambria Math" w:hAnsi="Cambria Math" w:eastAsia="方正仿宋_GBK" w:cs="Times New Roman"/>
                <w:color w:val="000000"/>
                <w:sz w:val="32"/>
                <w:szCs w:val="32"/>
              </w:rPr>
            </m:ctrlPr>
          </m:sSubPr>
          <m:e>
            <m:r>
              <m:rPr/>
              <w:rPr>
                <w:rFonts w:hint="default" w:ascii="Cambria Math" w:hAnsi="Cambria Math" w:eastAsia="方正仿宋_GBK" w:cs="Times New Roman"/>
                <w:color w:val="000000"/>
                <w:sz w:val="32"/>
                <w:szCs w:val="32"/>
              </w:rPr>
              <m:t>l</m:t>
            </m:r>
            <m:ctrlPr>
              <w:rPr>
                <w:rFonts w:hint="default" w:ascii="Cambria Math" w:hAnsi="Cambria Math" w:eastAsia="方正仿宋_GBK" w:cs="Times New Roman"/>
                <w:color w:val="000000"/>
                <w:sz w:val="32"/>
                <w:szCs w:val="32"/>
              </w:rPr>
            </m:ctrlPr>
          </m:e>
          <m:sub>
            <m:r>
              <m:rPr/>
              <w:rPr>
                <w:rFonts w:hint="default" w:ascii="Cambria Math" w:hAnsi="Cambria Math" w:eastAsia="方正仿宋_GBK" w:cs="Times New Roman"/>
                <w:color w:val="000000"/>
                <w:sz w:val="32"/>
                <w:szCs w:val="32"/>
              </w:rPr>
              <m:t>p</m:t>
            </m:r>
            <m:ctrlPr>
              <w:rPr>
                <w:rFonts w:hint="default" w:ascii="Cambria Math" w:hAnsi="Cambria Math" w:eastAsia="方正仿宋_GBK" w:cs="Times New Roman"/>
                <w:color w:val="000000"/>
                <w:sz w:val="32"/>
                <w:szCs w:val="32"/>
              </w:rPr>
            </m:ctrlPr>
          </m:sub>
        </m:sSub>
      </m:oMath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——宗地估价期日的地价指数；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m:oMath>
        <m:sSub>
          <m:sSubPr>
            <m:ctrlPr>
              <w:rPr>
                <w:rFonts w:hint="default" w:ascii="Cambria Math" w:hAnsi="Cambria Math" w:eastAsia="方正仿宋_GBK" w:cs="Times New Roman"/>
                <w:i/>
                <w:color w:val="000000"/>
                <w:sz w:val="32"/>
                <w:szCs w:val="32"/>
              </w:rPr>
            </m:ctrlPr>
          </m:sSubPr>
          <m:e>
            <m:r>
              <m:rPr/>
              <w:rPr>
                <w:rFonts w:hint="default" w:ascii="Cambria Math" w:hAnsi="Cambria Math" w:eastAsia="方正仿宋_GBK" w:cs="Times New Roman"/>
                <w:color w:val="000000"/>
                <w:sz w:val="32"/>
                <w:szCs w:val="32"/>
              </w:rPr>
              <m:t>l</m:t>
            </m:r>
            <m:ctrlPr>
              <w:rPr>
                <w:rFonts w:hint="default" w:ascii="Cambria Math" w:hAnsi="Cambria Math" w:eastAsia="方正仿宋_GBK" w:cs="Times New Roman"/>
                <w:i/>
                <w:color w:val="000000"/>
                <w:sz w:val="32"/>
                <w:szCs w:val="32"/>
              </w:rPr>
            </m:ctrlPr>
          </m:e>
          <m:sub>
            <m:r>
              <m:rPr/>
              <w:rPr>
                <w:rFonts w:hint="default" w:ascii="Cambria Math" w:hAnsi="Cambria Math" w:eastAsia="方正仿宋_GBK" w:cs="Times New Roman"/>
                <w:color w:val="000000"/>
                <w:sz w:val="32"/>
                <w:szCs w:val="32"/>
              </w:rPr>
              <m:t>b</m:t>
            </m:r>
            <m:ctrlPr>
              <w:rPr>
                <w:rFonts w:hint="default" w:ascii="Cambria Math" w:hAnsi="Cambria Math" w:eastAsia="方正仿宋_GBK" w:cs="Times New Roman"/>
                <w:i/>
                <w:color w:val="000000"/>
                <w:sz w:val="32"/>
                <w:szCs w:val="32"/>
              </w:rPr>
            </m:ctrlPr>
          </m:sub>
        </m:sSub>
      </m:oMath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——基准地价期日的地价指数。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宗地估价期日的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地价指数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以有关部门公布的地价指数或地价增长率为准。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8" w:lineRule="exact"/>
        <w:ind w:left="0" w:firstLine="640" w:firstLineChars="200"/>
        <w:jc w:val="both"/>
        <w:textAlignment w:val="auto"/>
        <w:outlineLvl w:val="2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16" w:name="_Toc3093"/>
      <w:bookmarkStart w:id="17" w:name="_Toc7293"/>
      <w:bookmarkStart w:id="18" w:name="_Toc10426"/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确定年期修正</w:t>
      </w:r>
      <w:bookmarkEnd w:id="16"/>
      <w:bookmarkEnd w:id="17"/>
      <w:bookmarkEnd w:id="18"/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系数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年期修正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公式如下：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8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8" w:lineRule="exact"/>
        <w:ind w:left="0" w:firstLine="56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m:oMathPara>
        <m:oMath>
          <m:sSub>
            <m:sSubPr>
              <m:ctrlPr>
                <w:rPr>
                  <w:rFonts w:hint="default" w:ascii="Cambria Math" w:hAnsi="Cambria Math" w:eastAsia="方正仿宋_GBK" w:cs="Times New Roman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eastAsia="方正仿宋_GBK" w:cs="Times New Roman"/>
                  <w:color w:val="000000"/>
                  <w:sz w:val="28"/>
                  <w:szCs w:val="28"/>
                </w:rPr>
                <m:t>K</m:t>
              </m:r>
              <m:ctrlPr>
                <w:rPr>
                  <w:rFonts w:hint="default" w:ascii="Cambria Math" w:hAnsi="Cambria Math" w:eastAsia="方正仿宋_GBK" w:cs="Times New Roman"/>
                  <w:color w:val="000000"/>
                  <w:sz w:val="28"/>
                  <w:szCs w:val="28"/>
                </w:rPr>
              </m:ctrlPr>
            </m:e>
            <m:sub>
              <m:r>
                <m:rPr/>
                <w:rPr>
                  <w:rFonts w:hint="default" w:ascii="Cambria Math" w:hAnsi="Cambria Math" w:eastAsia="方正仿宋_GBK" w:cs="Times New Roman"/>
                  <w:color w:val="000000"/>
                  <w:sz w:val="28"/>
                  <w:szCs w:val="28"/>
                </w:rPr>
                <m:t>2</m:t>
              </m:r>
              <m:ctrlPr>
                <w:rPr>
                  <w:rFonts w:hint="default" w:ascii="Cambria Math" w:hAnsi="Cambria Math" w:eastAsia="方正仿宋_GBK" w:cs="Times New Roman"/>
                  <w:color w:val="000000"/>
                  <w:sz w:val="28"/>
                  <w:szCs w:val="28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eastAsia="方正仿宋_GBK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hint="default" w:ascii="Cambria Math" w:hAnsi="Cambria Math" w:eastAsia="方正仿宋_GBK" w:cs="Times New Roman"/>
                  <w:color w:val="000000"/>
                  <w:sz w:val="28"/>
                  <w:szCs w:val="28"/>
                </w:rPr>
              </m:ctrlPr>
            </m:fPr>
            <m:num>
              <m:r>
                <m:rPr/>
                <w:rPr>
                  <w:rFonts w:hint="default" w:ascii="Cambria Math" w:hAnsi="Cambria Math" w:eastAsia="方正仿宋_GBK" w:cs="Times New Roman"/>
                  <w:color w:val="000000"/>
                  <w:sz w:val="28"/>
                  <w:szCs w:val="28"/>
                </w:rPr>
                <m:t>1−</m:t>
              </m:r>
              <m:d>
                <m:dPr>
                  <m:begChr m:val="["/>
                  <m:endChr m:val="]"/>
                  <m:ctrlPr>
                    <w:rPr>
                      <w:rFonts w:hint="default" w:ascii="Cambria Math" w:hAnsi="Cambria Math" w:eastAsia="方正仿宋_GBK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hint="default" w:ascii="Cambria Math" w:hAnsi="Cambria Math" w:eastAsia="方正仿宋_GBK" w:cs="Times New Roman"/>
                      <w:color w:val="000000"/>
                      <w:sz w:val="28"/>
                      <w:szCs w:val="28"/>
                    </w:rPr>
                    <m:t>1/</m:t>
                  </m:r>
                  <m:sSup>
                    <m:sSupPr>
                      <m:ctrlPr>
                        <w:rPr>
                          <w:rFonts w:hint="default" w:ascii="Cambria Math" w:hAnsi="Cambria Math" w:eastAsia="方正仿宋_GBK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hint="default" w:ascii="Cambria Math" w:hAnsi="Cambria Math" w:eastAsia="方正仿宋_GBK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hint="default" w:ascii="Cambria Math" w:hAnsi="Cambria Math" w:eastAsia="方正仿宋_GBK" w:cs="Times New Roman"/>
                              <w:color w:val="000000"/>
                              <w:sz w:val="28"/>
                              <w:szCs w:val="28"/>
                            </w:rPr>
                            <m:t>1+r</m:t>
                          </m:r>
                          <m:ctrlPr>
                            <w:rPr>
                              <w:rFonts w:hint="default" w:ascii="Cambria Math" w:hAnsi="Cambria Math" w:eastAsia="方正仿宋_GBK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hint="default" w:ascii="Cambria Math" w:hAnsi="Cambria Math" w:eastAsia="方正仿宋_GBK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eastAsia="方正仿宋_GBK" w:cs="Times New Roman"/>
                          <w:color w:val="000000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hint="default" w:ascii="Cambria Math" w:hAnsi="Cambria Math" w:eastAsia="方正仿宋_GBK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eastAsia="方正仿宋_GBK" w:cs="Times New Roman"/>
                      <w:i/>
                      <w:color w:val="000000"/>
                      <w:sz w:val="28"/>
                      <w:szCs w:val="28"/>
                    </w:rPr>
                  </m:ctrlPr>
                </m:e>
              </m:d>
              <m:ctrlPr>
                <w:rPr>
                  <w:rFonts w:hint="default" w:ascii="Cambria Math" w:hAnsi="Cambria Math" w:eastAsia="方正仿宋_GBK" w:cs="Times New Roman"/>
                  <w:color w:val="000000"/>
                  <w:sz w:val="28"/>
                  <w:szCs w:val="28"/>
                </w:rPr>
              </m:ctrlPr>
            </m:num>
            <m:den>
              <m:r>
                <m:rPr/>
                <w:rPr>
                  <w:rFonts w:hint="default" w:ascii="Cambria Math" w:hAnsi="Cambria Math" w:eastAsia="方正仿宋_GBK" w:cs="Times New Roman"/>
                  <w:color w:val="000000"/>
                  <w:sz w:val="28"/>
                  <w:szCs w:val="28"/>
                </w:rPr>
                <m:t>1−</m:t>
              </m:r>
              <m:d>
                <m:dPr>
                  <m:begChr m:val="["/>
                  <m:endChr m:val="]"/>
                  <m:ctrlPr>
                    <w:rPr>
                      <w:rFonts w:hint="default" w:ascii="Cambria Math" w:hAnsi="Cambria Math" w:eastAsia="方正仿宋_GBK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hint="default" w:ascii="Cambria Math" w:hAnsi="Cambria Math" w:eastAsia="方正仿宋_GBK" w:cs="Times New Roman"/>
                      <w:color w:val="000000"/>
                      <w:sz w:val="28"/>
                      <w:szCs w:val="28"/>
                    </w:rPr>
                    <m:t>1/</m:t>
                  </m:r>
                  <m:sSup>
                    <m:sSupPr>
                      <m:ctrlPr>
                        <w:rPr>
                          <w:rFonts w:hint="default" w:ascii="Cambria Math" w:hAnsi="Cambria Math" w:eastAsia="方正仿宋_GBK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hint="default" w:ascii="Cambria Math" w:hAnsi="Cambria Math" w:eastAsia="方正仿宋_GBK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hint="default" w:ascii="Cambria Math" w:hAnsi="Cambria Math" w:eastAsia="方正仿宋_GBK" w:cs="Times New Roman"/>
                              <w:color w:val="000000"/>
                              <w:sz w:val="28"/>
                              <w:szCs w:val="28"/>
                            </w:rPr>
                            <m:t>1+r</m:t>
                          </m:r>
                          <m:ctrlPr>
                            <w:rPr>
                              <w:rFonts w:hint="default" w:ascii="Cambria Math" w:hAnsi="Cambria Math" w:eastAsia="方正仿宋_GBK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hint="default" w:ascii="Cambria Math" w:hAnsi="Cambria Math" w:eastAsia="方正仿宋_GBK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eastAsia="方正仿宋_GBK" w:cs="Times New Roman"/>
                          <w:color w:val="000000"/>
                          <w:sz w:val="28"/>
                          <w:szCs w:val="28"/>
                        </w:rPr>
                        <m:t>m</m:t>
                      </m:r>
                      <m:ctrlPr>
                        <w:rPr>
                          <w:rFonts w:hint="default" w:ascii="Cambria Math" w:hAnsi="Cambria Math" w:eastAsia="方正仿宋_GBK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eastAsia="方正仿宋_GBK" w:cs="Times New Roman"/>
                      <w:i/>
                      <w:color w:val="000000"/>
                      <w:sz w:val="28"/>
                      <w:szCs w:val="28"/>
                    </w:rPr>
                  </m:ctrlPr>
                </m:e>
              </m:d>
              <m:ctrlPr>
                <w:rPr>
                  <w:rFonts w:hint="default" w:ascii="Cambria Math" w:hAnsi="Cambria Math" w:eastAsia="方正仿宋_GBK" w:cs="Times New Roman"/>
                  <w:color w:val="000000"/>
                  <w:sz w:val="28"/>
                  <w:szCs w:val="28"/>
                </w:rPr>
              </m:ctrlPr>
            </m:den>
          </m:f>
        </m:oMath>
      </m:oMathPara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式中：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K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——年期修正系数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r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——土地还原率（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园地2.82%、林地2.43%、草地2.17%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m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——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基准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地价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规定的相应地类土地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使用年限；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n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——待估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宗地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的使用年限。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8" w:lineRule="exact"/>
        <w:ind w:left="0" w:firstLine="640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19" w:name="_Toc16539"/>
      <w:bookmarkStart w:id="20" w:name="_Toc69743336"/>
      <w:bookmarkStart w:id="21" w:name="_Toc30525"/>
      <w:bookmarkStart w:id="22" w:name="_Toc69312836"/>
      <w:bookmarkStart w:id="23" w:name="_Toc69474960"/>
      <w:bookmarkStart w:id="24" w:name="_Toc8433"/>
      <w:bookmarkStart w:id="25" w:name="_Toc24019"/>
      <w:bookmarkStart w:id="26" w:name="_Toc8127"/>
      <w:bookmarkStart w:id="27" w:name="_Toc69311750"/>
      <w:bookmarkStart w:id="28" w:name="_Toc69313036"/>
      <w:bookmarkStart w:id="29" w:name="_Toc69891942"/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5.确定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主导树种修正系数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林地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需进行主导树种修正的，应按照《主导树种修正系数表》确定的主导树种修正系数修正。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8" w:lineRule="exact"/>
        <w:ind w:left="0" w:firstLine="640" w:firstLineChars="200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6.确定龄组修正系数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林地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需进行龄组修正的，应按照《龄组修正系数表》确定的龄组修正系数修正。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8" w:lineRule="exact"/>
        <w:ind w:left="0" w:firstLine="640" w:firstLineChars="200"/>
        <w:jc w:val="both"/>
        <w:textAlignment w:val="auto"/>
        <w:outlineLvl w:val="2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确定基础设施状况修正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值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园地、草地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基础设施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状况修正值=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不通路修正值+宗地内土地不平整修正值+无或较差的排水与灌溉设施修正值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基础设施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状况修正值=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无道路通达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修正值+宗地内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无集材道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修正值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当宗地的基础设施状况与基准地价设定的基础设施状况不一致时，应根据《基础设施修正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表》，应用上述公式确定基础设施状况修正值。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8" w:lineRule="exact"/>
        <w:ind w:left="0" w:firstLine="640" w:firstLineChars="200"/>
        <w:jc w:val="both"/>
        <w:textAlignment w:val="auto"/>
        <w:outlineLvl w:val="2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价格影响因素修正系数的确定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价格影响因素修正系数=</w:t>
      </w:r>
      <w:r>
        <w:rPr>
          <w:rFonts w:hint="default" w:ascii="Times New Roman" w:hAnsi="Times New Roman" w:eastAsia="方正仿宋_GBK" w:cs="Times New Roman"/>
          <w:color w:val="auto"/>
          <w:position w:val="-16"/>
          <w:sz w:val="32"/>
          <w:szCs w:val="32"/>
        </w:rPr>
        <w:object>
          <v:shape id="_x0000_i1025" o:spt="75" type="#_x0000_t75" style="height:32.7pt;width:76.7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按照价格影响因素修正指标及系数表，根据宗地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各种因素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情况确定每种因素的修正系数，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用上述公式测算宗地的影响因素修正系数。K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bscript"/>
        </w:rPr>
        <w:t>i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为第i种因素的修正系数。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附表：1.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用地类型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修正系数表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2.年期修正系数表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3.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主导树种修正系数表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.龄组修正系数表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.基础设施状况修正值表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.价格影响因素修正系数表</w:t>
      </w:r>
    </w:p>
    <w:p>
      <w:pPr>
        <w:rPr>
          <w:rFonts w:hint="default" w:ascii="Times New Roman" w:hAnsi="Times New Roman" w:eastAsia="方正黑体_GBK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br w:type="page"/>
      </w:r>
    </w:p>
    <w:p>
      <w:pPr>
        <w:pageBreakBefore w:val="0"/>
        <w:kinsoku/>
        <w:wordWrap/>
        <w:topLinePunct w:val="0"/>
        <w:autoSpaceDE/>
        <w:autoSpaceDN/>
        <w:bidi w:val="0"/>
        <w:spacing w:line="578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附表</w:t>
      </w:r>
      <w:r>
        <w:rPr>
          <w:rFonts w:hint="eastAsia" w:ascii="Times New Roman" w:hAnsi="Times New Roman" w:eastAsia="方正黑体_GBK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1</w:t>
      </w:r>
    </w:p>
    <w:p>
      <w:pPr>
        <w:pStyle w:val="3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before="156" w:beforeLines="50" w:after="156" w:afterLines="50" w:line="578" w:lineRule="exact"/>
        <w:ind w:left="425" w:leftChars="0" w:hanging="425" w:firstLineChars="0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园地用地类型修正系数表</w:t>
      </w:r>
    </w:p>
    <w:tbl>
      <w:tblPr>
        <w:tblStyle w:val="7"/>
        <w:tblW w:w="906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3606"/>
        <w:gridCol w:w="2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用地类型</w:t>
            </w: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二级地类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用地类型修正系数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园地</w:t>
            </w: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果园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其他园地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茶园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0.82</w:t>
            </w:r>
          </w:p>
        </w:tc>
      </w:tr>
    </w:tbl>
    <w:p>
      <w:pPr>
        <w:pageBreakBefore w:val="0"/>
        <w:kinsoku/>
        <w:wordWrap/>
        <w:topLinePunct w:val="0"/>
        <w:autoSpaceDE/>
        <w:autoSpaceDN/>
        <w:bidi w:val="0"/>
        <w:spacing w:line="578" w:lineRule="exact"/>
        <w:rPr>
          <w:rFonts w:hint="eastAsia"/>
          <w:sz w:val="28"/>
          <w:szCs w:val="18"/>
          <w:lang w:val="en-US" w:eastAsia="zh-CN"/>
        </w:rPr>
      </w:pPr>
      <w:r>
        <w:rPr>
          <w:rFonts w:hint="eastAsia"/>
          <w:sz w:val="28"/>
          <w:szCs w:val="18"/>
          <w:lang w:val="en-US" w:eastAsia="zh-CN"/>
        </w:rPr>
        <w:t>备注：</w:t>
      </w:r>
      <w:r>
        <w:rPr>
          <w:rFonts w:hint="eastAsia"/>
          <w:sz w:val="28"/>
          <w:szCs w:val="18"/>
        </w:rPr>
        <w:t>茶园</w:t>
      </w:r>
      <w:r>
        <w:rPr>
          <w:rFonts w:hint="eastAsia"/>
          <w:sz w:val="28"/>
          <w:szCs w:val="18"/>
          <w:lang w:val="en-US" w:eastAsia="zh-CN"/>
        </w:rPr>
        <w:t>根据果园</w:t>
      </w:r>
      <w:r>
        <w:rPr>
          <w:rFonts w:hint="eastAsia"/>
          <w:sz w:val="28"/>
          <w:szCs w:val="18"/>
        </w:rPr>
        <w:t>进行用地类型修正</w:t>
      </w:r>
      <w:r>
        <w:rPr>
          <w:rFonts w:hint="eastAsia"/>
          <w:sz w:val="28"/>
          <w:szCs w:val="18"/>
          <w:lang w:eastAsia="zh-CN"/>
        </w:rPr>
        <w:t>。</w:t>
      </w:r>
    </w:p>
    <w:p>
      <w:pPr>
        <w:pStyle w:val="3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before="156" w:beforeLines="50" w:after="156" w:afterLines="50" w:line="578" w:lineRule="exact"/>
        <w:ind w:left="425" w:leftChars="0" w:hanging="425" w:firstLineChars="0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林地用地类型修正系数表</w:t>
      </w:r>
    </w:p>
    <w:tbl>
      <w:tblPr>
        <w:tblStyle w:val="7"/>
        <w:tblW w:w="906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3606"/>
        <w:gridCol w:w="2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用地类型</w:t>
            </w: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二级地类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用地类型修正系数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30" w:name="OLE_LINK3" w:colFirst="2" w:colLast="2"/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林地</w:t>
            </w: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乔木林地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竹林地</w:t>
            </w:r>
          </w:p>
        </w:tc>
        <w:tc>
          <w:tcPr>
            <w:tcW w:w="267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0.95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灌木林地</w:t>
            </w:r>
          </w:p>
        </w:tc>
        <w:tc>
          <w:tcPr>
            <w:tcW w:w="267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其他林地</w:t>
            </w:r>
          </w:p>
        </w:tc>
        <w:tc>
          <w:tcPr>
            <w:tcW w:w="267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0.84</w:t>
            </w:r>
          </w:p>
        </w:tc>
      </w:tr>
      <w:bookmarkEnd w:id="30"/>
    </w:tbl>
    <w:p>
      <w:pPr>
        <w:pageBreakBefore w:val="0"/>
        <w:kinsoku/>
        <w:wordWrap/>
        <w:topLinePunct w:val="0"/>
        <w:autoSpaceDE/>
        <w:autoSpaceDN/>
        <w:bidi w:val="0"/>
        <w:spacing w:line="578" w:lineRule="exact"/>
        <w:rPr>
          <w:rFonts w:hint="eastAsia"/>
          <w:sz w:val="28"/>
          <w:szCs w:val="18"/>
          <w:lang w:eastAsia="zh-CN"/>
        </w:rPr>
      </w:pPr>
      <w:r>
        <w:rPr>
          <w:rFonts w:hint="eastAsia"/>
          <w:sz w:val="28"/>
          <w:szCs w:val="18"/>
          <w:lang w:val="en-US" w:eastAsia="zh-CN"/>
        </w:rPr>
        <w:t>备注：</w:t>
      </w:r>
      <w:r>
        <w:rPr>
          <w:color w:val="000000"/>
          <w:sz w:val="28"/>
          <w:szCs w:val="18"/>
        </w:rPr>
        <w:t>竹林地、灌木林地、其他林地</w:t>
      </w:r>
      <w:r>
        <w:rPr>
          <w:rFonts w:hint="eastAsia"/>
          <w:sz w:val="28"/>
          <w:szCs w:val="18"/>
          <w:lang w:val="en-US" w:eastAsia="zh-CN"/>
        </w:rPr>
        <w:t>根据乔木林地</w:t>
      </w:r>
      <w:r>
        <w:rPr>
          <w:rFonts w:hint="eastAsia"/>
          <w:sz w:val="28"/>
          <w:szCs w:val="18"/>
        </w:rPr>
        <w:t>进行用地类型修正</w:t>
      </w:r>
      <w:r>
        <w:rPr>
          <w:rFonts w:hint="eastAsia"/>
          <w:sz w:val="28"/>
          <w:szCs w:val="18"/>
          <w:lang w:eastAsia="zh-CN"/>
        </w:rPr>
        <w:t>。</w:t>
      </w:r>
    </w:p>
    <w:p>
      <w:pPr>
        <w:pStyle w:val="3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before="156" w:beforeLines="50" w:after="156" w:afterLines="50" w:line="578" w:lineRule="exact"/>
        <w:ind w:left="425" w:leftChars="0" w:hanging="425" w:firstLineChars="0"/>
        <w:jc w:val="center"/>
        <w:rPr>
          <w:rFonts w:hint="eastAsia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草地用地类型修正系数表</w:t>
      </w:r>
    </w:p>
    <w:tbl>
      <w:tblPr>
        <w:tblStyle w:val="7"/>
        <w:tblW w:w="906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3606"/>
        <w:gridCol w:w="2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eastAsia="宋体"/>
                <w:color w:val="000000"/>
                <w:sz w:val="18"/>
                <w:szCs w:val="18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</w:rPr>
              <w:t>用地类型</w:t>
            </w: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二级地类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eastAsia="宋体"/>
                <w:color w:val="000000"/>
                <w:sz w:val="18"/>
                <w:szCs w:val="18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</w:rPr>
              <w:t>用地类型修正系数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草地</w:t>
            </w: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其他草地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eastAsia="宋体"/>
                <w:color w:val="000000"/>
                <w:sz w:val="18"/>
                <w:szCs w:val="18"/>
              </w:rPr>
            </w:pP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人工牧草地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1.15</w:t>
            </w:r>
          </w:p>
        </w:tc>
      </w:tr>
    </w:tbl>
    <w:p>
      <w:pPr>
        <w:pageBreakBefore w:val="0"/>
        <w:kinsoku/>
        <w:wordWrap/>
        <w:topLinePunct w:val="0"/>
        <w:autoSpaceDE/>
        <w:autoSpaceDN/>
        <w:bidi w:val="0"/>
        <w:spacing w:line="578" w:lineRule="exact"/>
        <w:rPr>
          <w:rFonts w:hint="default" w:ascii="Times New Roman" w:hAnsi="Times New Roman" w:eastAsia="方正仿宋_GBK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18"/>
          <w:lang w:val="en-US" w:eastAsia="zh-CN"/>
        </w:rPr>
        <w:t>备注：人工牧草地根据其他草地</w:t>
      </w:r>
      <w:r>
        <w:rPr>
          <w:rFonts w:hint="eastAsia"/>
          <w:sz w:val="28"/>
          <w:szCs w:val="18"/>
        </w:rPr>
        <w:t>进行用地类型修正</w:t>
      </w:r>
      <w:r>
        <w:rPr>
          <w:rFonts w:hint="eastAsia"/>
          <w:sz w:val="28"/>
          <w:szCs w:val="18"/>
          <w:lang w:eastAsia="zh-CN"/>
        </w:rPr>
        <w:t>。</w:t>
      </w:r>
    </w:p>
    <w:p>
      <w:pPr>
        <w:pageBreakBefore w:val="0"/>
        <w:kinsoku/>
        <w:wordWrap/>
        <w:topLinePunct w:val="0"/>
        <w:autoSpaceDE/>
        <w:autoSpaceDN/>
        <w:bidi w:val="0"/>
        <w:spacing w:line="578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br w:type="page"/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附表</w:t>
      </w:r>
      <w:r>
        <w:rPr>
          <w:rFonts w:hint="eastAsia" w:ascii="Times New Roman" w:hAnsi="Times New Roman" w:eastAsia="方正黑体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line="578" w:lineRule="exact"/>
        <w:ind w:left="420" w:left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园地年期修正系数表（还原率r=2.82%）</w:t>
      </w:r>
    </w:p>
    <w:tbl>
      <w:tblPr>
        <w:tblStyle w:val="7"/>
        <w:tblW w:w="905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960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剩余年期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0.0485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0.0956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0.1415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0.1861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0.2294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0.2716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0.3126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0.3525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0.3913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0.4291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剩余年期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0.4658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0.5015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0.5362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0.5700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0.6028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0.6347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0.6658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0.6960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0.7254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0.7540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剩余年期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83" w:type="dxa"/>
            <w:tcBorders>
              <w:top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0.7818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0.8088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0.8351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0.8607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0.8855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0.9097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0.9332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0.9561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0.9784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1.0000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line="578" w:lineRule="exact"/>
        <w:ind w:left="420" w:left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line="578" w:lineRule="exact"/>
        <w:ind w:left="42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林地年期修正系数表（还原率r=2.43%）</w:t>
      </w:r>
    </w:p>
    <w:tbl>
      <w:tblPr>
        <w:tblStyle w:val="7"/>
        <w:tblW w:w="906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98"/>
        <w:gridCol w:w="798"/>
        <w:gridCol w:w="798"/>
        <w:gridCol w:w="798"/>
        <w:gridCol w:w="801"/>
        <w:gridCol w:w="801"/>
        <w:gridCol w:w="801"/>
        <w:gridCol w:w="803"/>
        <w:gridCol w:w="803"/>
        <w:gridCol w:w="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剩余年期</w:t>
            </w: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04" w:type="dxa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系数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0.0292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0.0576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0.0854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0.1125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0.1390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0.1649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0.1901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0.2148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0.2388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0.2623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剩余年期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系数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0.2852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0.3076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0.3295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0.3508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0.3716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0.3920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0.4118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0.4312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0.4501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0.4686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剩余年期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系数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0.4866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0.5043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0.5214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0.5382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0.5546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0.5706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0.5862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0.6015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0.6164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0.6309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剩余年期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系数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0.6451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0.6589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0.6724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0.6856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0.6985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0.7111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0.7234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0.7354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0.7471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0.7585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剩余年期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系数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0.7697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0.7806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0.7912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0.8016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0.8117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0.8216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0.8313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0.8407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0.8499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0.8589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剩余年期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系数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0.8677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0.8763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0.8846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0.8928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0.9008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0.9086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0.9162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0.9236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0.9308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0.9379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剩余年期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6" w:type="dxa"/>
            <w:tcBorders>
              <w:top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系数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0.9448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0.9515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0.9581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0.9645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0.9708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0.9769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0.9829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0.9887 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0.9944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1.0000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line="578" w:lineRule="exact"/>
        <w:ind w:left="420" w:left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line="578" w:lineRule="exact"/>
        <w:ind w:left="42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草地年期修正系数表（还原率r=2.17%）</w:t>
      </w:r>
    </w:p>
    <w:tbl>
      <w:tblPr>
        <w:tblStyle w:val="7"/>
        <w:tblW w:w="90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4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剩余年期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bidi="ar"/>
              </w:rPr>
              <w:t>系数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0.0447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0.0885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0.1314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0.1733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0.2143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0.2545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0.2938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0.3323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0.3700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0.4069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剩余年期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bidi="ar"/>
              </w:rPr>
              <w:t>系数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0.4430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0.4783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0.5129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0.5467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0.5798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0.6122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0.6440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0.6750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0.7054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0.7352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bidi="ar"/>
              </w:rPr>
              <w:t>剩余年期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40" w:type="dxa"/>
            <w:tcBorders>
              <w:top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bidi="ar"/>
              </w:rPr>
              <w:t>系数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0.7643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0.7928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0.8207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0.8480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0.8747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0.9008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0.9264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0.9515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0.9760 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78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1.0000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rPr>
          <w:rFonts w:hint="default" w:ascii="Times New Roman" w:hAnsi="Times New Roman" w:eastAsia="方正小标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附表3              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主导树种修正系数表</w:t>
      </w:r>
    </w:p>
    <w:tbl>
      <w:tblPr>
        <w:tblStyle w:val="7"/>
        <w:tblW w:w="906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3606"/>
        <w:gridCol w:w="2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用地类型</w:t>
            </w: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主导树种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主导树种修正系数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林地</w:t>
            </w: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高大乔木与珍贵树种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其他乔木树种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0.85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00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240" w:lineRule="auto"/>
        <w:ind w:left="0" w:leftChars="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附表4                 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龄组修正系数表</w:t>
      </w:r>
    </w:p>
    <w:tbl>
      <w:tblPr>
        <w:tblStyle w:val="7"/>
        <w:tblW w:w="906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3606"/>
        <w:gridCol w:w="2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用地类型</w:t>
            </w: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龄组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</w:rPr>
              <w:t>龄组修正系数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bookmarkStart w:id="31" w:name="OLE_LINK4" w:colFirst="1" w:colLast="2"/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林地</w:t>
            </w: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成熟林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过熟林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近熟林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0.9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中龄林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0.8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3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幼龄林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77</w:t>
            </w:r>
          </w:p>
        </w:tc>
      </w:tr>
      <w:bookmarkEnd w:id="3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4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00" w:lineRule="exact"/>
        <w:ind w:left="0" w:leftChars="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附表</w:t>
      </w:r>
      <w:r>
        <w:rPr>
          <w:rFonts w:hint="eastAsia" w:ascii="Times New Roman" w:hAnsi="Times New Roman" w:eastAsia="方正黑体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5          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园地/草地基础设施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状况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修正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值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表</w:t>
      </w:r>
    </w:p>
    <w:tbl>
      <w:tblPr>
        <w:tblStyle w:val="7"/>
        <w:tblW w:w="90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3"/>
        <w:gridCol w:w="2633"/>
        <w:gridCol w:w="25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基础设施状况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园地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不通路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-300元/亩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-300元/亩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宗地内土地不平整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-200元/亩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-200元/亩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无或较差的排水与灌溉设施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-300元/亩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-300元/亩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林地基础设施修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状况修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正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值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表</w:t>
      </w:r>
    </w:p>
    <w:tbl>
      <w:tblPr>
        <w:tblStyle w:val="7"/>
        <w:tblW w:w="90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  <w:gridCol w:w="5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基础设施状况</w:t>
            </w:r>
          </w:p>
        </w:tc>
        <w:tc>
          <w:tcPr>
            <w:tcW w:w="5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无道路通达</w:t>
            </w:r>
          </w:p>
        </w:tc>
        <w:tc>
          <w:tcPr>
            <w:tcW w:w="5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-400元/亩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宗地内无集材道</w:t>
            </w:r>
          </w:p>
        </w:tc>
        <w:tc>
          <w:tcPr>
            <w:tcW w:w="5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-400元/亩</w:t>
            </w:r>
          </w:p>
        </w:tc>
      </w:tr>
    </w:tbl>
    <w:p>
      <w:pPr>
        <w:pageBreakBefore w:val="0"/>
        <w:kinsoku/>
        <w:wordWrap/>
        <w:topLinePunct w:val="0"/>
        <w:autoSpaceDE/>
        <w:autoSpaceDN/>
        <w:bidi w:val="0"/>
        <w:spacing w:line="578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bookmarkStart w:id="32" w:name="_Toc26425"/>
    </w:p>
    <w:bookmarkEnd w:id="32"/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方正小标宋_GBK" w:cs="Times New Roman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附表</w:t>
      </w:r>
      <w:r>
        <w:rPr>
          <w:rFonts w:hint="eastAsia" w:ascii="Times New Roman" w:hAnsi="Times New Roman" w:eastAsia="方正黑体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6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before="156" w:beforeLines="50" w:after="156" w:afterLines="50" w:line="240" w:lineRule="auto"/>
        <w:ind w:left="425" w:leftChars="0" w:hanging="425" w:firstLineChars="0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云阳县1级果园、茶园因素修正指标说明表</w:t>
      </w:r>
    </w:p>
    <w:tbl>
      <w:tblPr>
        <w:tblStyle w:val="7"/>
        <w:tblW w:w="139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80"/>
        <w:gridCol w:w="2164"/>
        <w:gridCol w:w="2294"/>
        <w:gridCol w:w="2294"/>
        <w:gridCol w:w="2294"/>
        <w:gridCol w:w="23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260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因素体系</w:t>
            </w:r>
          </w:p>
        </w:tc>
        <w:tc>
          <w:tcPr>
            <w:tcW w:w="113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修正指标说明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tblHeader/>
          <w:jc w:val="center"/>
        </w:trPr>
        <w:tc>
          <w:tcPr>
            <w:tcW w:w="260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优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较优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一般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较劣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自然因素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坡度（°）</w:t>
            </w: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6-15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15-25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25-35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＞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坡向</w:t>
            </w: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阳坡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半阳坡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平坡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半阴坡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阴坡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土壤有机质含量</w:t>
            </w: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20-25（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10-20（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10（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土壤质地</w:t>
            </w: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砂壤土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壤质土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砂质土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黏质土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砾质土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土壤pH值</w:t>
            </w: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6.0-6.5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5.5-6.0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5.0-5.5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6.5-7.5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5.0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或≥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土层厚度（cm）</w:t>
            </w: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80-90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60-80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50-60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社会经济因素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对外交通便利度</w:t>
            </w: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距离最近交通设施近，＜2k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距离最近交通设施较近，2-3k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距离最近交通设施一般，3-4k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距离最近交通设施较远，4-5k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距离最近交通设施远，≥5k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城镇影响度</w:t>
            </w: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距离区政府驻地近，＜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10km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距离区政府驻地较近，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10-20km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距离区政府驻地较远，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20-30km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距离区政府驻地远，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30-40km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距离区政府驻地极远，≥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40km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道路通达度</w:t>
            </w: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国道、省道能通达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县道能通达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乡道能通达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只有村道能通达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无道路通达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特定因素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地质灾害</w:t>
            </w:r>
          </w:p>
        </w:tc>
        <w:tc>
          <w:tcPr>
            <w:tcW w:w="2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不发生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基本不发生，每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年会发生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低度易发生，每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年会发生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中度易发生，每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年会发生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高度易发生，每年都发生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40" w:lineRule="auto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br w:type="page"/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云阳县2级果园、茶园因素修正指标说明表</w:t>
      </w:r>
    </w:p>
    <w:tbl>
      <w:tblPr>
        <w:tblStyle w:val="7"/>
        <w:tblW w:w="1387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473"/>
        <w:gridCol w:w="2152"/>
        <w:gridCol w:w="2280"/>
        <w:gridCol w:w="2280"/>
        <w:gridCol w:w="2280"/>
        <w:gridCol w:w="23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  <w:jc w:val="center"/>
        </w:trPr>
        <w:tc>
          <w:tcPr>
            <w:tcW w:w="258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因素体系</w:t>
            </w:r>
          </w:p>
        </w:tc>
        <w:tc>
          <w:tcPr>
            <w:tcW w:w="112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修正指标说明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Header/>
          <w:jc w:val="center"/>
        </w:trPr>
        <w:tc>
          <w:tcPr>
            <w:tcW w:w="258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2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优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较优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一般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较劣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自然因素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坡度（°）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6-15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15-25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25-35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＞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坡向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阳坡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半阳坡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平坡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半阴坡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阴坡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土壤有机质含量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9-10（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7-9（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7（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土壤质地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砂壤土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壤质土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砂质土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黏质土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砾质土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土壤pH值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6.0-6.5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5.5-6.0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5.0-5.5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6.5-7.5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5.0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或≥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土层厚度（cm）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70-80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50-70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40-50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1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社会经济因素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对外交通便利度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距离最近交通设施近，＜3k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距离最近交通设施较近，3-4k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距离最近交通设施一般，4-5k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距离最近交通设施较远，5-6k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距离最近交通设施远，≥6k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1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城镇影响度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距离区政府驻地近，＜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15km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距离区政府驻地较近，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15-25km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距离区政府驻地较远，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25-35km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距离区政府驻地远，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25-45km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距离区政府驻地极远，≥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45km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道路通达度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国道、省道能通达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县道能通达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乡道能通达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只有村道能通达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无道路通达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特定因素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地质灾害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不发生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基本不发生，每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年会发生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低度易发生，每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年会发生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中度易发生，每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年会发生</w:t>
            </w:r>
          </w:p>
        </w:tc>
        <w:tc>
          <w:tcPr>
            <w:tcW w:w="2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高度易发生，每年都发生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40" w:lineRule="auto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br w:type="page"/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云阳县3级果园、茶园因素修正指标说明表</w:t>
      </w:r>
    </w:p>
    <w:tbl>
      <w:tblPr>
        <w:tblStyle w:val="7"/>
        <w:tblW w:w="1415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637"/>
        <w:gridCol w:w="2112"/>
        <w:gridCol w:w="2327"/>
        <w:gridCol w:w="2327"/>
        <w:gridCol w:w="2327"/>
        <w:gridCol w:w="23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</w:trPr>
        <w:tc>
          <w:tcPr>
            <w:tcW w:w="272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因素体系</w:t>
            </w:r>
          </w:p>
        </w:tc>
        <w:tc>
          <w:tcPr>
            <w:tcW w:w="1143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修正指标说明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</w:trPr>
        <w:tc>
          <w:tcPr>
            <w:tcW w:w="272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优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较优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一般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较劣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自然因素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坡度（°）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6-15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15-25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25-35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＞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坡向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阳坡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半阳坡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平坡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半阴坡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阴坡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土壤有机质含量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9-10（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7-9（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7（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土壤质地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砂壤土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壤质土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砂质土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黏质土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砾质土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土壤pH值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6.0-6.5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5.5-6.0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5.0-5.5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6.5-7.5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5.0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或≥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土层厚度（cm）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60-70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40-60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30-40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社会经济因素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对外交通便利度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距离最近交通设施近，＜3k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距离最近交通设施较近，3-4k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距离最近交通设施一般，4-5k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距离最近交通设施较远，5-6k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距离最近交通设施远，≥6k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城镇影响度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距离区政府驻地近，＜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20km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距离区政府驻地较近，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20-30km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距离区政府驻地较远，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30-40km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距离区政府驻地远，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40-50km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距离区政府驻地极远，≥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50km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道路通达度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国道、省道能通达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县道能通达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乡道能通达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只有村道能通达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无道路通达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0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特定因素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地质灾害</w:t>
            </w:r>
          </w:p>
        </w:tc>
        <w:tc>
          <w:tcPr>
            <w:tcW w:w="21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不发生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基本不发生，每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年会发生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低度易发生，每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年会发生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中度易发生，每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年会发生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高度易发生，每年都发生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40" w:lineRule="auto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br w:type="page"/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云阳县1级其他园地因素修正指标说明表</w:t>
      </w:r>
    </w:p>
    <w:tbl>
      <w:tblPr>
        <w:tblStyle w:val="7"/>
        <w:tblW w:w="1403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820"/>
        <w:gridCol w:w="2231"/>
        <w:gridCol w:w="2231"/>
        <w:gridCol w:w="2231"/>
        <w:gridCol w:w="2231"/>
        <w:gridCol w:w="22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tblHeader/>
          <w:jc w:val="center"/>
        </w:trPr>
        <w:tc>
          <w:tcPr>
            <w:tcW w:w="287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因素体系</w:t>
            </w:r>
          </w:p>
        </w:tc>
        <w:tc>
          <w:tcPr>
            <w:tcW w:w="111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修正指标说明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287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较优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较劣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自然因素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坡度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6°-15°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15°-25°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≤6°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25°-35°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＞35°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坡向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阳坡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半阳坡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平坡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半阴坡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阴坡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土壤有机质含量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15-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18（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15（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土壤质地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砂壤土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壤质土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砂质土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黏质土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砾质土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土壤pH值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6.0-6.5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5.5-6.0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5.0-5.5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6.5-7.5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5.0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或≥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土层厚度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100cm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60cm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cm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社会经济因素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对外交通便利度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距离最近交通设施近，＜2k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距离最近交通设施较近，2-3k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距离最近交通设施一般，3-4k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距离最近交通设施较远，4-5k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距离最近交通设施远，≥5k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城镇影响度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距离区政府驻地近，＜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10km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距离区政府驻地较近，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10-20km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距离区政府驻地较远，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20-30km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距离区政府驻地远，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30-40km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距离区政府驻地极远，≥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40km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道路通达度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国道、省道能通达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县道能通达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乡道能通达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只有村道能通达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无道路通达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特定因素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地质灾害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不发生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基本不发生，每20年会发生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低度易发生，每10年会发生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中度易发生，每5年会发生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高度易发生，每年都发生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40" w:lineRule="auto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云阳县2级其他园地因素修正指标说明表</w:t>
      </w:r>
    </w:p>
    <w:tbl>
      <w:tblPr>
        <w:tblStyle w:val="7"/>
        <w:tblW w:w="1295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805"/>
        <w:gridCol w:w="1987"/>
        <w:gridCol w:w="1987"/>
        <w:gridCol w:w="1987"/>
        <w:gridCol w:w="1987"/>
        <w:gridCol w:w="1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01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因素体系</w:t>
            </w:r>
          </w:p>
        </w:tc>
        <w:tc>
          <w:tcPr>
            <w:tcW w:w="99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修正指标说明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01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较优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较劣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自然因素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坡度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6°-15°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15°-25°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≤6°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25°-35°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＞35°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坡向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阳坡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半阳坡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平坡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半阴坡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阴坡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土壤有机质含量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16（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12（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＜8（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g/kg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土壤质地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砂壤土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壤质土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砂质土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黏质土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砾质土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土壤pH值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6.0-6.5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5.5-6.0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5.0-5.5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6.5-7.5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5.0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或≥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土层厚度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80cm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40-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40cm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cm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社会经济因素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对外交通便利度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距离最近交通设施近，＜3k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距离最近交通设施较近，3-4k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距离最近交通设施一般，4-5k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距离最近交通设施较远，5-6k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距离最近交通设施远，≥6k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城镇影响度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距离区政府驻地近，＜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15km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距离区政府驻地较近，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15-25km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距离区政府驻地较远，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25-35km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距离区政府驻地远，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25-45km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距离区政府驻地极远，≥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45km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道路通达度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国道、省道能通达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县道能通达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乡道能通达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只有村道能通达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无道路通达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特定因素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地质灾害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不发生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基本不发生，每20年会发生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低度易发生，每10年会发生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中度易发生，每5年会发生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高度易发生，每年都发生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240" w:lineRule="auto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br w:type="page"/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云阳县3级其他园地因素修正指标说明表</w:t>
      </w:r>
    </w:p>
    <w:tbl>
      <w:tblPr>
        <w:tblStyle w:val="7"/>
        <w:tblW w:w="141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969"/>
        <w:gridCol w:w="2172"/>
        <w:gridCol w:w="2172"/>
        <w:gridCol w:w="2172"/>
        <w:gridCol w:w="2172"/>
        <w:gridCol w:w="21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329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因素体系</w:t>
            </w:r>
          </w:p>
        </w:tc>
        <w:tc>
          <w:tcPr>
            <w:tcW w:w="108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修正指标说明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tblHeader/>
          <w:jc w:val="center"/>
        </w:trPr>
        <w:tc>
          <w:tcPr>
            <w:tcW w:w="329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较优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较劣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自然因素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坡度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6°-15°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15°-25°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≤6°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25°-35°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＞35°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坡向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阳坡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半阳坡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平坡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半阴坡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阴坡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土壤有机质含量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≥20（g/kg）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16-20（g/kg）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12-16（g/kg）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8-12（g/kg）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＜8（g/kg）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土壤质地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砂壤土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壤质土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砂质土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黏质土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砾质土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土壤pH值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6.0-6.5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5.5-6.0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5.0-5.5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6.5-7.5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＜5.0或≥7.5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土层厚度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≥60cm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45-60cm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30-45cm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15-30cm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＜15cm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3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  <w:t>社会经济因素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对外交通便利度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距离最近交通设施近，＜3k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距离最近交通设施较近，3-4k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距离最近交通设施一般，4-5k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距离最近交通设施较远，5-6k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距离最近交通设施远，≥6k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城镇影响度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距离区政府驻地近，＜20km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距离区政府驻地较近，20-30km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距离区政府驻地较远，30-40km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距离区政府驻地远，40-50km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距离区政府驻地极远，≥50km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74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道路通达度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国道、省道能通达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县道能通达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乡道能通达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只有村道能通达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无道路通达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特定因素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地质灾害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不发生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基本不发生，每20年会发生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低度易发生，每10年会发生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中度易发生，每5年会发生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高度易发生，每年都发生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before="156" w:beforeLines="50" w:after="156" w:afterLines="50" w:line="240" w:lineRule="auto"/>
        <w:ind w:left="425" w:leftChars="0" w:hanging="425" w:firstLineChars="0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br w:type="page"/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云阳县果园、茶园基准地价修正系数表</w:t>
      </w:r>
    </w:p>
    <w:tbl>
      <w:tblPr>
        <w:tblStyle w:val="7"/>
        <w:tblW w:w="140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91"/>
        <w:gridCol w:w="831"/>
        <w:gridCol w:w="750"/>
        <w:gridCol w:w="554"/>
        <w:gridCol w:w="815"/>
        <w:gridCol w:w="897"/>
        <w:gridCol w:w="782"/>
        <w:gridCol w:w="798"/>
        <w:gridCol w:w="570"/>
        <w:gridCol w:w="929"/>
        <w:gridCol w:w="882"/>
        <w:gridCol w:w="766"/>
        <w:gridCol w:w="798"/>
        <w:gridCol w:w="619"/>
        <w:gridCol w:w="896"/>
        <w:gridCol w:w="8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35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因素体系</w:t>
            </w:r>
          </w:p>
        </w:tc>
        <w:tc>
          <w:tcPr>
            <w:tcW w:w="11748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修正系数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8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1级</w:t>
            </w:r>
          </w:p>
        </w:tc>
        <w:tc>
          <w:tcPr>
            <w:tcW w:w="396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2级</w:t>
            </w:r>
          </w:p>
        </w:tc>
        <w:tc>
          <w:tcPr>
            <w:tcW w:w="3940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5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较优</w:t>
            </w:r>
          </w:p>
        </w:tc>
        <w:tc>
          <w:tcPr>
            <w:tcW w:w="5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较劣</w:t>
            </w:r>
          </w:p>
        </w:tc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劣</w:t>
            </w:r>
          </w:p>
        </w:tc>
        <w:tc>
          <w:tcPr>
            <w:tcW w:w="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较优</w:t>
            </w: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较劣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劣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较优</w:t>
            </w: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较劣</w:t>
            </w: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自然因素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坡度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2.46%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1.23%</w:t>
            </w:r>
          </w:p>
        </w:tc>
        <w:tc>
          <w:tcPr>
            <w:tcW w:w="5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-0.52%</w:t>
            </w:r>
          </w:p>
        </w:tc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-1.03%</w:t>
            </w:r>
          </w:p>
        </w:tc>
        <w:tc>
          <w:tcPr>
            <w:tcW w:w="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1.60%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0.80%</w:t>
            </w: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-0.75%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-1.50%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1.46%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0.73%</w:t>
            </w: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-1.13%</w:t>
            </w: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-2.25%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坡向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2.14%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1.07%</w:t>
            </w:r>
          </w:p>
        </w:tc>
        <w:tc>
          <w:tcPr>
            <w:tcW w:w="5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-0.45%</w:t>
            </w:r>
          </w:p>
        </w:tc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-0.90%</w:t>
            </w:r>
          </w:p>
        </w:tc>
        <w:tc>
          <w:tcPr>
            <w:tcW w:w="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1.39%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0.70%</w:t>
            </w: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-0.66%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-1.31%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1.27%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0.64%</w:t>
            </w: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-0.98%</w:t>
            </w: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-1.95%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土壤有机质含量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2.06%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1.03%</w:t>
            </w:r>
          </w:p>
        </w:tc>
        <w:tc>
          <w:tcPr>
            <w:tcW w:w="5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-0.43%</w:t>
            </w:r>
          </w:p>
        </w:tc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-0.86%</w:t>
            </w:r>
          </w:p>
        </w:tc>
        <w:tc>
          <w:tcPr>
            <w:tcW w:w="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1.34%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0.67%</w:t>
            </w: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-0.63%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-1.26%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1.22%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0.61%</w:t>
            </w: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-0.94%</w:t>
            </w: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-1.88%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土壤质地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1.86%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0.93%</w:t>
            </w:r>
          </w:p>
        </w:tc>
        <w:tc>
          <w:tcPr>
            <w:tcW w:w="5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-0.39%</w:t>
            </w:r>
          </w:p>
        </w:tc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-0.78%</w:t>
            </w:r>
          </w:p>
        </w:tc>
        <w:tc>
          <w:tcPr>
            <w:tcW w:w="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1.21%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0.61%</w:t>
            </w: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-0.57%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-1.13%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1.10%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0.55%</w:t>
            </w: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-0.85%</w:t>
            </w: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-1.70%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土壤pH值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1.74%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0.87%</w:t>
            </w:r>
          </w:p>
        </w:tc>
        <w:tc>
          <w:tcPr>
            <w:tcW w:w="5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-0.37%</w:t>
            </w:r>
          </w:p>
        </w:tc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-0.73%</w:t>
            </w:r>
          </w:p>
        </w:tc>
        <w:tc>
          <w:tcPr>
            <w:tcW w:w="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1.13%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0.57%</w:t>
            </w: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-0.53%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-1.06%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1.03%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0.52%</w:t>
            </w: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-0.80%</w:t>
            </w: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-1.59%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土层厚度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1.70%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0.85%</w:t>
            </w:r>
          </w:p>
        </w:tc>
        <w:tc>
          <w:tcPr>
            <w:tcW w:w="5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-0.36%</w:t>
            </w:r>
          </w:p>
        </w:tc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-0.71%</w:t>
            </w:r>
          </w:p>
        </w:tc>
        <w:tc>
          <w:tcPr>
            <w:tcW w:w="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1.10%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0.55%</w:t>
            </w: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-0.52%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-1.03%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1.00%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0.50%</w:t>
            </w: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-0.78%</w:t>
            </w: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-1.55%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社会经济因素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对外交通便利度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1.86%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0.93%</w:t>
            </w:r>
          </w:p>
        </w:tc>
        <w:tc>
          <w:tcPr>
            <w:tcW w:w="5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-0.39%</w:t>
            </w:r>
          </w:p>
        </w:tc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-0.78%</w:t>
            </w:r>
          </w:p>
        </w:tc>
        <w:tc>
          <w:tcPr>
            <w:tcW w:w="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1.21%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0.61%</w:t>
            </w: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-0.57%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-1.13%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1.10%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0.55%</w:t>
            </w: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-0.85%</w:t>
            </w: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-1.69%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城镇影响度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1.78%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0.89%</w:t>
            </w:r>
          </w:p>
        </w:tc>
        <w:tc>
          <w:tcPr>
            <w:tcW w:w="5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-0.38%</w:t>
            </w:r>
          </w:p>
        </w:tc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-0.75%</w:t>
            </w:r>
          </w:p>
        </w:tc>
        <w:tc>
          <w:tcPr>
            <w:tcW w:w="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1.16%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0.58%</w:t>
            </w: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-0.54%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-1.08%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1.05%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0.53%</w:t>
            </w: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-0.81%</w:t>
            </w: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-1.62%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道路通达度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1.74%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0.87%</w:t>
            </w:r>
          </w:p>
        </w:tc>
        <w:tc>
          <w:tcPr>
            <w:tcW w:w="5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-0.37%</w:t>
            </w:r>
          </w:p>
        </w:tc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-0.73%</w:t>
            </w:r>
          </w:p>
        </w:tc>
        <w:tc>
          <w:tcPr>
            <w:tcW w:w="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1.13%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0.57%</w:t>
            </w: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-0.53%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-1.06%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1.03%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0.52%</w:t>
            </w: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-0.80%</w:t>
            </w: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-1.59%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特定因素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地质灾害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0.85%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0.43%</w:t>
            </w:r>
          </w:p>
        </w:tc>
        <w:tc>
          <w:tcPr>
            <w:tcW w:w="5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-0.18%</w:t>
            </w:r>
          </w:p>
        </w:tc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-0.36%</w:t>
            </w:r>
          </w:p>
        </w:tc>
        <w:tc>
          <w:tcPr>
            <w:tcW w:w="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0.55%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0.28%</w:t>
            </w: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-0.26%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-0.52%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0.50%</w:t>
            </w: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0.25%</w:t>
            </w:r>
          </w:p>
        </w:tc>
        <w:tc>
          <w:tcPr>
            <w:tcW w:w="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-0.39%</w:t>
            </w:r>
          </w:p>
        </w:tc>
        <w:tc>
          <w:tcPr>
            <w:tcW w:w="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-0.77%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before="156" w:beforeLines="50" w:after="156" w:afterLines="50" w:line="240" w:lineRule="auto"/>
        <w:ind w:left="425" w:leftChars="0" w:hanging="425" w:firstLineChars="0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br w:type="page"/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云阳县其他园地基准地价修正系数表</w:t>
      </w:r>
    </w:p>
    <w:tbl>
      <w:tblPr>
        <w:tblStyle w:val="7"/>
        <w:tblW w:w="1417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619"/>
        <w:gridCol w:w="733"/>
        <w:gridCol w:w="733"/>
        <w:gridCol w:w="652"/>
        <w:gridCol w:w="796"/>
        <w:gridCol w:w="799"/>
        <w:gridCol w:w="733"/>
        <w:gridCol w:w="733"/>
        <w:gridCol w:w="652"/>
        <w:gridCol w:w="796"/>
        <w:gridCol w:w="799"/>
        <w:gridCol w:w="733"/>
        <w:gridCol w:w="733"/>
        <w:gridCol w:w="652"/>
        <w:gridCol w:w="796"/>
        <w:gridCol w:w="8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03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因素体系</w:t>
            </w:r>
          </w:p>
        </w:tc>
        <w:tc>
          <w:tcPr>
            <w:tcW w:w="11141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修正系数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03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7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37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3715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303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较优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较劣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劣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较优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较劣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劣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较优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较劣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自然因素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坡度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2.28%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1.14%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-0.73%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-1.46%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1.11%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0.56%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-0.60%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-1.19%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1.39%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0.70%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-1.00%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-2.00%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坡向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2.09%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1.05%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-0.67%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-1.34%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1.02%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0.51%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-0.55%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-1.09%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1.28%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0.64%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-0.92%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-1.83%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土壤有机质含量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1.94%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0.97%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-0.62%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-1.24%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0.95%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0.48%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-0.51%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-1.02%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1.19%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0.60%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-0.85%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-1.70%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土壤质地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1.76%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0.88%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-0.56%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-1.12%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0.86%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0.43%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-0.46%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-0.92%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1.07%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0.54%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-0.77%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-1.54%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土壤pH值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1.64%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0.82%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-0.53%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-1.05%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0.80%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0.40%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-0.43%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-0.86%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1.00%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0.50%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-0.72%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-1.44%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土层厚度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1.57%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0.79%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-0.50%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-1.00%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0.77%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0.39%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-0.41%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-0.82%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0.96%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0.48%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-0.69%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-1.37%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社会经济因素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对外交通便利度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1.50%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0.75%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-0.48%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-0.95%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0.73%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0.37%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-0.39%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-0.78%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0.91%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0.46%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-0.66%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-1.31%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城镇影响度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1.64%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0.82%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-0.53%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-1.05%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0.80%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0.40%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-0.43%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-0.86%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1.00%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0.50%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-0.72%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-1.44%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道路通达度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1.68%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0.84%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-0.54%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-1.07%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0.82%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0.41%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-0.44%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-0.88%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1.03%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0.52%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-0.74%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-1.47%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特定因素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地质灾害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0.71%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0.36%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-0.23%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-0.45%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0.35%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0.18%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-0.19%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-0.37%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0.43%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0.22%</w:t>
            </w:r>
          </w:p>
        </w:tc>
        <w:tc>
          <w:tcPr>
            <w:tcW w:w="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-0.31%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-0.62%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before="156" w:beforeLines="50" w:after="156" w:afterLines="50" w:line="240" w:lineRule="auto"/>
        <w:ind w:left="425" w:leftChars="0" w:hanging="425" w:firstLineChars="0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br w:type="page"/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云阳县1级林地因素修正指标说明表</w:t>
      </w:r>
    </w:p>
    <w:tbl>
      <w:tblPr>
        <w:tblStyle w:val="7"/>
        <w:tblW w:w="141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846"/>
        <w:gridCol w:w="2218"/>
        <w:gridCol w:w="2203"/>
        <w:gridCol w:w="2217"/>
        <w:gridCol w:w="2204"/>
        <w:gridCol w:w="2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5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地价影响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因素</w:t>
            </w:r>
          </w:p>
        </w:tc>
        <w:tc>
          <w:tcPr>
            <w:tcW w:w="115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修正指标说明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65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较优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较劣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自然因素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坡度</w:t>
            </w:r>
          </w:p>
        </w:tc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&lt;5°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5°-15°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15°-25°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25°-35°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≥35°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向</w:t>
            </w:r>
          </w:p>
        </w:tc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阳坡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半阳坡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平坡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半阴坡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阴坡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土层厚度</w:t>
            </w:r>
          </w:p>
        </w:tc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≥80cm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70-80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60-70cm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50-60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&lt;50cm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社会经济因素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对外交通便利度</w:t>
            </w:r>
          </w:p>
        </w:tc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距离最近交通设施近，＜1k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距离最近交通设施较近，1-2k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距离最近交通设施一般，2-3k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距离最近交通设施较远，3-4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距离最近交通设施远，≥4k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交通通达度</w:t>
            </w:r>
          </w:p>
        </w:tc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国道、省道能通达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县道能通达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乡道能通达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只有村道能通达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无道路通达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 xml:space="preserve">林地经营效果 </w:t>
            </w:r>
          </w:p>
        </w:tc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林木密度高、生物多样性丰富，公顷蓄积≥80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林木密度高、生物多样性一般，公顷蓄积60-80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林木密度一般、生物多样性一般，公顷蓄积40-60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林木密度偏低、生物多样性较差，公顷蓄积30-40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林木密度低、生物多样性匮乏，公顷蓄积&lt;30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经营规模</w:t>
            </w:r>
          </w:p>
        </w:tc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林地规模≥80公顷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林地规模50-80公顷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林地规模30-50公顷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林地规模10-30公顷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林地规模&lt;10公顷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管护条件</w:t>
            </w:r>
          </w:p>
        </w:tc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管护措施正确及时，生产力和质量提高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管护措施正确、尚及时，生产力和质量有所改善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管护措施正确、尚及时，生产力和质量保持稳定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管护措施正确、不及时，生产力和质量有所降低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管护措施不及时或未进行管理，生产力和质量较差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特定因素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集材距离</w:t>
            </w:r>
          </w:p>
        </w:tc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距离最近木材堆头近，&lt;0.5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km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距离最近木材堆头较近，0.5-1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km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距离最近木材堆头一般，1-1.5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km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距离最近木材堆头较远，1.5-2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km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距离最近木材堆头远，≥2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km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地质灾害</w:t>
            </w:r>
          </w:p>
        </w:tc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不发生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基本不发生，每20年会发生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低度易发生，每10年会发生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中度易发生，每5年会发生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高度易发生，每年都发生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环境污染</w:t>
            </w:r>
          </w:p>
        </w:tc>
        <w:tc>
          <w:tcPr>
            <w:tcW w:w="2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无污染</w:t>
            </w:r>
          </w:p>
        </w:tc>
        <w:tc>
          <w:tcPr>
            <w:tcW w:w="22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达到警戒线，对个别林木有轻微影响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轻度污染，不适合个别林木</w:t>
            </w:r>
          </w:p>
        </w:tc>
        <w:tc>
          <w:tcPr>
            <w:tcW w:w="2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中度污染，不适合部分林木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中度污染，不适合大部分林木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before="156" w:beforeLines="50" w:after="156" w:afterLines="50" w:line="240" w:lineRule="auto"/>
        <w:ind w:left="425" w:leftChars="0" w:hanging="425" w:firstLineChars="0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br w:type="page"/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云阳县2级林地因素修正指标说明表</w:t>
      </w:r>
    </w:p>
    <w:tbl>
      <w:tblPr>
        <w:tblStyle w:val="7"/>
        <w:tblW w:w="1417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911"/>
        <w:gridCol w:w="2014"/>
        <w:gridCol w:w="2215"/>
        <w:gridCol w:w="2150"/>
        <w:gridCol w:w="2150"/>
        <w:gridCol w:w="24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18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地价影响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因素</w:t>
            </w:r>
          </w:p>
        </w:tc>
        <w:tc>
          <w:tcPr>
            <w:tcW w:w="109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修正指标说明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18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较优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一般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较劣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自然因素</w:t>
            </w:r>
          </w:p>
        </w:tc>
        <w:tc>
          <w:tcPr>
            <w:tcW w:w="1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坡度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&lt;5°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5°-15°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15°-25°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25°-35°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≥35°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坡向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阳坡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半阳坡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平坡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半阴坡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阴坡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土层厚度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≥70cm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60-70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50-60cm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40-50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&lt;40cm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社会经济因素</w:t>
            </w:r>
          </w:p>
        </w:tc>
        <w:tc>
          <w:tcPr>
            <w:tcW w:w="1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对外交通便利度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距离最近交通设施近，＜1.5k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距离最近交通设施较近，1.5-3k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距离最近交通设施一般，3-4.5k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距离最近交通设施较远，4.5-6k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距离最近交通设施远，≥6k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交通通达度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国道、省道能通达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县道能通达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乡道能通达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只有村道能通达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无道路通达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 xml:space="preserve">林地经营效果 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林木密度高、生物多样性丰富，公顷蓄积≥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林木密度高、生物多样性一般，公顷蓄积40-50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林木密度一般、生物多样性一般，公顷蓄积30-40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林木密度偏低、生物多样性较差，公顷蓄积20-30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林木密度低、生物多样性匮乏，公顷蓄积&lt;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经营规模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林地规模≥50公顷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林地规模30-50公顷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林地规模15-30公顷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林地规模8-15公顷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林地规模&lt;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公顷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管护条件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管护措施正确及时，生产力和质量提高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管护措施正确、尚及时，生产力和质量有所改善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管护措施正确、尚及时，生产力和质量保持稳定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管护措施正确、不及时，生产力和质量有所降低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管护措施不及时或未进行管理，生产力和质量较差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特定因素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bookmarkStart w:id="33" w:name="_GoBack"/>
            <w:bookmarkEnd w:id="33"/>
          </w:p>
        </w:tc>
        <w:tc>
          <w:tcPr>
            <w:tcW w:w="1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集材距离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距离最近木材堆头近，&lt;1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km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距离最近木材堆头较近，1-1.5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km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距离最近木材堆头一般，1.5-2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km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距离最近木材堆头较远，2-2.5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km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距离最近木材堆头远，≥2.5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km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地质灾害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不发生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基本不发生，每20年会发生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低度易发生，每10年会发生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中度易发生，每5年会发生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高度易发生，每年都发生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环境污染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无污染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达到警戒线，对个别林木有轻微影响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轻度污染，不适合个别林木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中度污染，不适合部分林木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中度污染，不适合大部分林木</w:t>
            </w:r>
          </w:p>
        </w:tc>
      </w:tr>
    </w:tbl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FC1F62-C01B-4834-A173-AA07DFE9ED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1D0FCE5-F4EA-48DB-8D23-59EF097A144A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2872F19-DF36-4FC0-B971-00A0DE1BBB5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D957CDF-05AC-43A3-A522-5781782FFC3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27548BD-330D-46E9-B844-DA4C0070E5D3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7366D821-78BF-4AB1-9DD4-49BC42453C96}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  <w:embedRegular r:id="rId7" w:fontKey="{C948D973-6F3F-4056-8B63-0EAD15BCF4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E50E3"/>
    <w:multiLevelType w:val="multilevel"/>
    <w:tmpl w:val="4C6E50E3"/>
    <w:lvl w:ilvl="0" w:tentative="0">
      <w:start w:val="1"/>
      <w:numFmt w:val="decimal"/>
      <w:lvlText w:val="第%1章"/>
      <w:lvlJc w:val="left"/>
      <w:pPr>
        <w:ind w:left="716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zk1NmM4YzhjZWQzMTI3NWJiNTM2ZTU2ZWYyMDgifQ=="/>
  </w:docVars>
  <w:rsids>
    <w:rsidRoot w:val="3D9939BC"/>
    <w:rsid w:val="06497B03"/>
    <w:rsid w:val="36D73B23"/>
    <w:rsid w:val="3D9939BC"/>
    <w:rsid w:val="7B2F2680"/>
    <w:rsid w:val="7B364B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ascii="Calibri" w:hAnsi="Calibri" w:eastAsia="宋体" w:cs="Times New Roman"/>
      <w:b/>
      <w:bCs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9">
    <w:name w:val="D正文"/>
    <w:basedOn w:val="6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6400</Words>
  <Characters>9345</Characters>
  <Lines>0</Lines>
  <Paragraphs>0</Paragraphs>
  <TotalTime>1</TotalTime>
  <ScaleCrop>false</ScaleCrop>
  <LinksUpToDate>false</LinksUpToDate>
  <CharactersWithSpaces>9578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2024-09-03T21:05:00Z</dcterms:created>
  <dc:creator>刘津良</dc:creator>
  <cp:lastModifiedBy>刘津良</cp:lastModifiedBy>
  <dcterms:modified xsi:type="dcterms:W3CDTF">2024-09-03T05:45:28Z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95DB66A5BF4142669E7AAFAFE1C0B920</vt:lpwstr>
  </property>
</Properties>
</file>