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BD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Times New Roman" w:hAnsi="Times New Roman" w:eastAsia="仿宋" w:cs="宋体"/>
          <w:kern w:val="0"/>
          <w:sz w:val="32"/>
          <w:szCs w:val="32"/>
        </w:rPr>
      </w:pPr>
      <w:bookmarkStart w:id="0" w:name="_GoBack"/>
    </w:p>
    <w:p w14:paraId="377DC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0D216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2.6pt;margin-top:23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6B3CF7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1B5AB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69EC4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13E48D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云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发改价〔20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563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号</w:t>
      </w:r>
    </w:p>
    <w:p w14:paraId="04166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28575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7pt;margin-top:2.25pt;height:1.45pt;width:437.4pt;z-index:251660288;mso-width-relative:page;mso-height-relative:page;" filled="f" stroked="t" coordsize="21600,21600" o:gfxdata="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SwdBNcAAAAFAQAADwAAAAAAAAAB&#10;ACAAAAAiAAAAZHJzL2Rvd25yZXYueG1sUEsBAhQAFAAAAAgAh07iQPi9tmwRAgAADQQAAA4AAAAA&#10;AAAAAQAgAAAAJgEAAGRycy9lMm9Eb2MueG1sUEsFBgAAAAAGAAYAWQEAAKk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CC97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40DA5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发展和改革委员会</w:t>
      </w:r>
    </w:p>
    <w:p w14:paraId="24D28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20" w:lineRule="exact"/>
        <w:ind w:left="0" w:leftChars="0" w:right="0" w:rightChars="0"/>
        <w:jc w:val="center"/>
        <w:outlineLvl w:val="9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彭氏宗祠景区门票价格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的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批复</w:t>
      </w:r>
    </w:p>
    <w:p w14:paraId="6FB92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40" w:lineRule="exact"/>
        <w:ind w:left="0" w:leftChars="0" w:right="0" w:rightChars="0"/>
        <w:outlineLvl w:val="9"/>
        <w:rPr>
          <w:rFonts w:ascii="Times New Roman" w:hAnsi="Times New Roman"/>
          <w:color w:val="auto"/>
        </w:rPr>
      </w:pPr>
    </w:p>
    <w:p w14:paraId="5587B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0" w:leftChars="0" w:right="0" w:rightChars="0"/>
        <w:outlineLvl w:val="9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云阳县农高广惠农业投资发展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有限公司：</w:t>
      </w:r>
    </w:p>
    <w:p w14:paraId="6B087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40" w:lineRule="exact"/>
        <w:ind w:left="0" w:leftChars="0" w:right="0" w:rightChars="0" w:firstLine="640" w:firstLineChars="200"/>
        <w:jc w:val="left"/>
        <w:outlineLvl w:val="9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你司《关于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彭氏宗祠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收费标准的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请示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》收悉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</w:rPr>
        <w:t>发展和改革委员会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彭氏宗祠景区门票试行价格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批复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云阳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发改价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294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号）已到期，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  <w:woUserID w:val="1"/>
        </w:rPr>
        <w:t>试行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期间，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  <w:woUserID w:val="1"/>
        </w:rPr>
        <w:t>景区运行良好，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经研究，同意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你司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申请彭氏宗祠景区门票收费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30元/人.次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正式价格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现批复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如下：</w:t>
      </w:r>
    </w:p>
    <w:p w14:paraId="5BDA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一、景点门票价格</w:t>
      </w:r>
    </w:p>
    <w:p w14:paraId="0C98F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彭氏宗祠景区门票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价格为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0元/人.次。</w:t>
      </w:r>
    </w:p>
    <w:p w14:paraId="269D5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二、减免优惠政策</w:t>
      </w:r>
    </w:p>
    <w:p w14:paraId="1ABE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6周岁（含）以下或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身高1.20米（含）以下的儿童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周岁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（含）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以上老年人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残疾人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凭有效证件免收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门票。</w:t>
      </w:r>
    </w:p>
    <w:p w14:paraId="4C607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对现役军人、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伤残军人、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退役军人、“三属”（烈属、因公牺牲军人遗属、病故军遗属）、现役军人家属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凭有效证件免收门票费。</w:t>
      </w:r>
    </w:p>
    <w:p w14:paraId="0A601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6周岁至18周岁（含）的未成年人、全日制大学本科以下学生、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60周岁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（含）至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65周岁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的老年人凭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有效证件实行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门票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半价收费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7EBC6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（四）对旅行社团购门票实行的价格优惠率最高不得超过门票价格的20%。</w:t>
      </w:r>
    </w:p>
    <w:p w14:paraId="47E0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三、相关要求</w:t>
      </w:r>
    </w:p>
    <w:p w14:paraId="1D57F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（一）你司接此批复后应按照明码标价的规定到县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市场监管局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办理明码标价监制手续，在景区醒目位置公示门票价格，接受价格主管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、市场监管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部门和社会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的监督。</w:t>
      </w:r>
    </w:p>
    <w:p w14:paraId="1CBDC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（二）你司要加强宣传，向游客做好解释工作，同时要建立健全财务、安全等管理制度，不断完善景区的设施设备，提高服务质量，确保游客享受到安全周到的服务。</w:t>
      </w:r>
    </w:p>
    <w:p w14:paraId="4B0AA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四、本门票价格自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印发之日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起执行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营情况，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按照价格管理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程序和权限调整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门票价格。</w:t>
      </w:r>
    </w:p>
    <w:p w14:paraId="6802D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024B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云阳县发展和改革委员会</w:t>
      </w:r>
    </w:p>
    <w:p w14:paraId="23E43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</w:t>
      </w:r>
    </w:p>
    <w:p w14:paraId="6C909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40" w:lineRule="exact"/>
        <w:ind w:right="0" w:rightChars="0"/>
        <w:outlineLvl w:val="9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</w:p>
    <w:p w14:paraId="4094D56E">
      <w:pPr>
        <w:pBdr>
          <w:top w:val="single" w:color="auto" w:sz="12" w:space="1"/>
          <w:bottom w:val="single" w:color="auto" w:sz="12" w:space="1"/>
        </w:pBdr>
        <w:spacing w:line="600" w:lineRule="exact"/>
        <w:ind w:firstLine="280" w:firstLineChars="1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/>
          <w:sz w:val="28"/>
          <w:szCs w:val="28"/>
        </w:rPr>
        <w:t>云阳县发展和改革委员会办公室           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bookmarkEnd w:id="0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7037536D"/>
    <w:rsid w:val="3A29797A"/>
    <w:rsid w:val="3B902ED6"/>
    <w:rsid w:val="49AA1C6F"/>
    <w:rsid w:val="58D24792"/>
    <w:rsid w:val="7037536D"/>
    <w:rsid w:val="ED5FA6C3"/>
    <w:rsid w:val="EF7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34" w:lineRule="atLeast"/>
      <w:jc w:val="both"/>
      <w:textAlignment w:val="baseline"/>
    </w:pPr>
    <w:rPr>
      <w:rFonts w:ascii="宋体" w:hAnsi="Times New Roman" w:eastAsia="仿宋_GB2312" w:cs="Times New Roman"/>
      <w:color w:val="000000"/>
      <w:sz w:val="31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650</Words>
  <Characters>679</Characters>
  <Lines>0</Lines>
  <Paragraphs>0</Paragraphs>
  <TotalTime>1</TotalTime>
  <ScaleCrop>false</ScaleCrop>
  <LinksUpToDate>false</LinksUpToDate>
  <CharactersWithSpaces>691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2024-11-13T10:13:00Z</dcterms:created>
  <dc:creator>Administrator</dc:creator>
  <cp:lastModifiedBy>WC</cp:lastModifiedBy>
  <dcterms:modified xsi:type="dcterms:W3CDTF">2024-11-14T08:25:27Z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F88BCF90CAD446848111145361643970_11</vt:lpwstr>
  </property>
</Properties>
</file>