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4ACD5">
      <w:pPr>
        <w:pStyle w:val="9"/>
        <w:widowControl/>
        <w:spacing w:beforeAutospacing="0" w:afterAutospacing="0" w:line="600" w:lineRule="exact"/>
        <w:jc w:val="center"/>
        <w:rPr>
          <w:rFonts w:ascii="方正小标宋_GBK" w:hAnsi="方正小标宋_GBK" w:eastAsia="方正小标宋_GBK" w:cs="方正小标宋_GBK"/>
          <w:sz w:val="44"/>
          <w:szCs w:val="44"/>
        </w:rPr>
      </w:pPr>
    </w:p>
    <w:p w14:paraId="314C80F6">
      <w:pPr>
        <w:keepNext w:val="0"/>
        <w:keepLines w:val="0"/>
        <w:pageBreakBefore w:val="0"/>
        <w:widowControl w:val="0"/>
        <w:kinsoku/>
        <w:wordWrap/>
        <w:overflowPunct w:val="0"/>
        <w:topLinePunct w:val="0"/>
        <w:autoSpaceDE/>
        <w:autoSpaceDN/>
        <w:bidi w:val="0"/>
        <w:adjustRightInd w:val="0"/>
        <w:snapToGrid w:val="0"/>
        <w:spacing w:line="540" w:lineRule="exact"/>
        <w:jc w:val="center"/>
        <w:textAlignment w:val="auto"/>
        <w:rPr>
          <w:rFonts w:hint="eastAsia" w:ascii="Times New Roman" w:hAnsi="Times New Roman" w:eastAsia="方正小标宋_GBK" w:cs="Times New Roman"/>
          <w:b w:val="0"/>
          <w:bCs w:val="0"/>
          <w:color w:val="000000"/>
          <w:kern w:val="2"/>
          <w:sz w:val="44"/>
          <w:szCs w:val="44"/>
          <w:lang w:eastAsia="zh-CN"/>
        </w:rPr>
      </w:pPr>
      <w:r>
        <w:rPr>
          <w:rFonts w:ascii="Times New Roman" w:hAnsi="Times New Roman" w:eastAsia="方正小标宋_GBK" w:cs="Times New Roman"/>
          <w:b w:val="0"/>
          <w:bCs w:val="0"/>
          <w:color w:val="000000"/>
          <w:kern w:val="2"/>
          <w:sz w:val="44"/>
          <w:szCs w:val="44"/>
          <w:lang w:eastAsia="zh-CN"/>
        </w:rPr>
        <w:t>云阳县</w:t>
      </w:r>
      <w:r>
        <w:rPr>
          <w:rFonts w:hint="eastAsia" w:ascii="Times New Roman" w:hAnsi="Times New Roman" w:eastAsia="方正小标宋_GBK" w:cs="Times New Roman"/>
          <w:b w:val="0"/>
          <w:bCs w:val="0"/>
          <w:color w:val="000000"/>
          <w:kern w:val="2"/>
          <w:sz w:val="44"/>
          <w:szCs w:val="44"/>
          <w:lang w:eastAsia="zh-CN"/>
        </w:rPr>
        <w:t>发展和改革委员会</w:t>
      </w:r>
    </w:p>
    <w:p w14:paraId="63B48682">
      <w:pPr>
        <w:keepNext w:val="0"/>
        <w:keepLines w:val="0"/>
        <w:pageBreakBefore w:val="0"/>
        <w:widowControl w:val="0"/>
        <w:kinsoku/>
        <w:wordWrap/>
        <w:overflowPunct w:val="0"/>
        <w:topLinePunct w:val="0"/>
        <w:autoSpaceDE/>
        <w:autoSpaceDN/>
        <w:bidi w:val="0"/>
        <w:adjustRightInd w:val="0"/>
        <w:snapToGrid w:val="0"/>
        <w:spacing w:line="540" w:lineRule="exact"/>
        <w:jc w:val="center"/>
        <w:textAlignment w:val="auto"/>
        <w:rPr>
          <w:rFonts w:hint="eastAsia" w:ascii="Times New Roman" w:hAnsi="Times New Roman" w:eastAsia="方正小标宋_GBK" w:cs="Times New Roman"/>
          <w:b w:val="0"/>
          <w:bCs w:val="0"/>
          <w:color w:val="000000"/>
          <w:kern w:val="2"/>
          <w:sz w:val="44"/>
          <w:szCs w:val="44"/>
          <w:lang w:eastAsia="zh-CN"/>
        </w:rPr>
      </w:pPr>
      <w:r>
        <w:rPr>
          <w:rFonts w:ascii="Times New Roman" w:hAnsi="Times New Roman" w:eastAsia="方正小标宋_GBK" w:cs="Times New Roman"/>
          <w:b w:val="0"/>
          <w:bCs w:val="0"/>
          <w:color w:val="000000"/>
          <w:kern w:val="2"/>
          <w:sz w:val="44"/>
          <w:szCs w:val="44"/>
          <w:lang w:eastAsia="zh-CN"/>
        </w:rPr>
        <w:t>云阳县</w:t>
      </w:r>
      <w:r>
        <w:rPr>
          <w:rFonts w:hint="eastAsia" w:ascii="Times New Roman" w:hAnsi="Times New Roman" w:eastAsia="方正小标宋_GBK" w:cs="Times New Roman"/>
          <w:b w:val="0"/>
          <w:bCs w:val="0"/>
          <w:color w:val="000000"/>
          <w:kern w:val="2"/>
          <w:sz w:val="44"/>
          <w:szCs w:val="44"/>
          <w:lang w:eastAsia="zh-CN"/>
        </w:rPr>
        <w:t>招商引资服务中心</w:t>
      </w:r>
    </w:p>
    <w:p w14:paraId="2AAB383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方正小标宋_GBK"/>
          <w:color w:val="auto"/>
          <w:sz w:val="44"/>
          <w:szCs w:val="44"/>
          <w:lang w:eastAsia="zh-CN"/>
        </w:rPr>
      </w:pPr>
      <w:r>
        <w:rPr>
          <w:rFonts w:ascii="Times New Roman" w:hAnsi="Times New Roman" w:eastAsia="方正小标宋_GBK" w:cs="Times New Roman"/>
          <w:b w:val="0"/>
          <w:bCs w:val="0"/>
          <w:color w:val="000000"/>
          <w:kern w:val="2"/>
          <w:sz w:val="44"/>
          <w:szCs w:val="44"/>
          <w:lang w:eastAsia="zh-CN"/>
        </w:rPr>
        <w:t>关于印发</w:t>
      </w:r>
      <w:r>
        <w:rPr>
          <w:rFonts w:hint="eastAsia" w:ascii="Times New Roman" w:hAnsi="Times New Roman" w:eastAsia="方正仿宋_GBK" w:cs="Times New Roman"/>
          <w:b w:val="0"/>
          <w:bCs w:val="0"/>
          <w:kern w:val="2"/>
          <w:sz w:val="32"/>
          <w:szCs w:val="32"/>
          <w:lang w:eastAsia="zh-CN"/>
        </w:rPr>
        <w:t>《</w:t>
      </w:r>
      <w:r>
        <w:rPr>
          <w:rFonts w:hint="eastAsia" w:ascii="Times New Roman" w:hAnsi="Times New Roman" w:eastAsia="方正小标宋_GBK" w:cs="方正小标宋_GBK"/>
          <w:color w:val="auto"/>
          <w:sz w:val="44"/>
          <w:szCs w:val="44"/>
        </w:rPr>
        <w:t>云阳县</w:t>
      </w:r>
      <w:r>
        <w:rPr>
          <w:rFonts w:hint="eastAsia" w:ascii="Times New Roman" w:hAnsi="Times New Roman" w:eastAsia="方正小标宋_GBK" w:cs="方正小标宋_GBK"/>
          <w:color w:val="auto"/>
          <w:sz w:val="44"/>
          <w:szCs w:val="44"/>
          <w:lang w:eastAsia="zh-CN"/>
        </w:rPr>
        <w:t>招商工作成效激励</w:t>
      </w:r>
    </w:p>
    <w:p w14:paraId="75D063DB">
      <w:pPr>
        <w:keepNext w:val="0"/>
        <w:keepLines w:val="0"/>
        <w:pageBreakBefore w:val="0"/>
        <w:widowControl w:val="0"/>
        <w:kinsoku/>
        <w:wordWrap/>
        <w:topLinePunct w:val="0"/>
        <w:autoSpaceDE/>
        <w:autoSpaceDN/>
        <w:bidi w:val="0"/>
        <w:spacing w:line="540" w:lineRule="exact"/>
        <w:jc w:val="center"/>
        <w:textAlignment w:val="auto"/>
        <w:rPr>
          <w:rFonts w:ascii="Calibri" w:hAnsi="Calibri" w:eastAsia="宋体" w:cs="宋体"/>
          <w:kern w:val="0"/>
          <w:sz w:val="21"/>
          <w:szCs w:val="32"/>
          <w:lang w:val="en-US" w:eastAsia="zh-CN" w:bidi="ar-SA"/>
        </w:rPr>
      </w:pPr>
      <w:r>
        <w:rPr>
          <w:rFonts w:hint="eastAsia" w:ascii="Times New Roman" w:hAnsi="Times New Roman" w:eastAsia="方正小标宋_GBK" w:cs="方正小标宋_GBK"/>
          <w:color w:val="auto"/>
          <w:kern w:val="0"/>
          <w:sz w:val="44"/>
          <w:szCs w:val="44"/>
          <w:lang w:val="en-US" w:eastAsia="zh-CN" w:bidi="ar-SA"/>
        </w:rPr>
        <w:t>办法（试行）</w:t>
      </w:r>
      <w:r>
        <w:rPr>
          <w:rFonts w:hint="eastAsia" w:ascii="Times New Roman" w:hAnsi="Times New Roman" w:eastAsia="方正仿宋_GBK" w:cs="Times New Roman"/>
          <w:b w:val="0"/>
          <w:bCs w:val="0"/>
          <w:kern w:val="2"/>
          <w:sz w:val="32"/>
          <w:szCs w:val="32"/>
          <w:lang w:val="en-US" w:eastAsia="zh-CN" w:bidi="ar-SA"/>
        </w:rPr>
        <w:t>》</w:t>
      </w:r>
      <w:r>
        <w:rPr>
          <w:rStyle w:val="13"/>
          <w:rFonts w:hint="eastAsia" w:ascii="方正小标宋_GBK" w:hAnsi="方正小标宋_GBK" w:eastAsia="方正小标宋_GBK" w:cs="方正小标宋_GBK"/>
          <w:b w:val="0"/>
          <w:kern w:val="2"/>
          <w:sz w:val="44"/>
          <w:szCs w:val="44"/>
          <w:shd w:val="clear" w:color="auto" w:fill="FFFFFF"/>
          <w:lang w:val="en-US" w:eastAsia="zh-CN" w:bidi="ar-SA"/>
        </w:rPr>
        <w:t>的通知</w:t>
      </w:r>
    </w:p>
    <w:p w14:paraId="18D75C7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方正仿宋_GBK" w:cs="Times New Roman"/>
          <w:color w:val="000000"/>
          <w:sz w:val="32"/>
          <w:szCs w:val="32"/>
        </w:rPr>
      </w:pPr>
      <w:r>
        <w:rPr>
          <w:rFonts w:eastAsia="方正仿宋_GBK" w:cs="Times New Roman"/>
          <w:color w:val="000000"/>
          <w:sz w:val="32"/>
          <w:szCs w:val="32"/>
        </w:rPr>
        <w:t>云阳发改</w:t>
      </w:r>
      <w:r>
        <w:rPr>
          <w:rFonts w:hint="eastAsia" w:eastAsia="方正仿宋_GBK" w:cs="Times New Roman"/>
          <w:color w:val="000000"/>
          <w:sz w:val="32"/>
          <w:szCs w:val="32"/>
          <w:lang w:eastAsia="zh-CN"/>
        </w:rPr>
        <w:t>规范</w:t>
      </w:r>
      <w:r>
        <w:rPr>
          <w:rFonts w:eastAsia="方正仿宋_GBK" w:cs="Times New Roman"/>
          <w:color w:val="000000"/>
          <w:sz w:val="32"/>
          <w:szCs w:val="32"/>
        </w:rPr>
        <w:t>〔202</w:t>
      </w:r>
      <w:r>
        <w:rPr>
          <w:rFonts w:hint="eastAsia" w:eastAsia="方正仿宋_GBK" w:cs="Times New Roman"/>
          <w:color w:val="000000"/>
          <w:sz w:val="32"/>
          <w:szCs w:val="32"/>
          <w:lang w:val="en-US" w:eastAsia="zh-CN"/>
        </w:rPr>
        <w:t>5</w:t>
      </w:r>
      <w:r>
        <w:rPr>
          <w:rFonts w:eastAsia="方正仿宋_GBK" w:cs="Times New Roman"/>
          <w:color w:val="000000"/>
          <w:sz w:val="32"/>
          <w:szCs w:val="32"/>
        </w:rPr>
        <w:t>〕</w:t>
      </w:r>
      <w:r>
        <w:rPr>
          <w:rFonts w:hint="eastAsia" w:eastAsia="方正仿宋_GBK" w:cs="Times New Roman"/>
          <w:color w:val="000000"/>
          <w:sz w:val="32"/>
          <w:szCs w:val="32"/>
          <w:lang w:val="en-US" w:eastAsia="zh-CN"/>
        </w:rPr>
        <w:t>1</w:t>
      </w:r>
      <w:r>
        <w:rPr>
          <w:rFonts w:eastAsia="方正仿宋_GBK" w:cs="Times New Roman"/>
          <w:color w:val="000000"/>
          <w:sz w:val="32"/>
          <w:szCs w:val="32"/>
        </w:rPr>
        <w:t>号</w:t>
      </w:r>
    </w:p>
    <w:p w14:paraId="042F3E2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方正仿宋_GBK" w:cs="Times New Roman"/>
          <w:color w:val="000000"/>
          <w:sz w:val="32"/>
          <w:szCs w:val="32"/>
        </w:rPr>
      </w:pPr>
    </w:p>
    <w:p w14:paraId="7794E8EB">
      <w:pPr>
        <w:keepNext w:val="0"/>
        <w:keepLines w:val="0"/>
        <w:pageBreakBefore w:val="0"/>
        <w:widowControl w:val="0"/>
        <w:kinsoku/>
        <w:topLinePunct w:val="0"/>
        <w:autoSpaceDE/>
        <w:autoSpaceDN/>
        <w:bidi w:val="0"/>
        <w:snapToGrid/>
        <w:spacing w:line="600" w:lineRule="exact"/>
        <w:textAlignment w:val="auto"/>
        <w:rPr>
          <w:rFonts w:ascii="方正仿宋_GBK" w:hAnsi="方正仿宋_GBK" w:eastAsia="方正仿宋_GBK" w:cs="Times New Roman"/>
          <w:kern w:val="0"/>
          <w:sz w:val="32"/>
          <w:szCs w:val="32"/>
          <w:shd w:val="clear" w:color="auto" w:fill="FFFFFF"/>
        </w:rPr>
      </w:pPr>
      <w:r>
        <w:rPr>
          <w:rFonts w:hint="eastAsia" w:ascii="Times New Roman" w:hAnsi="Times New Roman" w:eastAsia="方正仿宋_GBK" w:cs="Times New Roman"/>
          <w:b w:val="0"/>
          <w:bCs w:val="0"/>
          <w:kern w:val="2"/>
          <w:sz w:val="32"/>
          <w:szCs w:val="32"/>
          <w:lang w:eastAsia="zh-CN"/>
        </w:rPr>
        <w:t>各</w:t>
      </w:r>
      <w:r>
        <w:rPr>
          <w:rFonts w:ascii="Times New Roman" w:hAnsi="Times New Roman" w:eastAsia="方正仿宋_GBK" w:cs="Times New Roman"/>
          <w:b w:val="0"/>
          <w:bCs w:val="0"/>
          <w:kern w:val="2"/>
          <w:sz w:val="32"/>
          <w:szCs w:val="32"/>
          <w:lang w:eastAsia="zh-CN"/>
        </w:rPr>
        <w:t>乡镇人民政府、街道办事处</w:t>
      </w:r>
      <w:r>
        <w:rPr>
          <w:rFonts w:hint="eastAsia" w:ascii="Times New Roman" w:hAnsi="Times New Roman" w:eastAsia="方正仿宋_GBK" w:cs="Times New Roman"/>
          <w:b w:val="0"/>
          <w:bCs w:val="0"/>
          <w:kern w:val="2"/>
          <w:sz w:val="32"/>
          <w:szCs w:val="32"/>
          <w:lang w:eastAsia="zh-CN"/>
        </w:rPr>
        <w:t>，</w:t>
      </w:r>
      <w:r>
        <w:rPr>
          <w:rFonts w:ascii="Times New Roman" w:hAnsi="Times New Roman" w:eastAsia="方正仿宋_GBK" w:cs="Times New Roman"/>
          <w:b w:val="0"/>
          <w:bCs w:val="0"/>
          <w:kern w:val="2"/>
          <w:sz w:val="32"/>
          <w:szCs w:val="32"/>
          <w:lang w:eastAsia="zh-CN"/>
        </w:rPr>
        <w:t>县政府</w:t>
      </w:r>
      <w:r>
        <w:rPr>
          <w:rFonts w:hint="eastAsia" w:ascii="Times New Roman" w:hAnsi="Times New Roman" w:eastAsia="方正仿宋_GBK" w:cs="Times New Roman"/>
          <w:b w:val="0"/>
          <w:bCs w:val="0"/>
          <w:kern w:val="2"/>
          <w:sz w:val="32"/>
          <w:szCs w:val="32"/>
          <w:lang w:eastAsia="zh-CN"/>
        </w:rPr>
        <w:t>各</w:t>
      </w:r>
      <w:r>
        <w:rPr>
          <w:rFonts w:ascii="Times New Roman" w:hAnsi="Times New Roman" w:eastAsia="方正仿宋_GBK" w:cs="Times New Roman"/>
          <w:b w:val="0"/>
          <w:bCs w:val="0"/>
          <w:kern w:val="2"/>
          <w:sz w:val="32"/>
          <w:szCs w:val="32"/>
          <w:lang w:eastAsia="zh-CN"/>
        </w:rPr>
        <w:t>部门</w:t>
      </w:r>
      <w:r>
        <w:rPr>
          <w:rFonts w:hint="eastAsia" w:ascii="Times New Roman" w:hAnsi="Times New Roman" w:eastAsia="方正仿宋_GBK" w:cs="Times New Roman"/>
          <w:b w:val="0"/>
          <w:bCs w:val="0"/>
          <w:kern w:val="2"/>
          <w:sz w:val="32"/>
          <w:szCs w:val="32"/>
          <w:lang w:eastAsia="zh-CN"/>
        </w:rPr>
        <w:t>，</w:t>
      </w:r>
      <w:r>
        <w:rPr>
          <w:rFonts w:ascii="Times New Roman" w:hAnsi="Times New Roman" w:eastAsia="方正仿宋_GBK" w:cs="Times New Roman"/>
          <w:b w:val="0"/>
          <w:bCs w:val="0"/>
          <w:kern w:val="2"/>
          <w:sz w:val="32"/>
          <w:szCs w:val="32"/>
          <w:lang w:eastAsia="zh-CN"/>
        </w:rPr>
        <w:t>有关单位</w:t>
      </w:r>
      <w:r>
        <w:rPr>
          <w:rFonts w:hint="eastAsia" w:ascii="方正仿宋_GBK" w:hAnsi="方正仿宋_GBK" w:eastAsia="方正仿宋_GBK" w:cs="Times New Roman"/>
          <w:kern w:val="0"/>
          <w:sz w:val="32"/>
          <w:szCs w:val="32"/>
          <w:shd w:val="clear" w:color="auto" w:fill="FFFFFF"/>
        </w:rPr>
        <w:t>：</w:t>
      </w:r>
    </w:p>
    <w:p w14:paraId="54D0F7D5">
      <w:pPr>
        <w:keepNext w:val="0"/>
        <w:keepLines w:val="0"/>
        <w:pageBreakBefore w:val="0"/>
        <w:widowControl w:val="0"/>
        <w:kinsoku/>
        <w:overflowPunct w:val="0"/>
        <w:topLinePunct w:val="0"/>
        <w:autoSpaceDE/>
        <w:autoSpaceDN/>
        <w:bidi w:val="0"/>
        <w:adjustRightInd w:val="0"/>
        <w:snapToGrid/>
        <w:spacing w:line="600" w:lineRule="exact"/>
        <w:ind w:firstLine="640" w:firstLineChars="200"/>
        <w:contextualSpacing/>
        <w:jc w:val="both"/>
        <w:textAlignment w:val="auto"/>
        <w:rPr>
          <w:rFonts w:hint="eastAsia"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《云阳县招商工作成效激励办法（试行）》已经县政府同意，现印发给你们，请认真贯彻落实。</w:t>
      </w:r>
    </w:p>
    <w:p w14:paraId="03230380">
      <w:pPr>
        <w:keepNext w:val="0"/>
        <w:keepLines w:val="0"/>
        <w:pageBreakBefore w:val="0"/>
        <w:widowControl w:val="0"/>
        <w:kinsoku/>
        <w:overflowPunct w:val="0"/>
        <w:topLinePunct w:val="0"/>
        <w:autoSpaceDE/>
        <w:autoSpaceDN/>
        <w:bidi w:val="0"/>
        <w:adjustRightInd w:val="0"/>
        <w:snapToGrid/>
        <w:spacing w:line="600" w:lineRule="exact"/>
        <w:ind w:firstLine="640" w:firstLineChars="200"/>
        <w:contextualSpacing/>
        <w:jc w:val="both"/>
        <w:textAlignment w:val="auto"/>
        <w:rPr>
          <w:rFonts w:hint="eastAsia" w:ascii="Times New Roman" w:hAnsi="Times New Roman" w:eastAsia="方正仿宋_GBK" w:cs="Times New Roman"/>
          <w:b w:val="0"/>
          <w:bCs w:val="0"/>
          <w:sz w:val="32"/>
          <w:szCs w:val="32"/>
          <w:lang w:val="en-US" w:eastAsia="zh-CN" w:bidi="ar-SA"/>
        </w:rPr>
      </w:pPr>
    </w:p>
    <w:p w14:paraId="70BDCDAE">
      <w:pPr>
        <w:keepNext w:val="0"/>
        <w:keepLines w:val="0"/>
        <w:pageBreakBefore w:val="0"/>
        <w:widowControl w:val="0"/>
        <w:kinsoku/>
        <w:wordWrap/>
        <w:overflowPunct w:val="0"/>
        <w:topLinePunct w:val="0"/>
        <w:autoSpaceDE/>
        <w:autoSpaceDN/>
        <w:bidi w:val="0"/>
        <w:adjustRightInd w:val="0"/>
        <w:snapToGrid/>
        <w:spacing w:line="600" w:lineRule="exact"/>
        <w:ind w:right="420" w:rightChars="200"/>
        <w:contextualSpacing/>
        <w:jc w:val="right"/>
        <w:textAlignment w:val="auto"/>
        <w:rPr>
          <w:rFonts w:hint="eastAsia"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云阳县发展和改革委员会</w:t>
      </w:r>
    </w:p>
    <w:p w14:paraId="72A816BF">
      <w:pPr>
        <w:keepNext w:val="0"/>
        <w:keepLines w:val="0"/>
        <w:pageBreakBefore w:val="0"/>
        <w:widowControl w:val="0"/>
        <w:kinsoku/>
        <w:wordWrap/>
        <w:overflowPunct w:val="0"/>
        <w:topLinePunct w:val="0"/>
        <w:autoSpaceDE/>
        <w:autoSpaceDN/>
        <w:bidi w:val="0"/>
        <w:adjustRightInd w:val="0"/>
        <w:snapToGrid/>
        <w:spacing w:line="600" w:lineRule="exact"/>
        <w:ind w:right="420" w:rightChars="200"/>
        <w:contextualSpacing/>
        <w:jc w:val="right"/>
        <w:textAlignment w:val="auto"/>
        <w:rPr>
          <w:rFonts w:hint="eastAsia" w:ascii="Times New Roman" w:hAnsi="Times New Roman" w:eastAsia="方正仿宋_GBK" w:cs="Times New Roman"/>
          <w:b w:val="0"/>
          <w:bCs w:val="0"/>
          <w:sz w:val="32"/>
          <w:szCs w:val="32"/>
          <w:lang w:val="en-US" w:eastAsia="zh-CN" w:bidi="ar-SA"/>
        </w:rPr>
      </w:pPr>
      <w:r>
        <w:rPr>
          <w:rFonts w:hint="eastAsia" w:ascii="Times New Roman" w:hAnsi="Times New Roman" w:eastAsia="方正仿宋_GBK" w:cs="Times New Roman"/>
          <w:b w:val="0"/>
          <w:bCs w:val="0"/>
          <w:sz w:val="32"/>
          <w:szCs w:val="32"/>
          <w:lang w:val="en-US" w:eastAsia="zh-CN" w:bidi="ar-SA"/>
        </w:rPr>
        <w:t xml:space="preserve">云阳县招商引资服务中心   </w:t>
      </w:r>
    </w:p>
    <w:p w14:paraId="05200160">
      <w:pPr>
        <w:keepNext w:val="0"/>
        <w:keepLines w:val="0"/>
        <w:pageBreakBefore w:val="0"/>
        <w:widowControl w:val="0"/>
        <w:kinsoku/>
        <w:overflowPunct w:val="0"/>
        <w:topLinePunct w:val="0"/>
        <w:autoSpaceDE/>
        <w:autoSpaceDN/>
        <w:bidi w:val="0"/>
        <w:adjustRightInd w:val="0"/>
        <w:snapToGrid/>
        <w:spacing w:line="600" w:lineRule="exact"/>
        <w:contextualSpacing/>
        <w:jc w:val="center"/>
        <w:textAlignment w:val="auto"/>
        <w:rPr>
          <w:rFonts w:hint="eastAsia" w:ascii="Times New Roman" w:hAnsi="Times New Roman" w:eastAsia="方正仿宋_GBK" w:cs="Times New Roman"/>
          <w:b w:val="0"/>
          <w:bCs w:val="0"/>
          <w:sz w:val="32"/>
          <w:szCs w:val="32"/>
          <w:lang w:val="en-US" w:eastAsia="zh-CN" w:bidi="ar-SA"/>
        </w:rPr>
      </w:pPr>
      <w:r>
        <w:rPr>
          <w:rFonts w:hint="eastAsia" w:eastAsia="方正仿宋_GBK" w:cs="Times New Roman"/>
          <w:b w:val="0"/>
          <w:bCs w:val="0"/>
          <w:sz w:val="32"/>
          <w:szCs w:val="32"/>
          <w:lang w:val="en-US" w:eastAsia="zh-CN" w:bidi="ar-SA"/>
        </w:rPr>
        <w:t xml:space="preserve">                           </w:t>
      </w:r>
      <w:r>
        <w:rPr>
          <w:rFonts w:hint="eastAsia" w:ascii="Times New Roman" w:hAnsi="Times New Roman" w:eastAsia="方正仿宋_GBK" w:cs="Times New Roman"/>
          <w:b w:val="0"/>
          <w:bCs w:val="0"/>
          <w:sz w:val="32"/>
          <w:szCs w:val="32"/>
          <w:lang w:val="en-US" w:eastAsia="zh-CN" w:bidi="ar-SA"/>
        </w:rPr>
        <w:t xml:space="preserve">2025年6月12日 </w:t>
      </w:r>
    </w:p>
    <w:p w14:paraId="5112CCF1">
      <w:pPr>
        <w:keepNext w:val="0"/>
        <w:keepLines w:val="0"/>
        <w:pageBreakBefore w:val="0"/>
        <w:widowControl w:val="0"/>
        <w:kinsoku/>
        <w:topLinePunct w:val="0"/>
        <w:autoSpaceDE/>
        <w:autoSpaceDN/>
        <w:bidi w:val="0"/>
        <w:snapToGrid/>
        <w:spacing w:line="600" w:lineRule="exact"/>
        <w:ind w:firstLine="640" w:firstLineChars="200"/>
        <w:textAlignment w:val="auto"/>
        <w:rPr>
          <w:rFonts w:hint="eastAsia" w:ascii="方正仿宋_GBK" w:hAnsi="方正仿宋_GBK" w:eastAsia="方正仿宋_GBK" w:cs="Times New Roman"/>
          <w:kern w:val="0"/>
          <w:sz w:val="32"/>
          <w:szCs w:val="32"/>
          <w:shd w:val="clear" w:color="auto" w:fill="FFFFFF"/>
        </w:rPr>
      </w:pPr>
    </w:p>
    <w:p w14:paraId="416F8984">
      <w:pPr>
        <w:keepNext w:val="0"/>
        <w:keepLines w:val="0"/>
        <w:pageBreakBefore w:val="0"/>
        <w:widowControl w:val="0"/>
        <w:kinsoku/>
        <w:topLinePunct w:val="0"/>
        <w:autoSpaceDE/>
        <w:autoSpaceDN/>
        <w:bidi w:val="0"/>
        <w:snapToGrid/>
        <w:spacing w:line="600" w:lineRule="exact"/>
        <w:ind w:firstLine="640" w:firstLineChars="200"/>
        <w:textAlignment w:val="auto"/>
        <w:rPr>
          <w:rFonts w:ascii="方正仿宋_GBK" w:hAnsi="方正仿宋_GBK" w:eastAsia="方正仿宋_GBK" w:cs="Times New Roman"/>
          <w:kern w:val="0"/>
          <w:sz w:val="32"/>
          <w:szCs w:val="32"/>
          <w:shd w:val="clear" w:color="auto" w:fill="FFFFFF"/>
        </w:rPr>
      </w:pPr>
      <w:r>
        <w:rPr>
          <w:rFonts w:hint="eastAsia" w:ascii="方正仿宋_GBK" w:hAnsi="方正仿宋_GBK" w:eastAsia="方正仿宋_GBK" w:cs="Times New Roman"/>
          <w:kern w:val="0"/>
          <w:sz w:val="32"/>
          <w:szCs w:val="32"/>
          <w:shd w:val="clear" w:color="auto" w:fill="FFFFFF"/>
        </w:rPr>
        <w:t>（此件公开发布）</w:t>
      </w:r>
    </w:p>
    <w:p w14:paraId="50B3D79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color w:val="auto"/>
          <w:sz w:val="44"/>
          <w:szCs w:val="44"/>
        </w:rPr>
      </w:pPr>
    </w:p>
    <w:p w14:paraId="71AA068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color w:val="auto"/>
          <w:sz w:val="44"/>
          <w:szCs w:val="44"/>
        </w:rPr>
      </w:pPr>
    </w:p>
    <w:p w14:paraId="70218C7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color w:val="auto"/>
          <w:sz w:val="44"/>
          <w:szCs w:val="44"/>
        </w:rPr>
      </w:pPr>
    </w:p>
    <w:p w14:paraId="301D914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color w:val="auto"/>
          <w:sz w:val="44"/>
          <w:szCs w:val="44"/>
        </w:rPr>
      </w:pPr>
    </w:p>
    <w:p w14:paraId="5AD30ED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color w:val="auto"/>
          <w:sz w:val="44"/>
          <w:szCs w:val="44"/>
        </w:rPr>
      </w:pPr>
    </w:p>
    <w:p w14:paraId="2530660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color w:val="auto"/>
          <w:sz w:val="44"/>
          <w:szCs w:val="44"/>
          <w:lang w:val="en-US" w:eastAsia="zh-CN"/>
        </w:rPr>
      </w:pPr>
      <w:bookmarkStart w:id="0" w:name="_GoBack"/>
      <w:bookmarkEnd w:id="0"/>
      <w:r>
        <w:rPr>
          <w:rFonts w:hint="eastAsia" w:ascii="Times New Roman" w:hAnsi="Times New Roman" w:eastAsia="方正小标宋_GBK" w:cs="Times New Roman"/>
          <w:color w:val="auto"/>
          <w:sz w:val="44"/>
          <w:szCs w:val="44"/>
        </w:rPr>
        <w:t>云阳县</w:t>
      </w:r>
      <w:r>
        <w:rPr>
          <w:rFonts w:hint="eastAsia" w:ascii="Times New Roman" w:hAnsi="Times New Roman" w:eastAsia="方正小标宋_GBK" w:cs="Times New Roman"/>
          <w:color w:val="auto"/>
          <w:sz w:val="44"/>
          <w:szCs w:val="44"/>
          <w:lang w:eastAsia="zh-CN"/>
        </w:rPr>
        <w:t>招商工作成效激励</w:t>
      </w:r>
      <w:r>
        <w:rPr>
          <w:rFonts w:hint="eastAsia" w:ascii="Times New Roman" w:hAnsi="Times New Roman" w:eastAsia="方正小标宋_GBK" w:cs="Times New Roman"/>
          <w:color w:val="auto"/>
          <w:sz w:val="44"/>
          <w:szCs w:val="44"/>
          <w:lang w:val="en-US" w:eastAsia="zh-CN"/>
        </w:rPr>
        <w:t>办法（试行）</w:t>
      </w:r>
    </w:p>
    <w:p w14:paraId="25CFE72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color w:val="auto"/>
          <w:sz w:val="44"/>
          <w:szCs w:val="44"/>
          <w:lang w:val="en-US" w:eastAsia="zh-CN"/>
        </w:rPr>
      </w:pPr>
    </w:p>
    <w:p w14:paraId="39DF473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center"/>
        <w:textAlignment w:val="auto"/>
        <w:rPr>
          <w:rFonts w:hint="eastAsia" w:ascii="Times New Roman" w:hAnsi="Times New Roman" w:eastAsia="方正黑体_GBK" w:cs="Times New Roman"/>
          <w:color w:val="auto"/>
          <w:sz w:val="32"/>
          <w:szCs w:val="32"/>
          <w:u w:val="none"/>
          <w:lang w:val="en-US" w:eastAsia="zh-CN"/>
        </w:rPr>
      </w:pPr>
      <w:r>
        <w:rPr>
          <w:rFonts w:hint="eastAsia" w:ascii="Times New Roman" w:hAnsi="Times New Roman" w:eastAsia="方正黑体_GBK" w:cs="Times New Roman"/>
          <w:color w:val="auto"/>
          <w:sz w:val="32"/>
          <w:szCs w:val="32"/>
          <w:u w:val="none"/>
          <w:lang w:val="en-US" w:eastAsia="zh-CN"/>
        </w:rPr>
        <w:t>第一章  总则</w:t>
      </w:r>
    </w:p>
    <w:p w14:paraId="056B2B9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方正黑体_GBK" w:hAnsi="方正黑体_GBK" w:eastAsia="方正黑体_GBK" w:cs="Times New Roman"/>
          <w:color w:val="auto"/>
          <w:sz w:val="32"/>
          <w:szCs w:val="32"/>
          <w:u w:val="none"/>
          <w:lang w:eastAsia="zh-CN"/>
        </w:rPr>
        <w:t>第一条</w:t>
      </w:r>
      <w:r>
        <w:rPr>
          <w:rFonts w:hint="eastAsia" w:ascii="方正黑体_GBK" w:hAnsi="方正黑体_GBK" w:eastAsia="方正黑体_GBK" w:cs="Times New Roman"/>
          <w:color w:val="auto"/>
          <w:sz w:val="32"/>
          <w:szCs w:val="32"/>
          <w:u w:val="none"/>
          <w:lang w:val="en-US" w:eastAsia="zh-CN"/>
        </w:rPr>
        <w:t xml:space="preserve"> </w:t>
      </w:r>
      <w:r>
        <w:rPr>
          <w:rFonts w:hint="eastAsia" w:ascii="Times New Roman" w:hAnsi="Times New Roman" w:eastAsia="方正仿宋_GBK" w:cs="Times New Roman"/>
          <w:color w:val="auto"/>
          <w:sz w:val="32"/>
          <w:szCs w:val="32"/>
          <w:u w:val="none"/>
          <w:lang w:val="en-US" w:eastAsia="zh-CN"/>
        </w:rPr>
        <w:t xml:space="preserve"> </w:t>
      </w:r>
      <w:r>
        <w:rPr>
          <w:rFonts w:hint="eastAsia" w:ascii="Times New Roman" w:hAnsi="Times New Roman" w:eastAsia="方正仿宋_GBK" w:cs="Times New Roman"/>
          <w:color w:val="auto"/>
          <w:sz w:val="32"/>
          <w:szCs w:val="32"/>
          <w:lang w:val="en-US" w:eastAsia="zh-CN"/>
        </w:rPr>
        <w:t>围绕建设“一地一标三区两城”现代化新云阳，坚持“三大三更三有”招商安商理念，聚焦制造业、食品及农产品加工业，突出招大引强、招才引智，结合云阳县实际，制定本办法。</w:t>
      </w:r>
    </w:p>
    <w:p w14:paraId="1A34D54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方正黑体_GBK" w:hAnsi="方正黑体_GBK" w:eastAsia="方正黑体_GBK" w:cs="Times New Roman"/>
          <w:color w:val="auto"/>
          <w:sz w:val="32"/>
          <w:szCs w:val="32"/>
          <w:u w:val="none"/>
          <w:lang w:val="en-US" w:eastAsia="zh-CN"/>
        </w:rPr>
        <w:t>第二条</w:t>
      </w:r>
      <w:r>
        <w:rPr>
          <w:rFonts w:hint="eastAsia" w:ascii="Times New Roman" w:hAnsi="Times New Roman" w:eastAsia="方正仿宋_GBK" w:cs="Times New Roman"/>
          <w:color w:val="auto"/>
          <w:sz w:val="32"/>
          <w:szCs w:val="32"/>
          <w:lang w:val="en-US" w:eastAsia="zh-CN"/>
        </w:rPr>
        <w:t xml:space="preserve">  坚持公平、</w:t>
      </w:r>
      <w:r>
        <w:rPr>
          <w:rFonts w:hint="eastAsia" w:ascii="Times New Roman" w:hAnsi="Times New Roman" w:eastAsia="方正仿宋_GBK" w:cs="Times New Roman"/>
          <w:color w:val="auto"/>
          <w:sz w:val="32"/>
          <w:szCs w:val="32"/>
        </w:rPr>
        <w:t>公正</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公开</w:t>
      </w:r>
      <w:r>
        <w:rPr>
          <w:rFonts w:hint="eastAsia" w:ascii="Times New Roman" w:hAnsi="Times New Roman" w:eastAsia="方正仿宋_GBK" w:cs="Times New Roman"/>
          <w:color w:val="auto"/>
          <w:sz w:val="32"/>
          <w:szCs w:val="32"/>
          <w:lang w:val="en-US" w:eastAsia="zh-CN"/>
        </w:rPr>
        <w:t>的</w:t>
      </w:r>
      <w:r>
        <w:rPr>
          <w:rFonts w:hint="eastAsia" w:ascii="Times New Roman" w:hAnsi="Times New Roman" w:eastAsia="方正仿宋_GBK" w:cs="Times New Roman"/>
          <w:color w:val="auto"/>
          <w:sz w:val="32"/>
          <w:szCs w:val="32"/>
        </w:rPr>
        <w:t>原则</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按照“亩均论英雄”的改革要求，采取</w:t>
      </w:r>
      <w:r>
        <w:rPr>
          <w:rFonts w:hint="eastAsia" w:ascii="Times New Roman" w:hAnsi="Times New Roman" w:eastAsia="方正仿宋_GBK" w:cs="Times New Roman"/>
          <w:color w:val="auto"/>
          <w:sz w:val="32"/>
          <w:szCs w:val="32"/>
          <w:lang w:eastAsia="zh-CN"/>
        </w:rPr>
        <w:t>正向</w:t>
      </w:r>
      <w:r>
        <w:rPr>
          <w:rFonts w:hint="eastAsia" w:ascii="Times New Roman" w:hAnsi="Times New Roman" w:eastAsia="方正仿宋_GBK" w:cs="Times New Roman"/>
          <w:color w:val="auto"/>
          <w:sz w:val="32"/>
          <w:szCs w:val="32"/>
        </w:rPr>
        <w:t>激励</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分类激励</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限量激励的方式，通过“三提高”“六优先”“一补两奖励”</w:t>
      </w:r>
      <w:r>
        <w:rPr>
          <w:rFonts w:hint="eastAsia" w:eastAsia="方正仿宋_GBK" w:cs="Times New Roman"/>
          <w:color w:val="auto"/>
          <w:sz w:val="32"/>
          <w:szCs w:val="32"/>
          <w:lang w:val="en-US" w:eastAsia="zh-CN"/>
        </w:rPr>
        <w:t>、梯度加分</w:t>
      </w:r>
      <w:r>
        <w:rPr>
          <w:rFonts w:hint="eastAsia" w:ascii="Times New Roman" w:hAnsi="Times New Roman" w:eastAsia="方正仿宋_GBK" w:cs="Times New Roman"/>
          <w:color w:val="auto"/>
          <w:sz w:val="32"/>
          <w:szCs w:val="32"/>
          <w:lang w:val="en-US" w:eastAsia="zh-CN"/>
        </w:rPr>
        <w:t>进行激励。</w:t>
      </w:r>
    </w:p>
    <w:p w14:paraId="6EB200F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方正黑体_GBK" w:hAnsi="方正黑体_GBK" w:eastAsia="方正黑体_GBK" w:cs="Times New Roman"/>
          <w:color w:val="auto"/>
          <w:sz w:val="32"/>
          <w:szCs w:val="32"/>
          <w:u w:val="none"/>
          <w:lang w:val="en-US" w:eastAsia="zh-CN"/>
        </w:rPr>
        <w:t>第三条</w:t>
      </w:r>
      <w:r>
        <w:rPr>
          <w:rFonts w:hint="eastAsia" w:ascii="Times New Roman" w:hAnsi="Times New Roman" w:eastAsia="方正仿宋_GBK" w:cs="Times New Roman"/>
          <w:color w:val="auto"/>
          <w:sz w:val="32"/>
          <w:szCs w:val="32"/>
          <w:lang w:val="en-US" w:eastAsia="zh-CN"/>
        </w:rPr>
        <w:t xml:space="preserve">  本办法适用作出重大</w:t>
      </w:r>
      <w:r>
        <w:rPr>
          <w:rFonts w:hint="eastAsia" w:ascii="Times New Roman" w:hAnsi="Times New Roman" w:eastAsia="方正仿宋_GBK" w:cs="Times New Roman"/>
          <w:color w:val="auto"/>
          <w:sz w:val="32"/>
          <w:szCs w:val="32"/>
          <w:lang w:eastAsia="zh-CN"/>
        </w:rPr>
        <w:t>招商贡献</w:t>
      </w:r>
      <w:r>
        <w:rPr>
          <w:rFonts w:hint="eastAsia" w:ascii="Times New Roman" w:hAnsi="Times New Roman" w:eastAsia="方正仿宋_GBK" w:cs="Times New Roman"/>
          <w:color w:val="auto"/>
          <w:sz w:val="32"/>
          <w:szCs w:val="32"/>
          <w:lang w:val="en-US" w:eastAsia="zh-CN"/>
        </w:rPr>
        <w:t>的行政事业单位、县属国有企业、</w:t>
      </w:r>
      <w:r>
        <w:rPr>
          <w:rFonts w:hint="eastAsia" w:ascii="Times New Roman" w:hAnsi="Times New Roman" w:eastAsia="方正仿宋_GBK" w:cs="Times New Roman"/>
          <w:color w:val="auto"/>
          <w:sz w:val="32"/>
          <w:szCs w:val="32"/>
        </w:rPr>
        <w:t>公职人员</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社会力量。</w:t>
      </w:r>
    </w:p>
    <w:p w14:paraId="1F680A2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center"/>
        <w:textAlignment w:val="auto"/>
        <w:rPr>
          <w:rFonts w:hint="eastAsia" w:ascii="Times New Roman" w:hAnsi="Times New Roman" w:eastAsia="方正仿宋_GB2312" w:cs="Times New Roman"/>
          <w:color w:val="auto"/>
          <w:sz w:val="32"/>
          <w:szCs w:val="32"/>
          <w:u w:val="none"/>
          <w:lang w:val="en-US" w:eastAsia="zh-CN"/>
        </w:rPr>
      </w:pPr>
    </w:p>
    <w:p w14:paraId="6B9F528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center"/>
        <w:textAlignment w:val="auto"/>
        <w:rPr>
          <w:rFonts w:hint="default" w:ascii="Times New Roman" w:hAnsi="Times New Roman" w:eastAsia="方正黑体_GBK" w:cs="Times New Roman"/>
          <w:color w:val="auto"/>
          <w:sz w:val="32"/>
          <w:szCs w:val="32"/>
          <w:u w:val="none"/>
          <w:lang w:val="en-US" w:eastAsia="zh-CN"/>
        </w:rPr>
      </w:pPr>
      <w:r>
        <w:rPr>
          <w:rFonts w:hint="eastAsia" w:ascii="Times New Roman" w:hAnsi="Times New Roman" w:eastAsia="方正黑体_GBK" w:cs="Times New Roman"/>
          <w:color w:val="auto"/>
          <w:sz w:val="32"/>
          <w:szCs w:val="32"/>
          <w:u w:val="none"/>
          <w:lang w:val="en-US" w:eastAsia="zh-CN"/>
        </w:rPr>
        <w:t>第二章  激励标准及方式</w:t>
      </w:r>
    </w:p>
    <w:p w14:paraId="7C3BCEC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方正黑体_GBK" w:hAnsi="方正黑体_GBK" w:eastAsia="方正黑体_GBK" w:cs="Times New Roman"/>
          <w:color w:val="auto"/>
          <w:sz w:val="32"/>
          <w:szCs w:val="32"/>
          <w:u w:val="none"/>
          <w:lang w:eastAsia="zh-CN"/>
        </w:rPr>
        <w:t>第</w:t>
      </w:r>
      <w:r>
        <w:rPr>
          <w:rFonts w:hint="eastAsia" w:ascii="方正黑体_GBK" w:hAnsi="方正黑体_GBK" w:eastAsia="方正黑体_GBK" w:cs="Times New Roman"/>
          <w:color w:val="auto"/>
          <w:sz w:val="32"/>
          <w:szCs w:val="32"/>
          <w:u w:val="none"/>
          <w:lang w:val="en-US" w:eastAsia="zh-CN"/>
        </w:rPr>
        <w:t>四</w:t>
      </w:r>
      <w:r>
        <w:rPr>
          <w:rFonts w:hint="eastAsia" w:ascii="方正黑体_GBK" w:hAnsi="方正黑体_GBK" w:eastAsia="方正黑体_GBK" w:cs="Times New Roman"/>
          <w:color w:val="auto"/>
          <w:sz w:val="32"/>
          <w:szCs w:val="32"/>
          <w:u w:val="none"/>
          <w:lang w:eastAsia="zh-CN"/>
        </w:rPr>
        <w:t>条</w:t>
      </w:r>
      <w:r>
        <w:rPr>
          <w:rFonts w:hint="eastAsia" w:ascii="Times New Roman" w:hAnsi="Times New Roman" w:eastAsia="方正仿宋_GBK" w:cs="Times New Roman"/>
          <w:color w:val="auto"/>
          <w:sz w:val="32"/>
          <w:szCs w:val="32"/>
          <w:lang w:val="en-US" w:eastAsia="zh-CN"/>
        </w:rPr>
        <w:t xml:space="preserve">  重大招商贡献是指按照“亩均论英雄”的改革要求，单个招引项目在约定的</w:t>
      </w:r>
      <w:r>
        <w:rPr>
          <w:rFonts w:hint="eastAsia" w:ascii="Times New Roman" w:hAnsi="Times New Roman" w:eastAsia="方正仿宋_GBK" w:cs="Times New Roman"/>
          <w:color w:val="auto"/>
          <w:kern w:val="2"/>
          <w:sz w:val="32"/>
          <w:szCs w:val="32"/>
          <w:lang w:val="en-US" w:eastAsia="zh-CN"/>
        </w:rPr>
        <w:t>第一个完整年度内</w:t>
      </w:r>
      <w:r>
        <w:rPr>
          <w:rFonts w:hint="eastAsia" w:ascii="Times New Roman" w:hAnsi="Times New Roman" w:eastAsia="方正仿宋_GBK" w:cs="Times New Roman"/>
          <w:color w:val="auto"/>
          <w:sz w:val="32"/>
          <w:szCs w:val="32"/>
          <w:lang w:val="en-US" w:eastAsia="zh-CN"/>
        </w:rPr>
        <w:t>达到以下条件之一：</w:t>
      </w:r>
    </w:p>
    <w:p w14:paraId="21ADB70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Times New Roman"/>
          <w:color w:val="auto"/>
          <w:kern w:val="2"/>
          <w:sz w:val="32"/>
          <w:szCs w:val="32"/>
          <w:highlight w:val="none"/>
          <w:u w:val="none"/>
          <w:lang w:eastAsia="zh-CN"/>
        </w:rPr>
      </w:pPr>
      <w:r>
        <w:rPr>
          <w:rFonts w:hint="eastAsia" w:ascii="Times New Roman" w:hAnsi="Times New Roman" w:eastAsia="方正仿宋_GBK" w:cs="Times New Roman"/>
          <w:color w:val="auto"/>
          <w:kern w:val="2"/>
          <w:sz w:val="32"/>
          <w:szCs w:val="32"/>
          <w:highlight w:val="none"/>
          <w:u w:val="none"/>
          <w:lang w:val="en-US" w:eastAsia="zh-CN"/>
        </w:rPr>
        <w:t>（一）引进世界500强企业、上市企业，且到位资金1亿元以上的；或引进其他类别制造业企业，且到位资金3亿元以上的。引进企业须同时形成经评估达标的投资实物量。</w:t>
      </w:r>
    </w:p>
    <w:p w14:paraId="6ED974F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Times New Roman"/>
          <w:color w:val="auto"/>
          <w:kern w:val="2"/>
          <w:sz w:val="32"/>
          <w:szCs w:val="32"/>
          <w:highlight w:val="none"/>
          <w:u w:val="none"/>
          <w:lang w:eastAsia="zh-CN"/>
        </w:rPr>
      </w:pPr>
      <w:r>
        <w:rPr>
          <w:rFonts w:hint="eastAsia" w:ascii="Times New Roman" w:hAnsi="Times New Roman" w:eastAsia="方正仿宋_GBK" w:cs="Times New Roman"/>
          <w:color w:val="auto"/>
          <w:kern w:val="2"/>
          <w:sz w:val="32"/>
          <w:szCs w:val="32"/>
          <w:highlight w:val="none"/>
          <w:u w:val="none"/>
          <w:lang w:eastAsia="zh-CN"/>
        </w:rPr>
        <w:t>（</w:t>
      </w:r>
      <w:r>
        <w:rPr>
          <w:rFonts w:hint="eastAsia" w:ascii="Times New Roman" w:hAnsi="Times New Roman" w:eastAsia="方正仿宋_GBK" w:cs="Times New Roman"/>
          <w:color w:val="auto"/>
          <w:kern w:val="2"/>
          <w:sz w:val="32"/>
          <w:szCs w:val="32"/>
          <w:highlight w:val="none"/>
          <w:u w:val="none"/>
          <w:lang w:val="en-US" w:eastAsia="zh-CN"/>
        </w:rPr>
        <w:t>二</w:t>
      </w:r>
      <w:r>
        <w:rPr>
          <w:rFonts w:hint="eastAsia" w:ascii="Times New Roman" w:hAnsi="Times New Roman" w:eastAsia="方正仿宋_GBK" w:cs="Times New Roman"/>
          <w:color w:val="auto"/>
          <w:kern w:val="2"/>
          <w:sz w:val="32"/>
          <w:szCs w:val="32"/>
          <w:highlight w:val="none"/>
          <w:u w:val="none"/>
          <w:lang w:eastAsia="zh-CN"/>
        </w:rPr>
        <w:t>）</w:t>
      </w:r>
      <w:r>
        <w:rPr>
          <w:rFonts w:hint="eastAsia" w:ascii="Times New Roman" w:hAnsi="Times New Roman" w:eastAsia="方正仿宋_GBK" w:cs="Times New Roman"/>
          <w:color w:val="auto"/>
          <w:kern w:val="2"/>
          <w:sz w:val="32"/>
          <w:szCs w:val="32"/>
          <w:highlight w:val="none"/>
          <w:u w:val="none"/>
          <w:lang w:val="en-US" w:eastAsia="zh-CN"/>
        </w:rPr>
        <w:t>引进制造业，单个项目在</w:t>
      </w:r>
      <w:r>
        <w:rPr>
          <w:rFonts w:hint="eastAsia" w:ascii="Times New Roman" w:hAnsi="Times New Roman" w:eastAsia="方正仿宋_GBK" w:cs="Times New Roman"/>
          <w:color w:val="auto"/>
          <w:kern w:val="2"/>
          <w:sz w:val="32"/>
          <w:szCs w:val="32"/>
          <w:highlight w:val="none"/>
          <w:u w:val="none"/>
          <w:lang w:eastAsia="zh-CN"/>
        </w:rPr>
        <w:t>云</w:t>
      </w:r>
      <w:r>
        <w:rPr>
          <w:rFonts w:hint="eastAsia" w:ascii="Times New Roman" w:hAnsi="Times New Roman" w:eastAsia="方正仿宋_GBK" w:cs="Times New Roman"/>
          <w:color w:val="auto"/>
          <w:kern w:val="2"/>
          <w:sz w:val="32"/>
          <w:szCs w:val="32"/>
          <w:highlight w:val="none"/>
          <w:u w:val="none"/>
          <w:lang w:val="en-US" w:eastAsia="zh-CN"/>
        </w:rPr>
        <w:t>阳县产生经济贡献300万元以上且</w:t>
      </w:r>
      <w:r>
        <w:rPr>
          <w:rFonts w:hint="eastAsia" w:ascii="Times New Roman" w:hAnsi="Times New Roman" w:eastAsia="方正仿宋_GBK" w:cs="Times New Roman"/>
          <w:color w:val="auto"/>
          <w:kern w:val="2"/>
          <w:sz w:val="32"/>
          <w:szCs w:val="32"/>
          <w:highlight w:val="none"/>
          <w:u w:val="none"/>
          <w:lang w:eastAsia="zh-CN"/>
        </w:rPr>
        <w:t>在云</w:t>
      </w:r>
      <w:r>
        <w:rPr>
          <w:rFonts w:hint="eastAsia" w:ascii="Times New Roman" w:hAnsi="Times New Roman" w:eastAsia="方正仿宋_GBK" w:cs="Times New Roman"/>
          <w:color w:val="auto"/>
          <w:kern w:val="2"/>
          <w:sz w:val="32"/>
          <w:szCs w:val="32"/>
          <w:highlight w:val="none"/>
          <w:u w:val="none"/>
          <w:lang w:val="en-US" w:eastAsia="zh-CN"/>
        </w:rPr>
        <w:t>阳县缴纳社保</w:t>
      </w:r>
      <w:r>
        <w:rPr>
          <w:rFonts w:hint="eastAsia" w:ascii="Times New Roman" w:hAnsi="Times New Roman" w:eastAsia="方正仿宋_GBK" w:cs="Times New Roman"/>
          <w:color w:val="auto"/>
          <w:kern w:val="2"/>
          <w:sz w:val="32"/>
          <w:szCs w:val="32"/>
          <w:highlight w:val="none"/>
          <w:u w:val="none"/>
          <w:lang w:eastAsia="zh-CN"/>
        </w:rPr>
        <w:t>人数</w:t>
      </w:r>
      <w:r>
        <w:rPr>
          <w:rFonts w:hint="eastAsia" w:ascii="Times New Roman" w:hAnsi="Times New Roman" w:eastAsia="方正仿宋_GBK" w:cs="Times New Roman"/>
          <w:color w:val="auto"/>
          <w:kern w:val="2"/>
          <w:sz w:val="32"/>
          <w:szCs w:val="32"/>
          <w:highlight w:val="none"/>
          <w:u w:val="none"/>
          <w:lang w:val="en-US" w:eastAsia="zh-CN"/>
        </w:rPr>
        <w:t>200人以上的；或在</w:t>
      </w:r>
      <w:r>
        <w:rPr>
          <w:rFonts w:hint="eastAsia" w:ascii="Times New Roman" w:hAnsi="Times New Roman" w:eastAsia="方正仿宋_GBK" w:cs="Times New Roman"/>
          <w:color w:val="auto"/>
          <w:kern w:val="2"/>
          <w:sz w:val="32"/>
          <w:szCs w:val="32"/>
          <w:highlight w:val="none"/>
          <w:u w:val="none"/>
          <w:lang w:eastAsia="zh-CN"/>
        </w:rPr>
        <w:t>云</w:t>
      </w:r>
      <w:r>
        <w:rPr>
          <w:rFonts w:hint="eastAsia" w:ascii="Times New Roman" w:hAnsi="Times New Roman" w:eastAsia="方正仿宋_GBK" w:cs="Times New Roman"/>
          <w:color w:val="auto"/>
          <w:kern w:val="2"/>
          <w:sz w:val="32"/>
          <w:szCs w:val="32"/>
          <w:highlight w:val="none"/>
          <w:u w:val="none"/>
          <w:lang w:val="en-US" w:eastAsia="zh-CN"/>
        </w:rPr>
        <w:t>阳县产生经济贡献500万元以上且</w:t>
      </w:r>
      <w:r>
        <w:rPr>
          <w:rFonts w:hint="eastAsia" w:ascii="Times New Roman" w:hAnsi="Times New Roman" w:eastAsia="方正仿宋_GBK" w:cs="Times New Roman"/>
          <w:color w:val="auto"/>
          <w:kern w:val="2"/>
          <w:sz w:val="32"/>
          <w:szCs w:val="32"/>
          <w:highlight w:val="none"/>
          <w:u w:val="none"/>
          <w:lang w:eastAsia="zh-CN"/>
        </w:rPr>
        <w:t>在云阳</w:t>
      </w:r>
      <w:r>
        <w:rPr>
          <w:rFonts w:hint="eastAsia" w:ascii="Times New Roman" w:hAnsi="Times New Roman" w:eastAsia="方正仿宋_GBK" w:cs="Times New Roman"/>
          <w:color w:val="auto"/>
          <w:kern w:val="2"/>
          <w:sz w:val="32"/>
          <w:szCs w:val="32"/>
          <w:highlight w:val="none"/>
          <w:u w:val="none"/>
          <w:lang w:val="en-US" w:eastAsia="zh-CN"/>
        </w:rPr>
        <w:t>县缴纳社保</w:t>
      </w:r>
      <w:r>
        <w:rPr>
          <w:rFonts w:hint="eastAsia" w:ascii="Times New Roman" w:hAnsi="Times New Roman" w:eastAsia="方正仿宋_GBK" w:cs="Times New Roman"/>
          <w:color w:val="auto"/>
          <w:kern w:val="2"/>
          <w:sz w:val="32"/>
          <w:szCs w:val="32"/>
          <w:highlight w:val="none"/>
          <w:u w:val="none"/>
          <w:lang w:eastAsia="zh-CN"/>
        </w:rPr>
        <w:t>人数</w:t>
      </w:r>
      <w:r>
        <w:rPr>
          <w:rFonts w:hint="eastAsia" w:ascii="Times New Roman" w:hAnsi="Times New Roman" w:eastAsia="方正仿宋_GBK" w:cs="Times New Roman"/>
          <w:color w:val="auto"/>
          <w:kern w:val="2"/>
          <w:sz w:val="32"/>
          <w:szCs w:val="32"/>
          <w:highlight w:val="none"/>
          <w:u w:val="none"/>
          <w:lang w:val="en-US" w:eastAsia="zh-CN"/>
        </w:rPr>
        <w:t>100人以上的</w:t>
      </w:r>
      <w:r>
        <w:rPr>
          <w:rFonts w:hint="eastAsia" w:ascii="Times New Roman" w:hAnsi="Times New Roman" w:eastAsia="方正仿宋_GBK" w:cs="Times New Roman"/>
          <w:color w:val="auto"/>
          <w:kern w:val="2"/>
          <w:sz w:val="32"/>
          <w:szCs w:val="32"/>
          <w:highlight w:val="none"/>
          <w:u w:val="none"/>
          <w:lang w:eastAsia="zh-CN"/>
        </w:rPr>
        <w:t>；</w:t>
      </w:r>
      <w:r>
        <w:rPr>
          <w:rFonts w:hint="eastAsia" w:ascii="Times New Roman" w:hAnsi="Times New Roman" w:eastAsia="方正仿宋_GBK" w:cs="Times New Roman"/>
          <w:color w:val="auto"/>
          <w:kern w:val="2"/>
          <w:sz w:val="32"/>
          <w:szCs w:val="32"/>
          <w:highlight w:val="none"/>
          <w:u w:val="none"/>
          <w:lang w:val="en-US" w:eastAsia="zh-CN"/>
        </w:rPr>
        <w:t>或在</w:t>
      </w:r>
      <w:r>
        <w:rPr>
          <w:rFonts w:hint="eastAsia" w:ascii="Times New Roman" w:hAnsi="Times New Roman" w:eastAsia="方正仿宋_GBK" w:cs="Times New Roman"/>
          <w:color w:val="auto"/>
          <w:kern w:val="2"/>
          <w:sz w:val="32"/>
          <w:szCs w:val="32"/>
          <w:highlight w:val="none"/>
          <w:u w:val="none"/>
          <w:lang w:eastAsia="zh-CN"/>
        </w:rPr>
        <w:t>云阳</w:t>
      </w:r>
      <w:r>
        <w:rPr>
          <w:rFonts w:hint="eastAsia" w:ascii="Times New Roman" w:hAnsi="Times New Roman" w:eastAsia="方正仿宋_GBK" w:cs="Times New Roman"/>
          <w:color w:val="auto"/>
          <w:kern w:val="2"/>
          <w:sz w:val="32"/>
          <w:szCs w:val="32"/>
          <w:highlight w:val="none"/>
          <w:u w:val="none"/>
          <w:lang w:val="en-US" w:eastAsia="zh-CN"/>
        </w:rPr>
        <w:t>县产生经济贡献800万元以上的</w:t>
      </w:r>
      <w:r>
        <w:rPr>
          <w:rFonts w:hint="eastAsia" w:ascii="Times New Roman" w:hAnsi="Times New Roman" w:eastAsia="方正仿宋_GBK" w:cs="Times New Roman"/>
          <w:color w:val="auto"/>
          <w:kern w:val="2"/>
          <w:sz w:val="32"/>
          <w:szCs w:val="32"/>
          <w:highlight w:val="none"/>
          <w:u w:val="none"/>
          <w:lang w:eastAsia="zh-CN"/>
        </w:rPr>
        <w:t>。</w:t>
      </w:r>
    </w:p>
    <w:p w14:paraId="5EB8DFB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Times New Roman"/>
          <w:color w:val="auto"/>
          <w:kern w:val="2"/>
          <w:sz w:val="32"/>
          <w:szCs w:val="32"/>
          <w:highlight w:val="none"/>
          <w:u w:val="none"/>
          <w:lang w:val="en-US" w:eastAsia="zh-CN"/>
        </w:rPr>
      </w:pPr>
      <w:r>
        <w:rPr>
          <w:rFonts w:hint="eastAsia" w:ascii="Times New Roman" w:hAnsi="Times New Roman" w:eastAsia="方正仿宋_GBK" w:cs="Times New Roman"/>
          <w:color w:val="auto"/>
          <w:kern w:val="2"/>
          <w:sz w:val="32"/>
          <w:szCs w:val="32"/>
          <w:highlight w:val="none"/>
          <w:u w:val="none"/>
          <w:lang w:eastAsia="zh-CN"/>
        </w:rPr>
        <w:t>（</w:t>
      </w:r>
      <w:r>
        <w:rPr>
          <w:rFonts w:hint="eastAsia" w:ascii="Times New Roman" w:hAnsi="Times New Roman" w:eastAsia="方正仿宋_GBK" w:cs="Times New Roman"/>
          <w:color w:val="auto"/>
          <w:kern w:val="2"/>
          <w:sz w:val="32"/>
          <w:szCs w:val="32"/>
          <w:highlight w:val="none"/>
          <w:u w:val="none"/>
          <w:lang w:val="en-US" w:eastAsia="zh-CN"/>
        </w:rPr>
        <w:t>三</w:t>
      </w:r>
      <w:r>
        <w:rPr>
          <w:rFonts w:hint="eastAsia" w:ascii="Times New Roman" w:hAnsi="Times New Roman" w:eastAsia="方正仿宋_GBK" w:cs="Times New Roman"/>
          <w:color w:val="auto"/>
          <w:kern w:val="2"/>
          <w:sz w:val="32"/>
          <w:szCs w:val="32"/>
          <w:highlight w:val="none"/>
          <w:u w:val="none"/>
          <w:lang w:eastAsia="zh-CN"/>
        </w:rPr>
        <w:t>）</w:t>
      </w:r>
      <w:r>
        <w:rPr>
          <w:rFonts w:hint="eastAsia" w:ascii="Times New Roman" w:hAnsi="Times New Roman" w:eastAsia="方正仿宋_GBK" w:cs="Times New Roman"/>
          <w:color w:val="auto"/>
          <w:kern w:val="2"/>
          <w:sz w:val="32"/>
          <w:szCs w:val="32"/>
          <w:highlight w:val="none"/>
          <w:u w:val="none"/>
          <w:lang w:val="en-US" w:eastAsia="zh-CN"/>
        </w:rPr>
        <w:t>引进食品及</w:t>
      </w:r>
      <w:r>
        <w:rPr>
          <w:rFonts w:hint="eastAsia" w:ascii="Times New Roman" w:hAnsi="Times New Roman" w:eastAsia="方正仿宋_GBK" w:cs="Times New Roman"/>
          <w:color w:val="auto"/>
          <w:kern w:val="2"/>
          <w:sz w:val="32"/>
          <w:szCs w:val="32"/>
          <w:highlight w:val="none"/>
          <w:u w:val="none"/>
          <w:lang w:eastAsia="zh-CN"/>
        </w:rPr>
        <w:t>农产品加工</w:t>
      </w:r>
      <w:r>
        <w:rPr>
          <w:rFonts w:hint="eastAsia" w:ascii="Times New Roman" w:hAnsi="Times New Roman" w:eastAsia="方正仿宋_GBK" w:cs="Times New Roman"/>
          <w:color w:val="auto"/>
          <w:kern w:val="2"/>
          <w:sz w:val="32"/>
          <w:szCs w:val="32"/>
          <w:highlight w:val="none"/>
          <w:u w:val="none"/>
          <w:lang w:val="en-US" w:eastAsia="zh-CN"/>
        </w:rPr>
        <w:t>业</w:t>
      </w:r>
      <w:r>
        <w:rPr>
          <w:rFonts w:hint="eastAsia" w:ascii="Times New Roman" w:hAnsi="Times New Roman" w:eastAsia="方正仿宋_GBK" w:cs="Times New Roman"/>
          <w:color w:val="auto"/>
          <w:kern w:val="2"/>
          <w:sz w:val="32"/>
          <w:szCs w:val="32"/>
          <w:highlight w:val="none"/>
          <w:u w:val="none"/>
          <w:lang w:eastAsia="zh-CN"/>
        </w:rPr>
        <w:t>，单个项目在云阳</w:t>
      </w:r>
      <w:r>
        <w:rPr>
          <w:rFonts w:hint="eastAsia" w:ascii="Times New Roman" w:hAnsi="Times New Roman" w:eastAsia="方正仿宋_GBK" w:cs="Times New Roman"/>
          <w:color w:val="auto"/>
          <w:kern w:val="2"/>
          <w:sz w:val="32"/>
          <w:szCs w:val="32"/>
          <w:highlight w:val="none"/>
          <w:u w:val="none"/>
          <w:lang w:val="en-US" w:eastAsia="zh-CN"/>
        </w:rPr>
        <w:t>县产生经济贡献50万元以上的。</w:t>
      </w:r>
    </w:p>
    <w:p w14:paraId="19A8507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Times New Roman"/>
          <w:color w:val="auto"/>
          <w:sz w:val="32"/>
          <w:szCs w:val="32"/>
          <w:lang w:val="en-US"/>
        </w:rPr>
      </w:pPr>
      <w:r>
        <w:rPr>
          <w:rFonts w:hint="eastAsia" w:ascii="方正黑体_GBK" w:hAnsi="方正黑体_GBK" w:eastAsia="方正黑体_GBK" w:cs="Times New Roman"/>
          <w:color w:val="auto"/>
          <w:sz w:val="32"/>
          <w:szCs w:val="32"/>
          <w:u w:val="none"/>
          <w:lang w:eastAsia="zh-CN"/>
        </w:rPr>
        <w:t>第</w:t>
      </w:r>
      <w:r>
        <w:rPr>
          <w:rFonts w:hint="eastAsia" w:ascii="方正黑体_GBK" w:hAnsi="方正黑体_GBK" w:eastAsia="方正黑体_GBK" w:cs="Times New Roman"/>
          <w:color w:val="auto"/>
          <w:sz w:val="32"/>
          <w:szCs w:val="32"/>
          <w:u w:val="none"/>
          <w:lang w:val="en-US" w:eastAsia="zh-CN"/>
        </w:rPr>
        <w:t>五</w:t>
      </w:r>
      <w:r>
        <w:rPr>
          <w:rFonts w:hint="eastAsia" w:ascii="方正黑体_GBK" w:hAnsi="方正黑体_GBK" w:eastAsia="方正黑体_GBK" w:cs="Times New Roman"/>
          <w:color w:val="auto"/>
          <w:sz w:val="32"/>
          <w:szCs w:val="32"/>
          <w:u w:val="none"/>
          <w:lang w:eastAsia="zh-CN"/>
        </w:rPr>
        <w:t>条</w:t>
      </w:r>
      <w:r>
        <w:rPr>
          <w:rFonts w:hint="eastAsia" w:ascii="Times New Roman" w:hAnsi="Times New Roman" w:eastAsia="方正仿宋_GBK" w:cs="Times New Roman"/>
          <w:color w:val="auto"/>
          <w:sz w:val="32"/>
          <w:szCs w:val="32"/>
          <w:lang w:val="en-US" w:eastAsia="zh-CN"/>
        </w:rPr>
        <w:t xml:space="preserve">  对作出重大招商贡献的单位或个人，按以下方式分类激励：</w:t>
      </w:r>
    </w:p>
    <w:p w14:paraId="11B1E72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Times New Roman"/>
          <w:color w:val="auto"/>
          <w:kern w:val="2"/>
          <w:sz w:val="32"/>
          <w:szCs w:val="32"/>
          <w:lang w:val="en-US" w:eastAsia="zh-CN"/>
        </w:rPr>
      </w:pPr>
      <w:r>
        <w:rPr>
          <w:rFonts w:hint="eastAsia" w:ascii="Times New Roman" w:hAnsi="Times New Roman" w:eastAsia="方正仿宋_GBK" w:cs="Times New Roman"/>
          <w:color w:val="auto"/>
          <w:sz w:val="32"/>
          <w:szCs w:val="32"/>
          <w:lang w:val="en-US" w:eastAsia="zh-CN"/>
        </w:rPr>
        <w:t>（一）对行政事业单位及县属国有企业，按照“三提高”方式进行激励。</w:t>
      </w:r>
    </w:p>
    <w:p w14:paraId="51C3480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Times New Roman"/>
          <w:color w:val="auto"/>
          <w:kern w:val="2"/>
          <w:sz w:val="32"/>
          <w:szCs w:val="32"/>
          <w:lang w:val="en-US" w:eastAsia="zh-CN"/>
        </w:rPr>
      </w:pPr>
      <w:r>
        <w:rPr>
          <w:rFonts w:hint="eastAsia" w:ascii="Times New Roman" w:hAnsi="Times New Roman" w:eastAsia="方正仿宋_GBK" w:cs="Times New Roman"/>
          <w:color w:val="auto"/>
          <w:kern w:val="2"/>
          <w:sz w:val="32"/>
          <w:szCs w:val="32"/>
          <w:lang w:val="en-US" w:eastAsia="zh-CN"/>
        </w:rPr>
        <w:t>1．“九团两处”牵头单位招商引资考核权重提高至10%。</w:t>
      </w:r>
    </w:p>
    <w:p w14:paraId="4AACDC6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Times New Roman"/>
          <w:color w:val="auto"/>
          <w:kern w:val="2"/>
          <w:sz w:val="32"/>
          <w:szCs w:val="32"/>
          <w:highlight w:val="none"/>
          <w:lang w:val="en-US" w:eastAsia="zh-CN"/>
        </w:rPr>
      </w:pPr>
      <w:r>
        <w:rPr>
          <w:rFonts w:hint="eastAsia" w:ascii="Times New Roman" w:hAnsi="Times New Roman" w:eastAsia="方正仿宋_GBK" w:cs="Times New Roman"/>
          <w:color w:val="auto"/>
          <w:kern w:val="2"/>
          <w:sz w:val="32"/>
          <w:szCs w:val="32"/>
          <w:highlight w:val="none"/>
          <w:lang w:val="en-US" w:eastAsia="zh-CN"/>
        </w:rPr>
        <w:t>2．行政事业单位及县属国有企业按照招商引资工作绩效提高一定比例的工作经费。</w:t>
      </w:r>
    </w:p>
    <w:p w14:paraId="7F380FD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Times New Roman"/>
          <w:color w:val="auto"/>
          <w:kern w:val="2"/>
          <w:sz w:val="32"/>
          <w:szCs w:val="32"/>
          <w:lang w:val="en-US" w:eastAsia="zh-CN"/>
        </w:rPr>
      </w:pPr>
      <w:r>
        <w:rPr>
          <w:rFonts w:hint="eastAsia" w:ascii="Times New Roman" w:hAnsi="Times New Roman" w:eastAsia="方正仿宋_GBK" w:cs="Times New Roman"/>
          <w:color w:val="auto"/>
          <w:kern w:val="2"/>
          <w:sz w:val="32"/>
          <w:szCs w:val="32"/>
          <w:lang w:val="en-US" w:eastAsia="zh-CN"/>
        </w:rPr>
        <w:t>3．“九团两处”牵头单位评优评先比例提高至30%。</w:t>
      </w:r>
    </w:p>
    <w:p w14:paraId="24930A8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（二）对公职人员按照“六优先”方式进行激励。</w:t>
      </w:r>
    </w:p>
    <w:p w14:paraId="3E428D9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Times New Roman"/>
          <w:color w:val="auto"/>
          <w:kern w:val="2"/>
          <w:sz w:val="32"/>
          <w:szCs w:val="32"/>
          <w:lang w:val="en-US" w:eastAsia="zh-CN"/>
        </w:rPr>
      </w:pPr>
      <w:r>
        <w:rPr>
          <w:rFonts w:hint="eastAsia" w:ascii="Times New Roman" w:hAnsi="Times New Roman" w:eastAsia="方正仿宋_GBK" w:cs="Times New Roman"/>
          <w:color w:val="auto"/>
          <w:kern w:val="2"/>
          <w:sz w:val="32"/>
          <w:szCs w:val="32"/>
          <w:lang w:val="en-US" w:eastAsia="zh-CN"/>
        </w:rPr>
        <w:t>1．在领导干部选用上同等条件下优先推荐。</w:t>
      </w:r>
    </w:p>
    <w:p w14:paraId="2888940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Times New Roman"/>
          <w:color w:val="auto"/>
          <w:kern w:val="2"/>
          <w:sz w:val="32"/>
          <w:szCs w:val="32"/>
          <w:lang w:val="en-US" w:eastAsia="zh-CN"/>
        </w:rPr>
      </w:pPr>
      <w:r>
        <w:rPr>
          <w:rFonts w:hint="eastAsia" w:ascii="Times New Roman" w:hAnsi="Times New Roman" w:eastAsia="方正仿宋_GBK" w:cs="Times New Roman"/>
          <w:color w:val="auto"/>
          <w:kern w:val="2"/>
          <w:sz w:val="32"/>
          <w:szCs w:val="32"/>
          <w:lang w:val="en-US" w:eastAsia="zh-CN"/>
        </w:rPr>
        <w:t>2．在公务员（含参公人员）职级晋升上予以优先。</w:t>
      </w:r>
    </w:p>
    <w:p w14:paraId="0B177D0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Times New Roman"/>
          <w:color w:val="auto"/>
          <w:kern w:val="2"/>
          <w:sz w:val="32"/>
          <w:szCs w:val="32"/>
          <w:lang w:val="en-US" w:eastAsia="zh-CN"/>
        </w:rPr>
      </w:pPr>
      <w:r>
        <w:rPr>
          <w:rFonts w:hint="eastAsia" w:ascii="Times New Roman" w:hAnsi="Times New Roman" w:eastAsia="方正仿宋_GBK" w:cs="Times New Roman"/>
          <w:color w:val="auto"/>
          <w:kern w:val="2"/>
          <w:sz w:val="32"/>
          <w:szCs w:val="32"/>
          <w:lang w:val="en-US" w:eastAsia="zh-CN"/>
        </w:rPr>
        <w:t>3．对贡献突出、群众公认且符合调任公务员条件的乡镇（街道）事业编制人员，可优先按程序办理调任手续。</w:t>
      </w:r>
    </w:p>
    <w:p w14:paraId="1C17B4B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Times New Roman"/>
          <w:color w:val="auto"/>
          <w:kern w:val="2"/>
          <w:sz w:val="32"/>
          <w:szCs w:val="32"/>
          <w:lang w:val="en-US" w:eastAsia="zh-CN"/>
        </w:rPr>
      </w:pPr>
      <w:r>
        <w:rPr>
          <w:rFonts w:hint="eastAsia" w:ascii="Times New Roman" w:hAnsi="Times New Roman" w:eastAsia="方正仿宋_GBK" w:cs="Times New Roman"/>
          <w:color w:val="auto"/>
          <w:kern w:val="2"/>
          <w:sz w:val="32"/>
          <w:szCs w:val="32"/>
          <w:lang w:val="en-US" w:eastAsia="zh-CN"/>
        </w:rPr>
        <w:t>4．在事业干部岗位晋升、职称评定上予以优先。</w:t>
      </w:r>
    </w:p>
    <w:p w14:paraId="6A491C4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Times New Roman"/>
          <w:color w:val="auto"/>
          <w:kern w:val="2"/>
          <w:sz w:val="32"/>
          <w:szCs w:val="32"/>
          <w:lang w:val="en-US" w:eastAsia="zh-CN"/>
        </w:rPr>
      </w:pPr>
      <w:r>
        <w:rPr>
          <w:rFonts w:hint="eastAsia" w:ascii="Times New Roman" w:hAnsi="Times New Roman" w:eastAsia="方正仿宋_GBK" w:cs="Times New Roman"/>
          <w:color w:val="auto"/>
          <w:kern w:val="2"/>
          <w:sz w:val="32"/>
          <w:szCs w:val="32"/>
          <w:lang w:val="en-US" w:eastAsia="zh-CN"/>
        </w:rPr>
        <w:t>5．在后备干部培养上同等条件下予以优先。</w:t>
      </w:r>
    </w:p>
    <w:p w14:paraId="3A0B21B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kern w:val="2"/>
          <w:sz w:val="32"/>
          <w:szCs w:val="32"/>
          <w:lang w:val="en-US" w:eastAsia="zh-CN"/>
        </w:rPr>
        <w:t>6．在评优评先上予以优先。</w:t>
      </w:r>
    </w:p>
    <w:p w14:paraId="22F23C32">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Times New Roman"/>
          <w:color w:val="auto"/>
          <w:kern w:val="2"/>
          <w:sz w:val="32"/>
          <w:szCs w:val="32"/>
          <w:lang w:val="en-US" w:eastAsia="zh-CN"/>
        </w:rPr>
      </w:pPr>
      <w:r>
        <w:rPr>
          <w:rFonts w:hint="eastAsia" w:ascii="Times New Roman" w:hAnsi="Times New Roman" w:eastAsia="方正仿宋_GBK" w:cs="Times New Roman"/>
          <w:color w:val="auto"/>
          <w:kern w:val="2"/>
          <w:sz w:val="32"/>
          <w:szCs w:val="32"/>
          <w:lang w:val="en-US" w:eastAsia="zh-CN"/>
        </w:rPr>
        <w:t>对社会力量按照“一补两奖励”方式进行激励。</w:t>
      </w:r>
    </w:p>
    <w:p w14:paraId="677A33E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Times New Roman"/>
          <w:color w:val="0000FF"/>
          <w:kern w:val="2"/>
          <w:sz w:val="32"/>
          <w:szCs w:val="32"/>
          <w:lang w:val="en-US" w:eastAsia="zh-CN"/>
        </w:rPr>
      </w:pPr>
      <w:r>
        <w:rPr>
          <w:rFonts w:hint="eastAsia" w:ascii="Times New Roman" w:hAnsi="Times New Roman" w:eastAsia="方正仿宋_GBK" w:cs="Times New Roman"/>
          <w:color w:val="auto"/>
          <w:kern w:val="2"/>
          <w:sz w:val="32"/>
          <w:szCs w:val="32"/>
          <w:lang w:val="en-US" w:eastAsia="zh-CN"/>
        </w:rPr>
        <w:t>1．“一补”即对云阳县在外人员综合联系服务中心激励补助。每年按照考核制度对云阳县在外人员综合联系服务中心分成三个等次进行考核，依据考核结果确定激励补助金额，基础补助金额为5万元。</w:t>
      </w:r>
    </w:p>
    <w:p w14:paraId="071C9FE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Times New Roman"/>
          <w:color w:val="auto"/>
          <w:kern w:val="2"/>
          <w:sz w:val="32"/>
          <w:szCs w:val="32"/>
          <w:highlight w:val="none"/>
          <w:lang w:val="en-US" w:eastAsia="zh-CN"/>
        </w:rPr>
      </w:pPr>
      <w:r>
        <w:rPr>
          <w:rFonts w:hint="eastAsia" w:ascii="Times New Roman" w:hAnsi="Times New Roman" w:eastAsia="方正仿宋_GBK" w:cs="Times New Roman"/>
          <w:color w:val="auto"/>
          <w:kern w:val="2"/>
          <w:sz w:val="32"/>
          <w:szCs w:val="32"/>
          <w:lang w:val="en-US" w:eastAsia="zh-CN"/>
        </w:rPr>
        <w:t>2．“两奖励”即对以商招商企业和社会人员依法依规给予奖</w:t>
      </w:r>
      <w:r>
        <w:rPr>
          <w:rFonts w:hint="eastAsia" w:ascii="Times New Roman" w:hAnsi="Times New Roman" w:eastAsia="方正仿宋_GBK" w:cs="Times New Roman"/>
          <w:color w:val="auto"/>
          <w:kern w:val="2"/>
          <w:sz w:val="32"/>
          <w:szCs w:val="32"/>
          <w:highlight w:val="none"/>
          <w:lang w:val="en-US" w:eastAsia="zh-CN"/>
        </w:rPr>
        <w:t>励。奖励标准与招引项目成效挂钩。</w:t>
      </w:r>
    </w:p>
    <w:p w14:paraId="470A1AC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Times New Roman"/>
          <w:color w:val="auto"/>
          <w:kern w:val="2"/>
          <w:sz w:val="32"/>
          <w:szCs w:val="32"/>
          <w:highlight w:val="none"/>
          <w:lang w:val="en-US" w:eastAsia="zh-CN"/>
        </w:rPr>
      </w:pPr>
      <w:r>
        <w:rPr>
          <w:rFonts w:hint="eastAsia" w:ascii="方正黑体_GBK" w:hAnsi="方正黑体_GBK" w:eastAsia="方正黑体_GBK" w:cs="Times New Roman"/>
          <w:color w:val="auto"/>
          <w:sz w:val="32"/>
          <w:szCs w:val="32"/>
          <w:u w:val="none"/>
          <w:lang w:val="en-US" w:eastAsia="zh-CN"/>
        </w:rPr>
        <w:t>第六条</w:t>
      </w:r>
      <w:r>
        <w:rPr>
          <w:rFonts w:hint="eastAsia" w:ascii="Times New Roman" w:hAnsi="Times New Roman" w:eastAsia="方正仿宋_GBK" w:cs="Times New Roman"/>
          <w:color w:val="auto"/>
          <w:kern w:val="2"/>
          <w:sz w:val="32"/>
          <w:szCs w:val="32"/>
          <w:highlight w:val="none"/>
          <w:lang w:val="en-US" w:eastAsia="zh-CN"/>
        </w:rPr>
        <w:t xml:space="preserve">  对乡镇（街道）在年度考核中分梯度进行加分激励。</w:t>
      </w:r>
    </w:p>
    <w:p w14:paraId="7DD5A25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u w:val="none"/>
          <w:lang w:eastAsia="zh-CN"/>
        </w:rPr>
      </w:pPr>
      <w:r>
        <w:rPr>
          <w:rFonts w:hint="eastAsia" w:ascii="Times New Roman" w:hAnsi="Times New Roman" w:eastAsia="方正仿宋_GBK" w:cs="Times New Roman"/>
          <w:color w:val="auto"/>
          <w:kern w:val="2"/>
          <w:sz w:val="32"/>
          <w:szCs w:val="32"/>
          <w:highlight w:val="none"/>
          <w:u w:val="none"/>
          <w:lang w:val="en-US" w:eastAsia="zh-CN"/>
        </w:rPr>
        <w:t>（一）引进制造业</w:t>
      </w:r>
      <w:r>
        <w:rPr>
          <w:rFonts w:hint="eastAsia" w:eastAsia="方正仿宋_GBK" w:cs="Times New Roman"/>
          <w:color w:val="auto"/>
          <w:kern w:val="2"/>
          <w:sz w:val="32"/>
          <w:szCs w:val="32"/>
          <w:highlight w:val="none"/>
          <w:u w:val="none"/>
          <w:lang w:val="en-US" w:eastAsia="zh-CN"/>
        </w:rPr>
        <w:t>、</w:t>
      </w:r>
      <w:r>
        <w:rPr>
          <w:rFonts w:hint="eastAsia" w:ascii="Times New Roman" w:hAnsi="Times New Roman" w:eastAsia="方正仿宋_GBK" w:cs="Times New Roman"/>
          <w:color w:val="auto"/>
          <w:sz w:val="32"/>
          <w:szCs w:val="32"/>
          <w:highlight w:val="none"/>
          <w:u w:val="none"/>
          <w:lang w:eastAsia="zh-CN"/>
        </w:rPr>
        <w:t>食品及农产品加工业</w:t>
      </w:r>
      <w:r>
        <w:rPr>
          <w:rFonts w:hint="eastAsia" w:eastAsia="方正仿宋_GBK" w:cs="Times New Roman"/>
          <w:color w:val="auto"/>
          <w:sz w:val="32"/>
          <w:szCs w:val="32"/>
          <w:highlight w:val="none"/>
          <w:u w:val="none"/>
          <w:lang w:eastAsia="zh-CN"/>
        </w:rPr>
        <w:t>项目，</w:t>
      </w:r>
      <w:r>
        <w:rPr>
          <w:rFonts w:hint="default" w:eastAsia="方正仿宋_GBK" w:cs="Times New Roman"/>
          <w:color w:val="auto"/>
          <w:sz w:val="32"/>
          <w:szCs w:val="32"/>
          <w:highlight w:val="none"/>
          <w:u w:val="none"/>
          <w:lang w:eastAsia="zh-CN"/>
        </w:rPr>
        <w:t>且项目</w:t>
      </w:r>
      <w:r>
        <w:rPr>
          <w:rFonts w:hint="eastAsia" w:ascii="Times New Roman" w:hAnsi="Times New Roman" w:eastAsia="方正仿宋_GBK" w:cs="Times New Roman"/>
          <w:color w:val="auto"/>
          <w:kern w:val="2"/>
          <w:sz w:val="32"/>
          <w:szCs w:val="32"/>
          <w:highlight w:val="none"/>
          <w:u w:val="none"/>
          <w:lang w:val="en-US" w:eastAsia="zh-CN"/>
        </w:rPr>
        <w:t>按约开工建设</w:t>
      </w:r>
      <w:r>
        <w:rPr>
          <w:rFonts w:hint="eastAsia" w:eastAsia="方正仿宋_GBK" w:cs="Times New Roman"/>
          <w:color w:val="auto"/>
          <w:kern w:val="2"/>
          <w:sz w:val="32"/>
          <w:szCs w:val="32"/>
          <w:highlight w:val="none"/>
          <w:u w:val="none"/>
          <w:lang w:val="en-US" w:eastAsia="zh-CN"/>
        </w:rPr>
        <w:t>并在签约1年内实现到位资金达到协议资金</w:t>
      </w:r>
      <w:r>
        <w:rPr>
          <w:rFonts w:hint="default" w:eastAsia="方正仿宋_GBK" w:cs="Times New Roman"/>
          <w:color w:val="auto"/>
          <w:kern w:val="2"/>
          <w:sz w:val="32"/>
          <w:szCs w:val="32"/>
          <w:highlight w:val="none"/>
          <w:u w:val="none"/>
          <w:lang w:eastAsia="zh-CN"/>
        </w:rPr>
        <w:t>2</w:t>
      </w:r>
      <w:r>
        <w:rPr>
          <w:rFonts w:hint="eastAsia" w:eastAsia="方正仿宋_GBK" w:cs="Times New Roman"/>
          <w:color w:val="auto"/>
          <w:kern w:val="2"/>
          <w:sz w:val="32"/>
          <w:szCs w:val="32"/>
          <w:highlight w:val="none"/>
          <w:u w:val="none"/>
          <w:lang w:val="en-US" w:eastAsia="zh-CN"/>
        </w:rPr>
        <w:t>0%以上</w:t>
      </w:r>
      <w:r>
        <w:rPr>
          <w:rFonts w:hint="eastAsia" w:ascii="Times New Roman" w:hAnsi="Times New Roman" w:eastAsia="方正仿宋_GBK" w:cs="Times New Roman"/>
          <w:color w:val="auto"/>
          <w:kern w:val="2"/>
          <w:sz w:val="32"/>
          <w:szCs w:val="32"/>
          <w:highlight w:val="none"/>
          <w:u w:val="none"/>
          <w:lang w:val="en-US" w:eastAsia="zh-CN"/>
        </w:rPr>
        <w:t>的：协议资金1—5亿元（不含5亿元）加</w:t>
      </w:r>
      <w:r>
        <w:rPr>
          <w:rFonts w:hint="eastAsia" w:eastAsia="方正仿宋_GBK" w:cs="Times New Roman"/>
          <w:color w:val="auto"/>
          <w:kern w:val="2"/>
          <w:sz w:val="32"/>
          <w:szCs w:val="32"/>
          <w:highlight w:val="none"/>
          <w:u w:val="none"/>
          <w:lang w:val="en-US" w:eastAsia="zh-CN"/>
        </w:rPr>
        <w:t>0.</w:t>
      </w:r>
      <w:r>
        <w:rPr>
          <w:rFonts w:hint="default" w:eastAsia="方正仿宋_GBK" w:cs="Times New Roman"/>
          <w:color w:val="auto"/>
          <w:kern w:val="2"/>
          <w:sz w:val="32"/>
          <w:szCs w:val="32"/>
          <w:highlight w:val="none"/>
          <w:u w:val="none"/>
          <w:lang w:eastAsia="zh-CN"/>
        </w:rPr>
        <w:t>1</w:t>
      </w:r>
      <w:r>
        <w:rPr>
          <w:rFonts w:hint="eastAsia" w:ascii="Times New Roman" w:hAnsi="Times New Roman" w:eastAsia="方正仿宋_GBK" w:cs="Times New Roman"/>
          <w:color w:val="auto"/>
          <w:kern w:val="2"/>
          <w:sz w:val="32"/>
          <w:szCs w:val="32"/>
          <w:highlight w:val="none"/>
          <w:u w:val="none"/>
          <w:lang w:val="en-US" w:eastAsia="zh-CN"/>
        </w:rPr>
        <w:t>分；</w:t>
      </w:r>
      <w:r>
        <w:rPr>
          <w:rFonts w:hint="eastAsia" w:eastAsia="方正仿宋_GBK" w:cs="Times New Roman"/>
          <w:color w:val="auto"/>
          <w:kern w:val="2"/>
          <w:sz w:val="32"/>
          <w:szCs w:val="32"/>
          <w:highlight w:val="none"/>
          <w:u w:val="none"/>
          <w:lang w:val="en-US" w:eastAsia="zh-CN"/>
        </w:rPr>
        <w:t>协议资金</w:t>
      </w:r>
      <w:r>
        <w:rPr>
          <w:rFonts w:hint="eastAsia" w:ascii="Times New Roman" w:hAnsi="Times New Roman" w:eastAsia="方正仿宋_GBK" w:cs="Times New Roman"/>
          <w:color w:val="auto"/>
          <w:kern w:val="2"/>
          <w:sz w:val="32"/>
          <w:szCs w:val="32"/>
          <w:highlight w:val="none"/>
          <w:u w:val="none"/>
          <w:lang w:val="en-US" w:eastAsia="zh-CN"/>
        </w:rPr>
        <w:t>5—10亿元（不含10亿元）加</w:t>
      </w:r>
      <w:r>
        <w:rPr>
          <w:rFonts w:hint="eastAsia" w:eastAsia="方正仿宋_GBK" w:cs="Times New Roman"/>
          <w:color w:val="auto"/>
          <w:kern w:val="2"/>
          <w:sz w:val="32"/>
          <w:szCs w:val="32"/>
          <w:highlight w:val="none"/>
          <w:u w:val="none"/>
          <w:lang w:val="en-US" w:eastAsia="zh-CN"/>
        </w:rPr>
        <w:t>0.</w:t>
      </w:r>
      <w:r>
        <w:rPr>
          <w:rFonts w:hint="default" w:eastAsia="方正仿宋_GBK" w:cs="Times New Roman"/>
          <w:color w:val="auto"/>
          <w:kern w:val="2"/>
          <w:sz w:val="32"/>
          <w:szCs w:val="32"/>
          <w:highlight w:val="none"/>
          <w:u w:val="none"/>
          <w:lang w:eastAsia="zh-CN"/>
        </w:rPr>
        <w:t>2</w:t>
      </w:r>
      <w:r>
        <w:rPr>
          <w:rFonts w:hint="eastAsia" w:ascii="Times New Roman" w:hAnsi="Times New Roman" w:eastAsia="方正仿宋_GBK" w:cs="Times New Roman"/>
          <w:color w:val="auto"/>
          <w:kern w:val="2"/>
          <w:sz w:val="32"/>
          <w:szCs w:val="32"/>
          <w:highlight w:val="none"/>
          <w:u w:val="none"/>
          <w:lang w:val="en-US" w:eastAsia="zh-CN"/>
        </w:rPr>
        <w:t>分；</w:t>
      </w:r>
      <w:r>
        <w:rPr>
          <w:rFonts w:hint="eastAsia" w:eastAsia="方正仿宋_GBK" w:cs="Times New Roman"/>
          <w:color w:val="auto"/>
          <w:kern w:val="2"/>
          <w:sz w:val="32"/>
          <w:szCs w:val="32"/>
          <w:highlight w:val="none"/>
          <w:u w:val="none"/>
          <w:lang w:val="en-US" w:eastAsia="zh-CN"/>
        </w:rPr>
        <w:t>协议资金</w:t>
      </w:r>
      <w:r>
        <w:rPr>
          <w:rFonts w:hint="eastAsia" w:ascii="Times New Roman" w:hAnsi="Times New Roman" w:eastAsia="方正仿宋_GBK" w:cs="Times New Roman"/>
          <w:color w:val="auto"/>
          <w:kern w:val="2"/>
          <w:sz w:val="32"/>
          <w:szCs w:val="32"/>
          <w:highlight w:val="none"/>
          <w:u w:val="none"/>
          <w:lang w:val="en-US" w:eastAsia="zh-CN"/>
        </w:rPr>
        <w:t>10亿元以上加</w:t>
      </w:r>
      <w:r>
        <w:rPr>
          <w:rFonts w:hint="eastAsia" w:eastAsia="方正仿宋_GBK" w:cs="Times New Roman"/>
          <w:color w:val="auto"/>
          <w:kern w:val="2"/>
          <w:sz w:val="32"/>
          <w:szCs w:val="32"/>
          <w:highlight w:val="none"/>
          <w:u w:val="none"/>
          <w:lang w:val="en-US" w:eastAsia="zh-CN"/>
        </w:rPr>
        <w:t>0.</w:t>
      </w:r>
      <w:r>
        <w:rPr>
          <w:rFonts w:hint="default" w:eastAsia="方正仿宋_GBK" w:cs="Times New Roman"/>
          <w:color w:val="auto"/>
          <w:kern w:val="2"/>
          <w:sz w:val="32"/>
          <w:szCs w:val="32"/>
          <w:highlight w:val="none"/>
          <w:u w:val="none"/>
          <w:lang w:eastAsia="zh-CN"/>
        </w:rPr>
        <w:t>5</w:t>
      </w:r>
      <w:r>
        <w:rPr>
          <w:rFonts w:hint="eastAsia" w:ascii="Times New Roman" w:hAnsi="Times New Roman" w:eastAsia="方正仿宋_GBK" w:cs="Times New Roman"/>
          <w:color w:val="auto"/>
          <w:kern w:val="2"/>
          <w:sz w:val="32"/>
          <w:szCs w:val="32"/>
          <w:highlight w:val="none"/>
          <w:u w:val="none"/>
          <w:lang w:val="en-US" w:eastAsia="zh-CN"/>
        </w:rPr>
        <w:t>分。</w:t>
      </w:r>
    </w:p>
    <w:p w14:paraId="1E7F329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highlight w:val="none"/>
          <w:u w:val="none"/>
          <w:lang w:val="en-US" w:eastAsia="zh-CN"/>
        </w:rPr>
      </w:pPr>
      <w:r>
        <w:rPr>
          <w:rFonts w:hint="eastAsia" w:ascii="Times New Roman" w:hAnsi="Times New Roman" w:eastAsia="方正仿宋_GBK" w:cs="Times New Roman"/>
          <w:color w:val="auto"/>
          <w:kern w:val="2"/>
          <w:sz w:val="32"/>
          <w:szCs w:val="32"/>
          <w:highlight w:val="none"/>
          <w:u w:val="none"/>
          <w:lang w:val="en-US" w:eastAsia="zh-CN"/>
        </w:rPr>
        <w:t>（二）提供制造业</w:t>
      </w:r>
      <w:r>
        <w:rPr>
          <w:rFonts w:hint="eastAsia" w:eastAsia="方正仿宋_GBK" w:cs="Times New Roman"/>
          <w:color w:val="auto"/>
          <w:kern w:val="2"/>
          <w:sz w:val="32"/>
          <w:szCs w:val="32"/>
          <w:highlight w:val="none"/>
          <w:u w:val="none"/>
          <w:lang w:val="en-US" w:eastAsia="zh-CN"/>
        </w:rPr>
        <w:t>、</w:t>
      </w:r>
      <w:r>
        <w:rPr>
          <w:rFonts w:hint="eastAsia" w:ascii="Times New Roman" w:hAnsi="Times New Roman" w:eastAsia="方正仿宋_GBK" w:cs="Times New Roman"/>
          <w:color w:val="auto"/>
          <w:sz w:val="32"/>
          <w:szCs w:val="32"/>
          <w:highlight w:val="none"/>
          <w:u w:val="none"/>
          <w:lang w:eastAsia="zh-CN"/>
        </w:rPr>
        <w:t>食品及农产品加工业</w:t>
      </w:r>
      <w:r>
        <w:rPr>
          <w:rFonts w:hint="eastAsia" w:ascii="Times New Roman" w:hAnsi="Times New Roman" w:eastAsia="方正仿宋_GBK" w:cs="Times New Roman"/>
          <w:color w:val="auto"/>
          <w:kern w:val="2"/>
          <w:sz w:val="32"/>
          <w:szCs w:val="32"/>
          <w:highlight w:val="none"/>
          <w:u w:val="none"/>
          <w:lang w:val="en-US" w:eastAsia="zh-CN"/>
        </w:rPr>
        <w:t>项目信息</w:t>
      </w:r>
      <w:r>
        <w:rPr>
          <w:rFonts w:hint="default" w:eastAsia="方正仿宋_GBK" w:cs="Times New Roman"/>
          <w:color w:val="auto"/>
          <w:kern w:val="2"/>
          <w:sz w:val="32"/>
          <w:szCs w:val="32"/>
          <w:highlight w:val="none"/>
          <w:u w:val="none"/>
          <w:lang w:eastAsia="zh-CN"/>
        </w:rPr>
        <w:t>，</w:t>
      </w:r>
      <w:r>
        <w:rPr>
          <w:rFonts w:hint="eastAsia" w:ascii="Times New Roman" w:hAnsi="Times New Roman" w:eastAsia="方正仿宋_GBK" w:cs="Times New Roman"/>
          <w:color w:val="auto"/>
          <w:kern w:val="2"/>
          <w:sz w:val="32"/>
          <w:szCs w:val="32"/>
          <w:highlight w:val="none"/>
          <w:u w:val="none"/>
          <w:lang w:val="en-US" w:eastAsia="zh-CN"/>
        </w:rPr>
        <w:t>项目成功签约</w:t>
      </w:r>
      <w:r>
        <w:rPr>
          <w:rFonts w:hint="eastAsia" w:eastAsia="方正仿宋_GBK" w:cs="Times New Roman"/>
          <w:color w:val="auto"/>
          <w:kern w:val="2"/>
          <w:sz w:val="32"/>
          <w:szCs w:val="32"/>
          <w:highlight w:val="none"/>
          <w:u w:val="none"/>
          <w:lang w:val="en-US" w:eastAsia="zh-CN"/>
        </w:rPr>
        <w:t>且</w:t>
      </w:r>
      <w:r>
        <w:rPr>
          <w:rFonts w:hint="eastAsia" w:ascii="Times New Roman" w:hAnsi="Times New Roman" w:eastAsia="方正仿宋_GBK" w:cs="Times New Roman"/>
          <w:color w:val="auto"/>
          <w:kern w:val="2"/>
          <w:sz w:val="32"/>
          <w:szCs w:val="32"/>
          <w:highlight w:val="none"/>
          <w:u w:val="none"/>
          <w:lang w:val="en-US" w:eastAsia="zh-CN"/>
        </w:rPr>
        <w:t>按约开工建设</w:t>
      </w:r>
      <w:r>
        <w:rPr>
          <w:rFonts w:hint="eastAsia" w:eastAsia="方正仿宋_GBK" w:cs="Times New Roman"/>
          <w:color w:val="auto"/>
          <w:kern w:val="2"/>
          <w:sz w:val="32"/>
          <w:szCs w:val="32"/>
          <w:highlight w:val="none"/>
          <w:u w:val="none"/>
          <w:lang w:val="en-US" w:eastAsia="zh-CN"/>
        </w:rPr>
        <w:t>并在签约1年内实现到位资金达到协议资金</w:t>
      </w:r>
      <w:r>
        <w:rPr>
          <w:rFonts w:hint="default" w:eastAsia="方正仿宋_GBK" w:cs="Times New Roman"/>
          <w:color w:val="auto"/>
          <w:kern w:val="2"/>
          <w:sz w:val="32"/>
          <w:szCs w:val="32"/>
          <w:highlight w:val="none"/>
          <w:u w:val="none"/>
          <w:lang w:eastAsia="zh-CN"/>
        </w:rPr>
        <w:t>2</w:t>
      </w:r>
      <w:r>
        <w:rPr>
          <w:rFonts w:hint="eastAsia" w:eastAsia="方正仿宋_GBK" w:cs="Times New Roman"/>
          <w:color w:val="auto"/>
          <w:kern w:val="2"/>
          <w:sz w:val="32"/>
          <w:szCs w:val="32"/>
          <w:highlight w:val="none"/>
          <w:u w:val="none"/>
          <w:lang w:val="en-US" w:eastAsia="zh-CN"/>
        </w:rPr>
        <w:t>0%以上</w:t>
      </w:r>
      <w:r>
        <w:rPr>
          <w:rFonts w:hint="eastAsia" w:ascii="Times New Roman" w:hAnsi="Times New Roman" w:eastAsia="方正仿宋_GBK" w:cs="Times New Roman"/>
          <w:color w:val="auto"/>
          <w:kern w:val="2"/>
          <w:sz w:val="32"/>
          <w:szCs w:val="32"/>
          <w:highlight w:val="none"/>
          <w:u w:val="none"/>
          <w:lang w:val="en-US" w:eastAsia="zh-CN"/>
        </w:rPr>
        <w:t>的，对信息提供单位予以加分：</w:t>
      </w:r>
      <w:r>
        <w:rPr>
          <w:rFonts w:hint="default" w:ascii="Times New Roman" w:hAnsi="Times New Roman" w:eastAsia="方正仿宋_GBK" w:cs="Times New Roman"/>
          <w:color w:val="auto"/>
          <w:kern w:val="2"/>
          <w:sz w:val="32"/>
          <w:szCs w:val="32"/>
          <w:highlight w:val="none"/>
          <w:u w:val="none"/>
          <w:lang w:eastAsia="zh-CN"/>
        </w:rPr>
        <w:t>协议</w:t>
      </w:r>
      <w:r>
        <w:rPr>
          <w:rFonts w:hint="eastAsia" w:ascii="Times New Roman" w:hAnsi="Times New Roman" w:eastAsia="方正仿宋_GBK" w:cs="Times New Roman"/>
          <w:color w:val="auto"/>
          <w:kern w:val="2"/>
          <w:sz w:val="32"/>
          <w:szCs w:val="32"/>
          <w:highlight w:val="none"/>
          <w:u w:val="none"/>
          <w:lang w:val="en-US" w:eastAsia="zh-CN"/>
        </w:rPr>
        <w:t>资金1—5亿元（不含5亿元）加</w:t>
      </w:r>
      <w:r>
        <w:rPr>
          <w:rFonts w:hint="eastAsia" w:eastAsia="方正仿宋_GBK" w:cs="Times New Roman"/>
          <w:color w:val="auto"/>
          <w:kern w:val="2"/>
          <w:sz w:val="32"/>
          <w:szCs w:val="32"/>
          <w:highlight w:val="none"/>
          <w:u w:val="none"/>
          <w:lang w:val="en-US" w:eastAsia="zh-CN"/>
        </w:rPr>
        <w:t>0.</w:t>
      </w:r>
      <w:r>
        <w:rPr>
          <w:rFonts w:hint="default" w:eastAsia="方正仿宋_GBK" w:cs="Times New Roman"/>
          <w:color w:val="auto"/>
          <w:kern w:val="2"/>
          <w:sz w:val="32"/>
          <w:szCs w:val="32"/>
          <w:highlight w:val="none"/>
          <w:u w:val="none"/>
          <w:lang w:eastAsia="zh-CN"/>
        </w:rPr>
        <w:t>05</w:t>
      </w:r>
      <w:r>
        <w:rPr>
          <w:rFonts w:hint="eastAsia" w:ascii="Times New Roman" w:hAnsi="Times New Roman" w:eastAsia="方正仿宋_GBK" w:cs="Times New Roman"/>
          <w:color w:val="auto"/>
          <w:kern w:val="2"/>
          <w:sz w:val="32"/>
          <w:szCs w:val="32"/>
          <w:highlight w:val="none"/>
          <w:u w:val="none"/>
          <w:lang w:val="en-US" w:eastAsia="zh-CN"/>
        </w:rPr>
        <w:t>分；5—10亿元（不含10亿元）加</w:t>
      </w:r>
      <w:r>
        <w:rPr>
          <w:rFonts w:hint="eastAsia" w:eastAsia="方正仿宋_GBK" w:cs="Times New Roman"/>
          <w:color w:val="auto"/>
          <w:kern w:val="2"/>
          <w:sz w:val="32"/>
          <w:szCs w:val="32"/>
          <w:highlight w:val="none"/>
          <w:u w:val="none"/>
          <w:lang w:val="en-US" w:eastAsia="zh-CN"/>
        </w:rPr>
        <w:t>0.</w:t>
      </w:r>
      <w:r>
        <w:rPr>
          <w:rFonts w:hint="default" w:eastAsia="方正仿宋_GBK" w:cs="Times New Roman"/>
          <w:color w:val="auto"/>
          <w:kern w:val="2"/>
          <w:sz w:val="32"/>
          <w:szCs w:val="32"/>
          <w:highlight w:val="none"/>
          <w:u w:val="none"/>
          <w:lang w:eastAsia="zh-CN"/>
        </w:rPr>
        <w:t>1</w:t>
      </w:r>
      <w:r>
        <w:rPr>
          <w:rFonts w:hint="eastAsia" w:ascii="Times New Roman" w:hAnsi="Times New Roman" w:eastAsia="方正仿宋_GBK" w:cs="Times New Roman"/>
          <w:color w:val="auto"/>
          <w:kern w:val="2"/>
          <w:sz w:val="32"/>
          <w:szCs w:val="32"/>
          <w:highlight w:val="none"/>
          <w:u w:val="none"/>
          <w:lang w:val="en-US" w:eastAsia="zh-CN"/>
        </w:rPr>
        <w:t>分；10亿元以上加</w:t>
      </w:r>
      <w:r>
        <w:rPr>
          <w:rFonts w:hint="eastAsia" w:eastAsia="方正仿宋_GBK" w:cs="Times New Roman"/>
          <w:color w:val="auto"/>
          <w:kern w:val="2"/>
          <w:sz w:val="32"/>
          <w:szCs w:val="32"/>
          <w:highlight w:val="none"/>
          <w:u w:val="none"/>
          <w:lang w:val="en-US" w:eastAsia="zh-CN"/>
        </w:rPr>
        <w:t>0.</w:t>
      </w:r>
      <w:r>
        <w:rPr>
          <w:rFonts w:hint="default" w:eastAsia="方正仿宋_GBK" w:cs="Times New Roman"/>
          <w:color w:val="auto"/>
          <w:kern w:val="2"/>
          <w:sz w:val="32"/>
          <w:szCs w:val="32"/>
          <w:highlight w:val="none"/>
          <w:u w:val="none"/>
          <w:lang w:eastAsia="zh-CN"/>
        </w:rPr>
        <w:t>15</w:t>
      </w:r>
      <w:r>
        <w:rPr>
          <w:rFonts w:hint="eastAsia" w:ascii="Times New Roman" w:hAnsi="Times New Roman" w:eastAsia="方正仿宋_GBK" w:cs="Times New Roman"/>
          <w:color w:val="auto"/>
          <w:kern w:val="2"/>
          <w:sz w:val="32"/>
          <w:szCs w:val="32"/>
          <w:highlight w:val="none"/>
          <w:u w:val="none"/>
          <w:lang w:val="en-US" w:eastAsia="zh-CN"/>
        </w:rPr>
        <w:t>分。</w:t>
      </w:r>
    </w:p>
    <w:p w14:paraId="741204B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Times New Roman"/>
          <w:color w:val="auto"/>
          <w:kern w:val="2"/>
          <w:sz w:val="32"/>
          <w:szCs w:val="32"/>
          <w:highlight w:val="none"/>
          <w:lang w:val="en-US" w:eastAsia="zh-CN"/>
        </w:rPr>
      </w:pPr>
      <w:r>
        <w:rPr>
          <w:rFonts w:hint="eastAsia" w:ascii="Times New Roman" w:hAnsi="Times New Roman" w:eastAsia="方正仿宋_GBK" w:cs="Times New Roman"/>
          <w:color w:val="auto"/>
          <w:kern w:val="2"/>
          <w:sz w:val="32"/>
          <w:szCs w:val="32"/>
          <w:highlight w:val="none"/>
          <w:lang w:val="en-US" w:eastAsia="zh-CN"/>
        </w:rPr>
        <w:t>（三）</w:t>
      </w:r>
      <w:r>
        <w:rPr>
          <w:rFonts w:hint="eastAsia" w:eastAsia="方正仿宋_GBK" w:cs="Times New Roman"/>
          <w:color w:val="auto"/>
          <w:kern w:val="2"/>
          <w:sz w:val="32"/>
          <w:szCs w:val="32"/>
          <w:highlight w:val="none"/>
          <w:lang w:val="en-US" w:eastAsia="zh-CN"/>
        </w:rPr>
        <w:t>对达到第六条第一款的单位，</w:t>
      </w:r>
      <w:r>
        <w:rPr>
          <w:rFonts w:hint="eastAsia" w:ascii="Times New Roman" w:hAnsi="Times New Roman" w:eastAsia="方正仿宋_GBK" w:cs="Times New Roman"/>
          <w:color w:val="auto"/>
          <w:kern w:val="2"/>
          <w:sz w:val="32"/>
          <w:szCs w:val="32"/>
          <w:highlight w:val="none"/>
          <w:lang w:val="en-US" w:eastAsia="zh-CN"/>
        </w:rPr>
        <w:t>评优评先比例提高至30%</w:t>
      </w:r>
      <w:r>
        <w:rPr>
          <w:rFonts w:hint="default" w:eastAsia="方正仿宋_GBK" w:cs="Times New Roman"/>
          <w:color w:val="auto"/>
          <w:kern w:val="2"/>
          <w:sz w:val="32"/>
          <w:szCs w:val="32"/>
          <w:highlight w:val="none"/>
          <w:lang w:eastAsia="zh-CN"/>
        </w:rPr>
        <w:t>，</w:t>
      </w:r>
      <w:r>
        <w:rPr>
          <w:rFonts w:hint="eastAsia" w:ascii="Times New Roman" w:hAnsi="Times New Roman" w:eastAsia="方正仿宋_GBK" w:cs="Times New Roman"/>
          <w:color w:val="auto"/>
          <w:kern w:val="2"/>
          <w:sz w:val="32"/>
          <w:szCs w:val="32"/>
          <w:highlight w:val="none"/>
          <w:lang w:val="en-US" w:eastAsia="zh-CN"/>
        </w:rPr>
        <w:t>对于公职人员参照本办法第五条第二款。</w:t>
      </w:r>
    </w:p>
    <w:p w14:paraId="4E1A91A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center"/>
        <w:textAlignment w:val="auto"/>
        <w:rPr>
          <w:rFonts w:hint="eastAsia" w:ascii="Times New Roman" w:hAnsi="Times New Roman" w:eastAsia="方正仿宋_GB2312" w:cs="Times New Roman"/>
          <w:color w:val="auto"/>
          <w:sz w:val="32"/>
          <w:szCs w:val="32"/>
          <w:highlight w:val="none"/>
          <w:u w:val="none"/>
          <w:lang w:val="en-US" w:eastAsia="zh-CN"/>
        </w:rPr>
      </w:pPr>
    </w:p>
    <w:p w14:paraId="62F7F1D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center"/>
        <w:textAlignment w:val="auto"/>
        <w:rPr>
          <w:rFonts w:hint="eastAsia" w:ascii="Times New Roman" w:hAnsi="Times New Roman" w:eastAsia="方正黑体_GBK" w:cs="Times New Roman"/>
          <w:color w:val="auto"/>
          <w:sz w:val="32"/>
          <w:szCs w:val="32"/>
          <w:highlight w:val="none"/>
          <w:u w:val="none"/>
          <w:lang w:val="en-US" w:eastAsia="zh-CN"/>
        </w:rPr>
      </w:pPr>
      <w:r>
        <w:rPr>
          <w:rFonts w:hint="eastAsia" w:ascii="Times New Roman" w:hAnsi="Times New Roman" w:eastAsia="方正黑体_GBK" w:cs="Times New Roman"/>
          <w:color w:val="auto"/>
          <w:sz w:val="32"/>
          <w:szCs w:val="32"/>
          <w:highlight w:val="none"/>
          <w:u w:val="none"/>
          <w:lang w:val="en-US" w:eastAsia="zh-CN"/>
        </w:rPr>
        <w:t>第三章  兑现程序</w:t>
      </w:r>
    </w:p>
    <w:p w14:paraId="09F9C48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方正黑体_GBK" w:hAnsi="方正黑体_GBK" w:eastAsia="方正黑体_GBK" w:cs="Times New Roman"/>
          <w:color w:val="auto"/>
          <w:sz w:val="32"/>
          <w:szCs w:val="32"/>
          <w:u w:val="none"/>
          <w:lang w:val="en-US" w:eastAsia="zh-CN"/>
        </w:rPr>
        <w:t>第七条</w:t>
      </w:r>
      <w:r>
        <w:rPr>
          <w:rFonts w:hint="eastAsia" w:ascii="Times New Roman" w:hAnsi="Times New Roman" w:eastAsia="方正仿宋_GBK" w:cs="Times New Roman"/>
          <w:color w:val="auto"/>
          <w:sz w:val="32"/>
          <w:szCs w:val="32"/>
          <w:highlight w:val="none"/>
          <w:lang w:val="en-US" w:eastAsia="zh-CN"/>
        </w:rPr>
        <w:t xml:space="preserve">  每年对达到激励标准的按以下程序进行。</w:t>
      </w:r>
    </w:p>
    <w:p w14:paraId="36CEF0C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Times New Roman"/>
          <w:color w:val="auto"/>
          <w:kern w:val="2"/>
          <w:sz w:val="32"/>
          <w:szCs w:val="32"/>
          <w:highlight w:val="none"/>
          <w:lang w:val="en-US" w:eastAsia="zh-CN"/>
        </w:rPr>
      </w:pPr>
      <w:r>
        <w:rPr>
          <w:rFonts w:hint="eastAsia" w:ascii="Times New Roman" w:hAnsi="Times New Roman" w:eastAsia="方正仿宋_GBK" w:cs="Times New Roman"/>
          <w:color w:val="auto"/>
          <w:kern w:val="2"/>
          <w:sz w:val="32"/>
          <w:szCs w:val="32"/>
          <w:highlight w:val="none"/>
          <w:lang w:val="en-US" w:eastAsia="zh-CN"/>
        </w:rPr>
        <w:t>（一）对于符合奖励条件的项目，由招引单位向县招商引资服务中心提出申请并提供相关申报材料。</w:t>
      </w:r>
    </w:p>
    <w:p w14:paraId="6D79F33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Times New Roman"/>
          <w:color w:val="auto"/>
          <w:kern w:val="2"/>
          <w:sz w:val="32"/>
          <w:szCs w:val="32"/>
          <w:highlight w:val="none"/>
          <w:lang w:val="en-US" w:eastAsia="zh-CN"/>
        </w:rPr>
      </w:pPr>
      <w:r>
        <w:rPr>
          <w:rFonts w:hint="eastAsia" w:ascii="Times New Roman" w:hAnsi="Times New Roman" w:eastAsia="方正仿宋_GBK" w:cs="Times New Roman"/>
          <w:color w:val="auto"/>
          <w:kern w:val="2"/>
          <w:sz w:val="32"/>
          <w:szCs w:val="32"/>
          <w:highlight w:val="none"/>
          <w:lang w:val="en-US" w:eastAsia="zh-CN"/>
        </w:rPr>
        <w:t>（二）县招商引资服务中心会同县发展改革委、县经济信息委、县财政局、县市场监管局等部门进行评审，提出拟激励意见。</w:t>
      </w:r>
    </w:p>
    <w:p w14:paraId="5036B08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Times New Roman"/>
          <w:color w:val="auto"/>
          <w:kern w:val="2"/>
          <w:sz w:val="32"/>
          <w:szCs w:val="32"/>
          <w:highlight w:val="none"/>
          <w:lang w:val="en-US" w:eastAsia="zh-CN"/>
        </w:rPr>
      </w:pPr>
      <w:r>
        <w:rPr>
          <w:rFonts w:hint="eastAsia" w:eastAsia="方正仿宋_GBK" w:cs="Times New Roman"/>
          <w:color w:val="auto"/>
          <w:kern w:val="2"/>
          <w:sz w:val="32"/>
          <w:szCs w:val="32"/>
          <w:highlight w:val="none"/>
          <w:lang w:val="en-US" w:eastAsia="zh-CN"/>
        </w:rPr>
        <w:t>（三）</w:t>
      </w:r>
      <w:r>
        <w:rPr>
          <w:rFonts w:hint="eastAsia" w:ascii="Times New Roman" w:hAnsi="Times New Roman" w:eastAsia="方正仿宋_GBK" w:cs="Times New Roman"/>
          <w:color w:val="auto"/>
          <w:kern w:val="2"/>
          <w:sz w:val="32"/>
          <w:szCs w:val="32"/>
          <w:highlight w:val="none"/>
          <w:lang w:val="en-US" w:eastAsia="zh-CN"/>
        </w:rPr>
        <w:t>对拟给予激励的项目，公示7天无异议后</w:t>
      </w:r>
      <w:r>
        <w:rPr>
          <w:rFonts w:hint="eastAsia" w:eastAsia="方正仿宋_GBK" w:cs="Times New Roman"/>
          <w:color w:val="auto"/>
          <w:kern w:val="2"/>
          <w:sz w:val="32"/>
          <w:szCs w:val="32"/>
          <w:highlight w:val="none"/>
          <w:lang w:val="en-US" w:eastAsia="zh-CN"/>
        </w:rPr>
        <w:t>按程序实施。</w:t>
      </w:r>
    </w:p>
    <w:p w14:paraId="6E5BBA8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Times New Roman"/>
          <w:color w:val="auto"/>
          <w:kern w:val="2"/>
          <w:sz w:val="32"/>
          <w:szCs w:val="32"/>
          <w:highlight w:val="none"/>
          <w:u w:val="none"/>
          <w:lang w:val="en-US" w:eastAsia="zh-CN"/>
        </w:rPr>
      </w:pPr>
      <w:r>
        <w:rPr>
          <w:rFonts w:hint="eastAsia" w:ascii="Times New Roman" w:hAnsi="Times New Roman" w:eastAsia="方正仿宋_GBK" w:cs="Times New Roman"/>
          <w:color w:val="auto"/>
          <w:kern w:val="2"/>
          <w:sz w:val="32"/>
          <w:szCs w:val="32"/>
          <w:highlight w:val="none"/>
          <w:u w:val="none"/>
          <w:lang w:val="en-US" w:eastAsia="zh-CN"/>
        </w:rPr>
        <w:t>（四）</w:t>
      </w:r>
      <w:r>
        <w:rPr>
          <w:rFonts w:hint="eastAsia" w:eastAsia="方正仿宋_GBK" w:cs="Times New Roman"/>
          <w:b w:val="0"/>
          <w:bCs w:val="0"/>
          <w:color w:val="auto"/>
          <w:kern w:val="2"/>
          <w:sz w:val="32"/>
          <w:szCs w:val="32"/>
          <w:highlight w:val="none"/>
          <w:u w:val="none"/>
          <w:lang w:val="en-US" w:eastAsia="zh-CN"/>
        </w:rPr>
        <w:t>报</w:t>
      </w:r>
      <w:r>
        <w:rPr>
          <w:rFonts w:hint="eastAsia" w:ascii="Times New Roman" w:hAnsi="Times New Roman" w:eastAsia="方正仿宋_GBK" w:cs="Times New Roman"/>
          <w:color w:val="auto"/>
          <w:kern w:val="2"/>
          <w:sz w:val="32"/>
          <w:szCs w:val="32"/>
          <w:highlight w:val="none"/>
          <w:u w:val="none"/>
          <w:lang w:val="en-US" w:eastAsia="zh-CN"/>
        </w:rPr>
        <w:t>县委县政府审定后，由县委组织部、县财政局、县人力社保局、县招商引资服务中心会同有关单位</w:t>
      </w:r>
      <w:r>
        <w:rPr>
          <w:rFonts w:hint="eastAsia" w:ascii="Times New Roman" w:hAnsi="Times New Roman" w:eastAsia="方正仿宋_GBK" w:cs="Times New Roman"/>
          <w:strike w:val="0"/>
          <w:dstrike w:val="0"/>
          <w:color w:val="auto"/>
          <w:kern w:val="2"/>
          <w:sz w:val="32"/>
          <w:szCs w:val="32"/>
          <w:highlight w:val="none"/>
          <w:u w:val="none"/>
          <w:lang w:val="en-US" w:eastAsia="zh-CN"/>
        </w:rPr>
        <w:t>及时兑现激励。</w:t>
      </w:r>
    </w:p>
    <w:p w14:paraId="47F408B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center"/>
        <w:textAlignment w:val="auto"/>
        <w:rPr>
          <w:rFonts w:hint="eastAsia" w:ascii="Times New Roman" w:hAnsi="Times New Roman" w:eastAsia="方正黑体_GBK" w:cs="Times New Roman"/>
          <w:color w:val="auto"/>
          <w:sz w:val="32"/>
          <w:szCs w:val="32"/>
          <w:highlight w:val="none"/>
          <w:u w:val="none"/>
          <w:lang w:val="en-US" w:eastAsia="zh-CN"/>
        </w:rPr>
      </w:pPr>
    </w:p>
    <w:p w14:paraId="6D18889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center"/>
        <w:textAlignment w:val="auto"/>
        <w:rPr>
          <w:rFonts w:hint="eastAsia" w:ascii="Times New Roman" w:hAnsi="Times New Roman" w:eastAsia="方正黑体_GBK" w:cs="Times New Roman"/>
          <w:color w:val="auto"/>
          <w:sz w:val="32"/>
          <w:szCs w:val="32"/>
          <w:highlight w:val="none"/>
          <w:u w:val="none"/>
          <w:lang w:val="en-US" w:eastAsia="zh-CN"/>
        </w:rPr>
      </w:pPr>
      <w:r>
        <w:rPr>
          <w:rFonts w:hint="eastAsia" w:ascii="Times New Roman" w:hAnsi="Times New Roman" w:eastAsia="方正黑体_GBK" w:cs="Times New Roman"/>
          <w:color w:val="auto"/>
          <w:sz w:val="32"/>
          <w:szCs w:val="32"/>
          <w:highlight w:val="none"/>
          <w:u w:val="none"/>
          <w:lang w:val="en-US" w:eastAsia="zh-CN"/>
        </w:rPr>
        <w:t>第四章  监督管理</w:t>
      </w:r>
    </w:p>
    <w:p w14:paraId="07E7457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Times New Roman"/>
          <w:color w:val="auto"/>
          <w:sz w:val="32"/>
          <w:szCs w:val="32"/>
          <w:highlight w:val="none"/>
          <w:lang w:eastAsia="zh-CN"/>
        </w:rPr>
      </w:pPr>
      <w:r>
        <w:rPr>
          <w:rFonts w:hint="eastAsia" w:ascii="方正黑体_GBK" w:hAnsi="方正黑体_GBK" w:eastAsia="方正黑体_GBK" w:cs="Times New Roman"/>
          <w:color w:val="auto"/>
          <w:sz w:val="32"/>
          <w:szCs w:val="32"/>
          <w:u w:val="none"/>
          <w:lang w:eastAsia="zh-CN"/>
        </w:rPr>
        <w:t>第八条</w:t>
      </w:r>
      <w:r>
        <w:rPr>
          <w:rFonts w:hint="eastAsia" w:ascii="Times New Roman" w:hAnsi="Times New Roman" w:eastAsia="方正仿宋_GBK" w:cs="Times New Roman"/>
          <w:color w:val="auto"/>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lang w:eastAsia="zh-CN"/>
        </w:rPr>
        <w:t>本办法中所</w:t>
      </w:r>
      <w:r>
        <w:rPr>
          <w:rFonts w:hint="eastAsia" w:ascii="Times New Roman" w:hAnsi="Times New Roman" w:eastAsia="方正仿宋_GBK" w:cs="Times New Roman"/>
          <w:color w:val="auto"/>
          <w:sz w:val="32"/>
          <w:szCs w:val="32"/>
          <w:highlight w:val="none"/>
          <w:lang w:val="en-US" w:eastAsia="zh-CN"/>
        </w:rPr>
        <w:t>称</w:t>
      </w:r>
      <w:r>
        <w:rPr>
          <w:rFonts w:hint="eastAsia" w:ascii="Times New Roman" w:hAnsi="Times New Roman" w:eastAsia="方正仿宋_GBK" w:cs="Times New Roman"/>
          <w:color w:val="auto"/>
          <w:sz w:val="32"/>
          <w:szCs w:val="32"/>
          <w:highlight w:val="none"/>
          <w:lang w:eastAsia="zh-CN"/>
        </w:rPr>
        <w:t>“招商引资”，是指从</w:t>
      </w:r>
      <w:r>
        <w:rPr>
          <w:rFonts w:hint="eastAsia" w:ascii="Times New Roman" w:hAnsi="Times New Roman" w:eastAsia="方正仿宋_GBK" w:cs="Times New Roman"/>
          <w:color w:val="auto"/>
          <w:sz w:val="32"/>
          <w:szCs w:val="32"/>
          <w:highlight w:val="none"/>
          <w:lang w:val="en-US" w:eastAsia="zh-CN"/>
        </w:rPr>
        <w:t>县</w:t>
      </w:r>
      <w:r>
        <w:rPr>
          <w:rFonts w:hint="eastAsia" w:ascii="Times New Roman" w:hAnsi="Times New Roman" w:eastAsia="方正仿宋_GBK" w:cs="Times New Roman"/>
          <w:color w:val="auto"/>
          <w:sz w:val="32"/>
          <w:szCs w:val="32"/>
          <w:highlight w:val="none"/>
          <w:lang w:eastAsia="zh-CN"/>
        </w:rPr>
        <w:t>外、国（境）外引进的法人资本、民间资本等资金，不包括国家政策性贷款、政府直接投资和其他财政性资金；国（境）外投资项目到位注册资本金，按照资金到位当日汇率折算等值人民币计算奖励。</w:t>
      </w:r>
    </w:p>
    <w:p w14:paraId="67CC18C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eastAsia" w:ascii="方正黑体_GBK" w:hAnsi="方正黑体_GBK" w:eastAsia="方正黑体_GBK" w:cs="Times New Roman"/>
          <w:color w:val="auto"/>
          <w:sz w:val="32"/>
          <w:szCs w:val="32"/>
          <w:u w:val="none"/>
          <w:lang w:eastAsia="zh-CN"/>
        </w:rPr>
        <w:t>第九条</w:t>
      </w:r>
      <w:r>
        <w:rPr>
          <w:rFonts w:hint="eastAsia" w:ascii="Times New Roman" w:hAnsi="Times New Roman" w:eastAsia="方正仿宋_GBK" w:cs="Times New Roman"/>
          <w:color w:val="auto"/>
          <w:sz w:val="32"/>
          <w:szCs w:val="32"/>
          <w:highlight w:val="none"/>
          <w:lang w:val="en-US" w:eastAsia="zh-CN"/>
        </w:rPr>
        <w:t xml:space="preserve"> </w:t>
      </w:r>
      <w:r>
        <w:rPr>
          <w:rFonts w:hint="eastAsia" w:ascii="Times New Roman" w:hAnsi="Times New Roman" w:eastAsia="方正仿宋_GBK" w:cs="Times New Roman"/>
          <w:strike w:val="0"/>
          <w:dstrike w:val="0"/>
          <w:color w:val="auto"/>
          <w:sz w:val="32"/>
          <w:szCs w:val="32"/>
          <w:highlight w:val="none"/>
          <w:u w:val="none"/>
          <w:lang w:val="en-US" w:eastAsia="zh-CN"/>
        </w:rPr>
        <w:t xml:space="preserve"> </w:t>
      </w:r>
      <w:r>
        <w:rPr>
          <w:rFonts w:hint="eastAsia" w:eastAsia="方正仿宋_GBK" w:cs="Times New Roman"/>
          <w:color w:val="auto"/>
          <w:sz w:val="32"/>
          <w:szCs w:val="32"/>
          <w:highlight w:val="none"/>
          <w:u w:val="none"/>
          <w:lang w:eastAsia="zh-CN"/>
        </w:rPr>
        <w:t>本办法中所称“到位资金”是以固定资产投资为准，</w:t>
      </w:r>
      <w:r>
        <w:rPr>
          <w:rFonts w:hint="eastAsia" w:ascii="Times New Roman" w:hAnsi="Times New Roman" w:eastAsia="方正仿宋_GBK" w:cs="Times New Roman"/>
          <w:color w:val="auto"/>
          <w:sz w:val="32"/>
          <w:szCs w:val="32"/>
          <w:highlight w:val="none"/>
          <w:u w:val="none"/>
          <w:lang w:eastAsia="zh-CN"/>
        </w:rPr>
        <w:t>固定资产投资为项目在土地、设备、地上构建物、基础设施等方面的投资，以会计师事务所出具的审计报告为准。</w:t>
      </w:r>
    </w:p>
    <w:p w14:paraId="0B95E33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Times New Roman"/>
          <w:color w:val="auto"/>
          <w:sz w:val="32"/>
          <w:szCs w:val="32"/>
          <w:lang w:eastAsia="zh-CN"/>
        </w:rPr>
      </w:pPr>
      <w:r>
        <w:rPr>
          <w:rFonts w:hint="eastAsia" w:ascii="方正黑体_GBK" w:hAnsi="方正黑体_GBK" w:eastAsia="方正黑体_GBK" w:cs="Times New Roman"/>
          <w:color w:val="auto"/>
          <w:sz w:val="32"/>
          <w:szCs w:val="32"/>
          <w:u w:val="none"/>
          <w:lang w:eastAsia="zh-CN"/>
        </w:rPr>
        <w:t>第十条</w:t>
      </w:r>
      <w:r>
        <w:rPr>
          <w:rFonts w:hint="eastAsia"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eastAsia="zh-CN"/>
        </w:rPr>
        <w:t>本办法第</w:t>
      </w:r>
      <w:r>
        <w:rPr>
          <w:rFonts w:hint="eastAsia" w:ascii="Times New Roman" w:hAnsi="Times New Roman" w:eastAsia="方正仿宋_GBK" w:cs="Times New Roman"/>
          <w:color w:val="auto"/>
          <w:sz w:val="32"/>
          <w:szCs w:val="32"/>
          <w:lang w:val="en-US" w:eastAsia="zh-CN"/>
        </w:rPr>
        <w:t>五</w:t>
      </w:r>
      <w:r>
        <w:rPr>
          <w:rFonts w:hint="eastAsia" w:ascii="Times New Roman" w:hAnsi="Times New Roman" w:eastAsia="方正仿宋_GBK" w:cs="Times New Roman"/>
          <w:color w:val="auto"/>
          <w:sz w:val="32"/>
          <w:szCs w:val="32"/>
          <w:lang w:eastAsia="zh-CN"/>
        </w:rPr>
        <w:t>条</w:t>
      </w:r>
      <w:r>
        <w:rPr>
          <w:rFonts w:hint="eastAsia" w:ascii="Times New Roman" w:hAnsi="Times New Roman" w:eastAsia="方正仿宋_GBK" w:cs="Times New Roman"/>
          <w:color w:val="auto"/>
          <w:sz w:val="32"/>
          <w:szCs w:val="32"/>
          <w:lang w:val="en-US" w:eastAsia="zh-CN"/>
        </w:rPr>
        <w:t>第一款</w:t>
      </w:r>
      <w:r>
        <w:rPr>
          <w:rFonts w:hint="eastAsia" w:ascii="Times New Roman" w:hAnsi="Times New Roman" w:eastAsia="方正仿宋_GBK" w:cs="Times New Roman"/>
          <w:color w:val="auto"/>
          <w:sz w:val="32"/>
          <w:szCs w:val="32"/>
          <w:lang w:eastAsia="zh-CN"/>
        </w:rPr>
        <w:t>所奖励的</w:t>
      </w:r>
      <w:r>
        <w:rPr>
          <w:rFonts w:hint="eastAsia" w:ascii="Times New Roman" w:hAnsi="Times New Roman" w:eastAsia="方正仿宋_GBK" w:cs="Times New Roman"/>
          <w:color w:val="auto"/>
          <w:sz w:val="32"/>
          <w:szCs w:val="32"/>
          <w:lang w:val="en-US" w:eastAsia="zh-CN"/>
        </w:rPr>
        <w:t>工作经费</w:t>
      </w:r>
      <w:r>
        <w:rPr>
          <w:rFonts w:hint="eastAsia" w:ascii="Times New Roman" w:hAnsi="Times New Roman" w:eastAsia="方正仿宋_GBK" w:cs="Times New Roman"/>
          <w:color w:val="auto"/>
          <w:sz w:val="32"/>
          <w:szCs w:val="32"/>
          <w:lang w:eastAsia="zh-CN"/>
        </w:rPr>
        <w:t>，依照资金、财务管理规定依法使用。</w:t>
      </w:r>
    </w:p>
    <w:p w14:paraId="67F854E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Times New Roman"/>
          <w:color w:val="auto"/>
          <w:sz w:val="32"/>
          <w:szCs w:val="32"/>
          <w:lang w:eastAsia="zh-CN"/>
        </w:rPr>
      </w:pPr>
      <w:r>
        <w:rPr>
          <w:rFonts w:hint="eastAsia" w:ascii="方正黑体_GBK" w:hAnsi="方正黑体_GBK" w:eastAsia="方正黑体_GBK" w:cs="Times New Roman"/>
          <w:color w:val="auto"/>
          <w:sz w:val="32"/>
          <w:szCs w:val="32"/>
          <w:u w:val="none"/>
          <w:lang w:eastAsia="zh-CN"/>
        </w:rPr>
        <w:t>第十一条</w:t>
      </w:r>
      <w:r>
        <w:rPr>
          <w:rFonts w:hint="eastAsia" w:ascii="Times New Roman" w:hAnsi="Times New Roman" w:eastAsia="方正仿宋_GBK" w:cs="Times New Roman"/>
          <w:color w:val="auto"/>
          <w:sz w:val="32"/>
          <w:szCs w:val="32"/>
          <w:lang w:val="en-US" w:eastAsia="zh-CN"/>
        </w:rPr>
        <w:t xml:space="preserve">  受激励企业和非公职人员</w:t>
      </w:r>
      <w:r>
        <w:rPr>
          <w:rFonts w:hint="eastAsia" w:ascii="Times New Roman" w:hAnsi="Times New Roman" w:eastAsia="方正仿宋_GBK" w:cs="Times New Roman"/>
          <w:color w:val="auto"/>
          <w:sz w:val="32"/>
          <w:szCs w:val="32"/>
          <w:lang w:eastAsia="zh-CN"/>
        </w:rPr>
        <w:t>所获奖励应按照国家有关法律规定缴纳所得税。</w:t>
      </w:r>
    </w:p>
    <w:p w14:paraId="5CB88A9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Times New Roman"/>
          <w:color w:val="auto"/>
          <w:sz w:val="32"/>
          <w:szCs w:val="32"/>
          <w:lang w:eastAsia="zh-CN"/>
        </w:rPr>
      </w:pPr>
      <w:r>
        <w:rPr>
          <w:rFonts w:hint="eastAsia" w:ascii="方正黑体_GBK" w:hAnsi="方正黑体_GBK" w:eastAsia="方正黑体_GBK" w:cs="Times New Roman"/>
          <w:color w:val="auto"/>
          <w:sz w:val="32"/>
          <w:szCs w:val="32"/>
          <w:u w:val="none"/>
          <w:lang w:eastAsia="zh-CN"/>
        </w:rPr>
        <w:t>第十二条</w:t>
      </w:r>
      <w:r>
        <w:rPr>
          <w:rFonts w:hint="eastAsia" w:ascii="Times New Roman" w:hAnsi="Times New Roman" w:eastAsia="方正仿宋_GBK" w:cs="Times New Roman"/>
          <w:color w:val="auto"/>
          <w:sz w:val="32"/>
          <w:szCs w:val="32"/>
          <w:lang w:val="en-US" w:eastAsia="zh-CN"/>
        </w:rPr>
        <w:t xml:space="preserve">  加强招商引资工作成效激励全过程监督，对因市场波动等不可抗力因素导致激励认定后项目成效出现异常的，不予追究责任；</w:t>
      </w:r>
      <w:r>
        <w:rPr>
          <w:rFonts w:hint="eastAsia" w:ascii="Times New Roman" w:hAnsi="Times New Roman" w:eastAsia="方正仿宋_GBK" w:cs="Times New Roman"/>
          <w:color w:val="auto"/>
          <w:sz w:val="32"/>
          <w:szCs w:val="32"/>
          <w:lang w:eastAsia="zh-CN"/>
        </w:rPr>
        <w:t>对弄虚作假、骗取套取奖励的，追回全部奖励，并追究相关单位和个人的责任；对涉及公职人员违纪违法问题线索的，移送纪检监察机关处理。</w:t>
      </w:r>
    </w:p>
    <w:p w14:paraId="3B491CE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center"/>
        <w:textAlignment w:val="auto"/>
        <w:rPr>
          <w:rFonts w:hint="eastAsia" w:ascii="Times New Roman" w:hAnsi="Times New Roman" w:eastAsia="方正仿宋_GB2312" w:cs="Times New Roman"/>
          <w:color w:val="auto"/>
          <w:sz w:val="32"/>
          <w:szCs w:val="32"/>
          <w:u w:val="none"/>
          <w:lang w:val="en-US" w:eastAsia="zh-CN"/>
        </w:rPr>
      </w:pPr>
    </w:p>
    <w:p w14:paraId="58D14AD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center"/>
        <w:textAlignment w:val="auto"/>
        <w:rPr>
          <w:rFonts w:hint="eastAsia" w:ascii="Times New Roman" w:hAnsi="Times New Roman" w:eastAsia="方正黑体_GBK" w:cs="Times New Roman"/>
          <w:color w:val="auto"/>
          <w:sz w:val="32"/>
          <w:szCs w:val="32"/>
          <w:u w:val="none"/>
          <w:lang w:val="en-US" w:eastAsia="zh-CN"/>
        </w:rPr>
      </w:pPr>
      <w:r>
        <w:rPr>
          <w:rFonts w:hint="eastAsia" w:ascii="Times New Roman" w:hAnsi="Times New Roman" w:eastAsia="方正黑体_GBK" w:cs="Times New Roman"/>
          <w:color w:val="auto"/>
          <w:sz w:val="32"/>
          <w:szCs w:val="32"/>
          <w:u w:val="none"/>
          <w:lang w:val="en-US" w:eastAsia="zh-CN"/>
        </w:rPr>
        <w:t>第五章  附则</w:t>
      </w:r>
    </w:p>
    <w:p w14:paraId="7E97FB9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方正黑体_GBK" w:hAnsi="方正黑体_GBK" w:eastAsia="方正黑体_GBK" w:cs="Times New Roman"/>
          <w:color w:val="auto"/>
          <w:sz w:val="32"/>
          <w:szCs w:val="32"/>
          <w:u w:val="none"/>
          <w:lang w:eastAsia="zh-CN"/>
        </w:rPr>
        <w:t>第十三条</w:t>
      </w:r>
      <w:r>
        <w:rPr>
          <w:rFonts w:hint="eastAsia" w:ascii="Times New Roman" w:hAnsi="Times New Roman" w:eastAsia="方正仿宋_GBK" w:cs="Times New Roman"/>
          <w:color w:val="auto"/>
          <w:sz w:val="32"/>
          <w:szCs w:val="32"/>
          <w:lang w:val="en-US" w:eastAsia="zh-CN"/>
        </w:rPr>
        <w:t xml:space="preserve">  本办法中所称“世界500强企业”，是指以招引项目正式开工当年为时间截点，美国《</w:t>
      </w:r>
      <w:r>
        <w:rPr>
          <w:rFonts w:hint="eastAsia" w:ascii="Times New Roman" w:hAnsi="Times New Roman" w:eastAsia="方正仿宋_GBK" w:cs="Times New Roman"/>
          <w:color w:val="auto"/>
          <w:sz w:val="32"/>
          <w:szCs w:val="32"/>
          <w:lang w:val="en-US" w:eastAsia="zh-CN"/>
        </w:rPr>
        <w:fldChar w:fldCharType="begin"/>
      </w:r>
      <w:r>
        <w:rPr>
          <w:rFonts w:hint="eastAsia" w:ascii="Times New Roman" w:hAnsi="Times New Roman" w:eastAsia="方正仿宋_GBK" w:cs="Times New Roman"/>
          <w:color w:val="auto"/>
          <w:sz w:val="32"/>
          <w:szCs w:val="32"/>
          <w:lang w:val="en-US" w:eastAsia="zh-CN"/>
        </w:rPr>
        <w:instrText xml:space="preserve"> HYPERLINK "https://baike.baidu.com/item/%E8%B4%A2%E5%AF%8C/1944587?fromModule=lemma_inlink" \t "https://baike.baidu.com/item/%E4%B8%96%E7%95%8C%E4%BC%81%E4%B8%9A500%E5%BC%BA/_blank" </w:instrText>
      </w:r>
      <w:r>
        <w:rPr>
          <w:rFonts w:hint="eastAsia" w:ascii="Times New Roman" w:hAnsi="Times New Roman" w:eastAsia="方正仿宋_GBK" w:cs="Times New Roman"/>
          <w:color w:val="auto"/>
          <w:sz w:val="32"/>
          <w:szCs w:val="32"/>
          <w:lang w:val="en-US" w:eastAsia="zh-CN"/>
        </w:rPr>
        <w:fldChar w:fldCharType="separate"/>
      </w:r>
      <w:r>
        <w:rPr>
          <w:rFonts w:hint="eastAsia" w:ascii="Times New Roman" w:hAnsi="Times New Roman" w:eastAsia="方正仿宋_GBK" w:cs="Times New Roman"/>
          <w:color w:val="auto"/>
          <w:sz w:val="32"/>
          <w:szCs w:val="32"/>
          <w:lang w:val="en-US" w:eastAsia="zh-CN"/>
        </w:rPr>
        <w:t>财富</w:t>
      </w:r>
      <w:r>
        <w:rPr>
          <w:rFonts w:hint="eastAsia" w:ascii="Times New Roman" w:hAnsi="Times New Roman" w:eastAsia="方正仿宋_GBK" w:cs="Times New Roman"/>
          <w:color w:val="auto"/>
          <w:sz w:val="32"/>
          <w:szCs w:val="32"/>
          <w:lang w:val="en-US" w:eastAsia="zh-CN"/>
        </w:rPr>
        <w:fldChar w:fldCharType="end"/>
      </w:r>
      <w:r>
        <w:rPr>
          <w:rFonts w:hint="eastAsia" w:ascii="Times New Roman" w:hAnsi="Times New Roman" w:eastAsia="方正仿宋_GBK" w:cs="Times New Roman"/>
          <w:color w:val="auto"/>
          <w:sz w:val="32"/>
          <w:szCs w:val="32"/>
          <w:lang w:val="en-US" w:eastAsia="zh-CN"/>
        </w:rPr>
        <w:t>》杂志最新发布的世界500强企业排行榜为准。</w:t>
      </w:r>
    </w:p>
    <w:p w14:paraId="426DA81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方正黑体_GBK" w:hAnsi="方正黑体_GBK" w:eastAsia="方正黑体_GBK" w:cs="Times New Roman"/>
          <w:color w:val="auto"/>
          <w:sz w:val="32"/>
          <w:szCs w:val="32"/>
          <w:u w:val="none"/>
          <w:lang w:eastAsia="zh-CN"/>
        </w:rPr>
        <w:t>第十四条</w:t>
      </w:r>
      <w:r>
        <w:rPr>
          <w:rFonts w:hint="eastAsia" w:ascii="Times New Roman" w:hAnsi="Times New Roman" w:eastAsia="方正仿宋_GBK" w:cs="Times New Roman"/>
          <w:color w:val="auto"/>
          <w:sz w:val="32"/>
          <w:szCs w:val="32"/>
          <w:lang w:val="en-US" w:eastAsia="zh-CN"/>
        </w:rPr>
        <w:t xml:space="preserve">  本办法中所称“九团两处”，是指县经济信息委招商团、工业园区管委会招商团、县发展改革委招商团、县交通运输委招商团、县卫生健康委招商团、县农业农村委招商团、县文化旅游委招商团、县大数据发展局招商团、县商务委招商团九个招商团队和县招商引资服务中心驻长三角、珠三角两个招商办事处。</w:t>
      </w:r>
    </w:p>
    <w:p w14:paraId="4773D52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Times New Roman"/>
          <w:color w:val="auto"/>
          <w:sz w:val="32"/>
          <w:szCs w:val="32"/>
          <w:lang w:eastAsia="zh-CN"/>
        </w:rPr>
      </w:pPr>
      <w:r>
        <w:rPr>
          <w:rFonts w:hint="eastAsia" w:ascii="方正黑体_GBK" w:hAnsi="方正黑体_GBK" w:eastAsia="方正黑体_GBK" w:cs="Times New Roman"/>
          <w:color w:val="auto"/>
          <w:sz w:val="32"/>
          <w:szCs w:val="32"/>
          <w:u w:val="none"/>
          <w:lang w:eastAsia="zh-CN"/>
        </w:rPr>
        <w:t>第十五条</w:t>
      </w:r>
      <w:r>
        <w:rPr>
          <w:rFonts w:hint="eastAsia" w:ascii="方正黑体_GBK" w:hAnsi="方正黑体_GBK" w:eastAsia="方正黑体_GBK" w:cs="Times New Roman"/>
          <w:color w:val="auto"/>
          <w:sz w:val="32"/>
          <w:szCs w:val="32"/>
          <w:u w:val="none"/>
          <w:lang w:val="en-US" w:eastAsia="zh-CN"/>
        </w:rPr>
        <w:t xml:space="preserve"> </w:t>
      </w:r>
      <w:r>
        <w:rPr>
          <w:rFonts w:hint="eastAsia" w:ascii="Times New Roman" w:hAnsi="Times New Roman" w:eastAsia="方正仿宋_GBK" w:cs="Times New Roman"/>
          <w:color w:val="auto"/>
          <w:sz w:val="32"/>
          <w:szCs w:val="32"/>
          <w:lang w:val="en-US" w:eastAsia="zh-CN"/>
        </w:rPr>
        <w:t xml:space="preserve"> 认定</w:t>
      </w:r>
      <w:r>
        <w:rPr>
          <w:rFonts w:hint="eastAsia" w:ascii="Times New Roman" w:hAnsi="Times New Roman" w:eastAsia="方正仿宋_GBK" w:cs="Times New Roman"/>
          <w:color w:val="auto"/>
          <w:sz w:val="32"/>
          <w:szCs w:val="32"/>
          <w:lang w:eastAsia="zh-CN"/>
        </w:rPr>
        <w:t>资源开发、房地产、总部经济、大文旅、大数据、</w:t>
      </w:r>
      <w:r>
        <w:rPr>
          <w:rFonts w:hint="eastAsia" w:ascii="Times New Roman" w:hAnsi="Times New Roman" w:eastAsia="方正仿宋_GBK" w:cs="Times New Roman"/>
          <w:color w:val="auto"/>
          <w:sz w:val="32"/>
          <w:szCs w:val="32"/>
          <w:lang w:val="en-US" w:eastAsia="zh-CN"/>
        </w:rPr>
        <w:t>大商贸</w:t>
      </w:r>
      <w:r>
        <w:rPr>
          <w:rFonts w:hint="eastAsia" w:ascii="Times New Roman" w:hAnsi="Times New Roman" w:eastAsia="方正仿宋_GBK" w:cs="Times New Roman"/>
          <w:color w:val="auto"/>
          <w:sz w:val="32"/>
          <w:szCs w:val="32"/>
          <w:lang w:eastAsia="zh-CN"/>
        </w:rPr>
        <w:t>以及其他新业态产业</w:t>
      </w:r>
      <w:r>
        <w:rPr>
          <w:rFonts w:hint="eastAsia" w:ascii="Times New Roman" w:hAnsi="Times New Roman" w:eastAsia="方正仿宋_GBK" w:cs="Times New Roman"/>
          <w:color w:val="auto"/>
          <w:sz w:val="32"/>
          <w:szCs w:val="32"/>
          <w:lang w:val="en-US" w:eastAsia="zh-CN"/>
        </w:rPr>
        <w:t>或技改扩能项目重大招商贡献，报县人民政府</w:t>
      </w:r>
      <w:r>
        <w:rPr>
          <w:rFonts w:hint="eastAsia" w:ascii="Times New Roman" w:hAnsi="Times New Roman" w:eastAsia="方正仿宋_GBK" w:cs="Times New Roman"/>
          <w:color w:val="auto"/>
          <w:sz w:val="32"/>
          <w:szCs w:val="32"/>
          <w:lang w:eastAsia="zh-CN"/>
        </w:rPr>
        <w:t>实行“一事一议”。</w:t>
      </w:r>
    </w:p>
    <w:p w14:paraId="34BE94C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Times New Roman"/>
          <w:color w:val="auto"/>
          <w:sz w:val="32"/>
          <w:szCs w:val="32"/>
          <w:lang w:eastAsia="zh-CN"/>
        </w:rPr>
      </w:pPr>
      <w:r>
        <w:rPr>
          <w:rFonts w:hint="eastAsia" w:ascii="方正黑体_GBK" w:hAnsi="方正黑体_GBK" w:eastAsia="方正黑体_GBK" w:cs="Times New Roman"/>
          <w:color w:val="auto"/>
          <w:sz w:val="32"/>
          <w:szCs w:val="32"/>
          <w:u w:val="none"/>
          <w:lang w:val="en-US" w:eastAsia="zh-CN"/>
        </w:rPr>
        <w:t>第十六条</w:t>
      </w:r>
      <w:r>
        <w:rPr>
          <w:rFonts w:hint="eastAsia" w:ascii="Times New Roman" w:hAnsi="Times New Roman" w:eastAsia="方正仿宋_GBK" w:cs="Times New Roman"/>
          <w:color w:val="auto"/>
          <w:kern w:val="2"/>
          <w:sz w:val="32"/>
          <w:szCs w:val="32"/>
          <w:lang w:val="en-US" w:eastAsia="zh-CN"/>
        </w:rPr>
        <w:t xml:space="preserve">  单个招引项目激励对象最多只认定1名公职人员、1名非公职人员。公职人员须符合激励政策基本条件；</w:t>
      </w:r>
      <w:r>
        <w:rPr>
          <w:rFonts w:hint="eastAsia" w:ascii="Times New Roman" w:hAnsi="Times New Roman" w:eastAsia="方正仿宋_GBK" w:cs="Times New Roman"/>
          <w:color w:val="auto"/>
          <w:sz w:val="32"/>
          <w:szCs w:val="32"/>
          <w:lang w:val="en-US" w:eastAsia="zh-CN"/>
        </w:rPr>
        <w:t>非公职人员（包括招商专员、招商顾问、在云民营企业家）须无违法违纪行为，未被纳入失信人员名单。</w:t>
      </w:r>
    </w:p>
    <w:p w14:paraId="4122EA4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Times New Roman"/>
          <w:color w:val="auto"/>
          <w:sz w:val="32"/>
          <w:szCs w:val="32"/>
          <w:highlight w:val="none"/>
          <w:lang w:eastAsia="zh-CN"/>
        </w:rPr>
      </w:pPr>
      <w:r>
        <w:rPr>
          <w:rFonts w:hint="eastAsia" w:ascii="方正黑体_GBK" w:hAnsi="方正黑体_GBK" w:eastAsia="方正黑体_GBK" w:cs="Times New Roman"/>
          <w:color w:val="auto"/>
          <w:sz w:val="32"/>
          <w:szCs w:val="32"/>
          <w:u w:val="none"/>
          <w:lang w:eastAsia="zh-CN"/>
        </w:rPr>
        <w:t>第十七条</w:t>
      </w:r>
      <w:r>
        <w:rPr>
          <w:rFonts w:hint="eastAsia"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eastAsia="zh-CN"/>
        </w:rPr>
        <w:t>本办法由</w:t>
      </w:r>
      <w:r>
        <w:rPr>
          <w:rFonts w:hint="eastAsia" w:eastAsia="方正仿宋_GBK" w:cs="Times New Roman"/>
          <w:color w:val="auto"/>
          <w:sz w:val="32"/>
          <w:szCs w:val="32"/>
          <w:highlight w:val="none"/>
          <w:lang w:eastAsia="zh-CN"/>
        </w:rPr>
        <w:t>县发展改革委、</w:t>
      </w:r>
      <w:r>
        <w:rPr>
          <w:rFonts w:hint="eastAsia" w:ascii="Times New Roman" w:hAnsi="Times New Roman" w:eastAsia="方正仿宋_GBK" w:cs="Times New Roman"/>
          <w:color w:val="auto"/>
          <w:sz w:val="32"/>
          <w:szCs w:val="32"/>
          <w:highlight w:val="none"/>
          <w:lang w:val="en-US" w:eastAsia="zh-CN"/>
        </w:rPr>
        <w:t>县</w:t>
      </w:r>
      <w:r>
        <w:rPr>
          <w:rFonts w:hint="eastAsia" w:ascii="Times New Roman" w:hAnsi="Times New Roman" w:eastAsia="方正仿宋_GBK" w:cs="Times New Roman"/>
          <w:color w:val="auto"/>
          <w:sz w:val="32"/>
          <w:szCs w:val="32"/>
          <w:highlight w:val="none"/>
          <w:lang w:eastAsia="zh-CN"/>
        </w:rPr>
        <w:t>招商引资</w:t>
      </w:r>
      <w:r>
        <w:rPr>
          <w:rFonts w:hint="eastAsia" w:ascii="Times New Roman" w:hAnsi="Times New Roman" w:eastAsia="方正仿宋_GBK" w:cs="Times New Roman"/>
          <w:color w:val="auto"/>
          <w:sz w:val="32"/>
          <w:szCs w:val="32"/>
          <w:highlight w:val="none"/>
          <w:lang w:val="en-US" w:eastAsia="zh-CN"/>
        </w:rPr>
        <w:t>服务中心</w:t>
      </w:r>
      <w:r>
        <w:rPr>
          <w:rFonts w:hint="eastAsia" w:ascii="Times New Roman" w:hAnsi="Times New Roman" w:eastAsia="方正仿宋_GBK" w:cs="Times New Roman"/>
          <w:color w:val="auto"/>
          <w:sz w:val="32"/>
          <w:szCs w:val="32"/>
          <w:highlight w:val="none"/>
          <w:lang w:eastAsia="zh-CN"/>
        </w:rPr>
        <w:t>负责解释，</w:t>
      </w:r>
      <w:r>
        <w:rPr>
          <w:rFonts w:hint="eastAsia" w:ascii="Times New Roman" w:hAnsi="Times New Roman" w:eastAsia="方正仿宋_GBK" w:cs="Times New Roman"/>
          <w:color w:val="auto"/>
          <w:sz w:val="32"/>
          <w:szCs w:val="32"/>
          <w:highlight w:val="none"/>
          <w:lang w:val="en-US" w:eastAsia="zh-CN"/>
        </w:rPr>
        <w:t>因政策调整等</w:t>
      </w:r>
      <w:r>
        <w:rPr>
          <w:rFonts w:hint="eastAsia" w:ascii="Times New Roman" w:hAnsi="Times New Roman" w:eastAsia="方正仿宋_GBK" w:cs="Times New Roman"/>
          <w:color w:val="auto"/>
          <w:sz w:val="32"/>
          <w:szCs w:val="32"/>
          <w:highlight w:val="none"/>
          <w:lang w:eastAsia="zh-CN"/>
        </w:rPr>
        <w:t>不可预见情形</w:t>
      </w:r>
      <w:r>
        <w:rPr>
          <w:rFonts w:hint="eastAsia" w:ascii="Times New Roman" w:hAnsi="Times New Roman" w:eastAsia="方正仿宋_GBK" w:cs="Times New Roman"/>
          <w:color w:val="auto"/>
          <w:sz w:val="32"/>
          <w:szCs w:val="32"/>
          <w:highlight w:val="none"/>
          <w:lang w:val="en-US" w:eastAsia="zh-CN"/>
        </w:rPr>
        <w:t>导致</w:t>
      </w:r>
      <w:r>
        <w:rPr>
          <w:rFonts w:hint="eastAsia" w:eastAsia="方正仿宋_GBK" w:cs="Times New Roman"/>
          <w:color w:val="auto"/>
          <w:sz w:val="32"/>
          <w:szCs w:val="32"/>
          <w:highlight w:val="none"/>
          <w:lang w:val="en-US" w:eastAsia="zh-CN"/>
        </w:rPr>
        <w:t>本</w:t>
      </w:r>
      <w:r>
        <w:rPr>
          <w:rFonts w:hint="eastAsia" w:ascii="Times New Roman" w:hAnsi="Times New Roman" w:eastAsia="方正仿宋_GBK" w:cs="Times New Roman"/>
          <w:color w:val="auto"/>
          <w:sz w:val="32"/>
          <w:szCs w:val="32"/>
          <w:highlight w:val="none"/>
          <w:lang w:val="en-US" w:eastAsia="zh-CN"/>
        </w:rPr>
        <w:t>办法无法继续实施</w:t>
      </w:r>
      <w:r>
        <w:rPr>
          <w:rFonts w:hint="eastAsia" w:eastAsia="方正仿宋_GBK" w:cs="Times New Roman"/>
          <w:color w:val="auto"/>
          <w:sz w:val="32"/>
          <w:szCs w:val="32"/>
          <w:highlight w:val="none"/>
          <w:lang w:val="en-US" w:eastAsia="zh-CN"/>
        </w:rPr>
        <w:t>的</w:t>
      </w:r>
      <w:r>
        <w:rPr>
          <w:rFonts w:hint="eastAsia"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eastAsia="zh-CN"/>
        </w:rPr>
        <w:t>根据国家有关规定</w:t>
      </w:r>
      <w:r>
        <w:rPr>
          <w:rFonts w:hint="eastAsia" w:ascii="Times New Roman" w:hAnsi="Times New Roman" w:eastAsia="方正仿宋_GBK" w:cs="Times New Roman"/>
          <w:color w:val="auto"/>
          <w:sz w:val="32"/>
          <w:szCs w:val="32"/>
          <w:highlight w:val="none"/>
          <w:lang w:val="en-US" w:eastAsia="zh-CN"/>
        </w:rPr>
        <w:t>适时</w:t>
      </w:r>
      <w:r>
        <w:rPr>
          <w:rFonts w:hint="eastAsia" w:ascii="Times New Roman" w:hAnsi="Times New Roman" w:eastAsia="方正仿宋_GBK" w:cs="Times New Roman"/>
          <w:color w:val="auto"/>
          <w:sz w:val="32"/>
          <w:szCs w:val="32"/>
          <w:highlight w:val="none"/>
          <w:lang w:eastAsia="zh-CN"/>
        </w:rPr>
        <w:t>修订。</w:t>
      </w:r>
    </w:p>
    <w:p w14:paraId="075299B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Times New Roman"/>
          <w:color w:val="auto"/>
          <w:sz w:val="32"/>
          <w:szCs w:val="32"/>
          <w:lang w:eastAsia="zh-CN"/>
        </w:rPr>
      </w:pPr>
      <w:r>
        <w:rPr>
          <w:rFonts w:hint="eastAsia" w:ascii="方正黑体_GBK" w:hAnsi="方正黑体_GBK" w:eastAsia="方正黑体_GBK" w:cs="Times New Roman"/>
          <w:color w:val="auto"/>
          <w:sz w:val="32"/>
          <w:szCs w:val="32"/>
          <w:u w:val="none"/>
          <w:lang w:eastAsia="zh-CN"/>
        </w:rPr>
        <w:t>第十八条</w:t>
      </w:r>
      <w:r>
        <w:rPr>
          <w:rFonts w:hint="eastAsia" w:ascii="Times New Roman" w:hAnsi="Times New Roman" w:eastAsia="方正仿宋_GBK" w:cs="Times New Roman"/>
          <w:color w:val="auto"/>
          <w:sz w:val="32"/>
          <w:szCs w:val="32"/>
          <w:highlight w:val="none"/>
          <w:lang w:val="en-US" w:eastAsia="zh-CN"/>
        </w:rPr>
        <w:t xml:space="preserve">  本办法自</w:t>
      </w:r>
      <w:r>
        <w:rPr>
          <w:rFonts w:hint="default" w:eastAsia="方正仿宋_GBK" w:cs="Times New Roman"/>
          <w:color w:val="auto"/>
          <w:sz w:val="32"/>
          <w:szCs w:val="32"/>
          <w:highlight w:val="none"/>
          <w:lang w:eastAsia="zh-CN"/>
        </w:rPr>
        <w:t>2025年</w:t>
      </w:r>
      <w:r>
        <w:rPr>
          <w:rFonts w:hint="eastAsia" w:eastAsia="方正仿宋_GBK" w:cs="Times New Roman"/>
          <w:color w:val="auto"/>
          <w:sz w:val="32"/>
          <w:szCs w:val="32"/>
          <w:highlight w:val="none"/>
          <w:lang w:val="en-US" w:eastAsia="zh-CN"/>
        </w:rPr>
        <w:t>7</w:t>
      </w:r>
      <w:r>
        <w:rPr>
          <w:rFonts w:hint="default" w:eastAsia="方正仿宋_GBK" w:cs="Times New Roman"/>
          <w:color w:val="auto"/>
          <w:sz w:val="32"/>
          <w:szCs w:val="32"/>
          <w:highlight w:val="none"/>
          <w:lang w:eastAsia="zh-CN"/>
        </w:rPr>
        <w:t>月</w:t>
      </w:r>
      <w:r>
        <w:rPr>
          <w:rFonts w:hint="eastAsia" w:eastAsia="方正仿宋_GBK" w:cs="Times New Roman"/>
          <w:color w:val="auto"/>
          <w:sz w:val="32"/>
          <w:szCs w:val="32"/>
          <w:highlight w:val="none"/>
          <w:lang w:val="en-US" w:eastAsia="zh-CN"/>
        </w:rPr>
        <w:t>12</w:t>
      </w:r>
      <w:r>
        <w:rPr>
          <w:rFonts w:hint="default" w:eastAsia="方正仿宋_GBK" w:cs="Times New Roman"/>
          <w:color w:val="auto"/>
          <w:sz w:val="32"/>
          <w:szCs w:val="32"/>
          <w:highlight w:val="none"/>
          <w:lang w:eastAsia="zh-CN"/>
        </w:rPr>
        <w:t>日起施行。</w:t>
      </w:r>
      <w:r>
        <w:rPr>
          <w:rFonts w:hint="eastAsia" w:ascii="Times New Roman" w:hAnsi="Times New Roman" w:eastAsia="方正仿宋_GBK" w:cs="Times New Roman"/>
          <w:color w:val="auto"/>
          <w:sz w:val="32"/>
          <w:szCs w:val="32"/>
          <w:highlight w:val="none"/>
          <w:lang w:val="en-US" w:eastAsia="zh-CN"/>
        </w:rPr>
        <w:t>《云阳县招商工作成效激励办法（试行）》（云阳发改办〔2025〕4号）</w:t>
      </w:r>
      <w:r>
        <w:rPr>
          <w:rFonts w:hint="default" w:eastAsia="方正仿宋_GBK" w:cs="Times New Roman"/>
          <w:color w:val="auto"/>
          <w:sz w:val="32"/>
          <w:szCs w:val="32"/>
          <w:highlight w:val="none"/>
          <w:lang w:eastAsia="zh-CN"/>
        </w:rPr>
        <w:t>同时废止。</w:t>
      </w:r>
    </w:p>
    <w:p w14:paraId="511F7CD1">
      <w:pPr>
        <w:spacing w:line="600" w:lineRule="exact"/>
        <w:ind w:firstLine="640" w:firstLineChars="200"/>
        <w:rPr>
          <w:rFonts w:hint="eastAsia" w:eastAsia="方正仿宋_GBK"/>
          <w:sz w:val="32"/>
        </w:rPr>
      </w:pPr>
    </w:p>
    <w:p w14:paraId="706A39FE">
      <w:pPr>
        <w:pStyle w:val="4"/>
        <w:rPr>
          <w:rFonts w:hint="eastAsia"/>
        </w:rPr>
      </w:pPr>
    </w:p>
    <w:p w14:paraId="6F035B24">
      <w:pPr>
        <w:rPr>
          <w:rFonts w:hint="eastAsia"/>
        </w:rPr>
      </w:pPr>
    </w:p>
    <w:p w14:paraId="3EAF93E3">
      <w:pPr>
        <w:pStyle w:val="4"/>
        <w:rPr>
          <w:rFonts w:hint="eastAsia"/>
        </w:rPr>
      </w:pPr>
    </w:p>
    <w:p w14:paraId="0F12EE83">
      <w:pPr>
        <w:rPr>
          <w:rFonts w:hint="eastAsia"/>
        </w:rPr>
      </w:pPr>
    </w:p>
    <w:p w14:paraId="4BC0127A">
      <w:pPr>
        <w:pStyle w:val="4"/>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方正小标宋_GBK">
    <w:panose1 w:val="02000000000000000000"/>
    <w:charset w:val="86"/>
    <w:family w:val="script"/>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92379">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3C8460">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303C8460">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v:textbox>
            </v:shape>
          </w:pict>
        </mc:Fallback>
      </mc:AlternateContent>
    </w:r>
  </w:p>
  <w:p w14:paraId="655D7A8E">
    <w:pPr>
      <w:pStyle w:val="7"/>
      <w:wordWrap w:val="0"/>
      <w:ind w:left="3786" w:leftChars="1803" w:firstLine="7398" w:firstLineChars="2312"/>
      <w:jc w:val="right"/>
      <w:rPr>
        <w:rFonts w:ascii="宋体" w:hAnsi="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rPr>
      <w:t>云</w:t>
    </w:r>
    <w:r>
      <w:rPr>
        <w:rFonts w:hint="eastAsia" w:ascii="宋体" w:hAnsi="宋体" w:eastAsia="宋体" w:cs="宋体"/>
        <w:b/>
        <w:bCs/>
        <w:color w:val="005192"/>
        <w:sz w:val="28"/>
        <w:szCs w:val="44"/>
        <w:lang w:eastAsia="zh-CN"/>
      </w:rPr>
      <w:t>云阳县发展和改革委员会</w:t>
    </w:r>
    <w:r>
      <w:rPr>
        <w:rFonts w:hint="eastAsia" w:ascii="宋体" w:hAnsi="宋体" w:eastAsia="宋体" w:cs="宋体"/>
        <w:b/>
        <w:bCs/>
        <w:color w:val="005192"/>
        <w:sz w:val="28"/>
        <w:szCs w:val="44"/>
      </w:rPr>
      <w:t>发布</w:t>
    </w:r>
    <w:r>
      <w:rPr>
        <w:rFonts w:ascii="宋体" w:hAnsi="宋体" w:eastAsia="宋体" w:cs="宋体"/>
        <w:b/>
        <w:bCs/>
        <w:color w:val="005192"/>
        <w:sz w:val="28"/>
        <w:szCs w:val="44"/>
      </w:rPr>
      <w:t xml:space="preserve"> </w:t>
    </w:r>
    <w:r>
      <w:rPr>
        <w:rFonts w:hint="eastAsia" w:ascii="宋体" w:hAnsi="宋体" w:cs="宋体"/>
        <w:b/>
        <w:bCs/>
        <w:color w:val="005192"/>
        <w:sz w:val="28"/>
        <w:szCs w:val="44"/>
      </w:rPr>
      <w:t xml:space="preserve">     </w:t>
    </w:r>
  </w:p>
  <w:p w14:paraId="35C92931">
    <w:pPr>
      <w:pStyle w:val="7"/>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FEDC9">
    <w:pPr>
      <w:pStyle w:val="7"/>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ClIsuz9wEAAMsDAAAOAAAAZHJzL2Uyb0RvYy54bWytU02O0zAU&#10;3iNxB8t7mjTTlhI1ncVUwwZBJeAArmMnlvwnP0/TXoILILGDFUv23IbhGDw7YRi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viD4QPEl8IZkoKGamUTfVaz4yuI2BdLf5ekZeuuldb5CrUlQ0Mr/BI0Q19K9AOG&#10;xiM3sB0lTHdoeB5DhgSnVZu2JyAI3eFKB3JkySblcv6iSqSx3V9lqfeOQT/W5dRoIKMivgmtDHIu&#10;0zft1jahi+zDiUEScpQuRQfXnrOiRZrhHeemkx+Tie7PMb7/Br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cR5KzUAAAACAEAAA8AAAAAAAAAAQAgAAAAIgAAAGRycy9kb3ducmV2LnhtbFBLAQIU&#10;ABQAAAAIAIdO4kClIsuz9wEAAMsDAAAOAAAAAAAAAAEAIAAAACMBAABkcnMvZTJvRG9jLnhtbFBL&#10;BQYAAAAABgAGAFkBAACMBQAAAAA=&#10;">
              <v:fill on="f" focussize="0,0"/>
              <v:stroke weight="1.75pt" color="#005192" miterlimit="8" joinstyle="miter"/>
              <v:imagedata o:title=""/>
              <o:lock v:ext="edit" aspectratio="f"/>
            </v:line>
          </w:pict>
        </mc:Fallback>
      </mc:AlternateContent>
    </w:r>
  </w:p>
  <w:p w14:paraId="618EA780">
    <w:pPr>
      <w:pStyle w:val="7"/>
      <w:textAlignment w:val="center"/>
      <w:rPr>
        <w:rFonts w:ascii="宋体" w:hAnsi="宋体" w:eastAsia="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eastAsia="zh-CN"/>
      </w:rPr>
      <w:t>云阳县发展和改革委员会</w:t>
    </w:r>
    <w:r>
      <w:rPr>
        <w:rFonts w:hint="eastAsia" w:ascii="宋体" w:hAnsi="宋体" w:eastAsia="宋体" w:cs="宋体"/>
        <w:b/>
        <w:bCs/>
        <w:color w:val="005192"/>
        <w:sz w:val="32"/>
        <w:szCs w:val="32"/>
      </w:rPr>
      <w:t>规范性文件</w:t>
    </w:r>
  </w:p>
  <w:p w14:paraId="09911463">
    <w:pPr>
      <w:pStyle w:val="7"/>
      <w:textAlignment w:val="center"/>
      <w:rPr>
        <w:rFonts w:ascii="宋体" w:hAnsi="宋体" w:cs="宋体"/>
        <w:b/>
        <w:bCs/>
        <w:color w:val="005192"/>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425" w:hanging="425"/>
      </w:pPr>
      <w:rPr>
        <w:rFonts w:hint="eastAsia" w:cs="Times New Roman"/>
      </w:rPr>
    </w:lvl>
    <w:lvl w:ilvl="1" w:tentative="0">
      <w:start w:val="1"/>
      <w:numFmt w:val="decimal"/>
      <w:lvlText w:val="%1.%2"/>
      <w:lvlJc w:val="left"/>
      <w:pPr>
        <w:ind w:left="992" w:hanging="567"/>
      </w:pPr>
      <w:rPr>
        <w:rFonts w:hint="eastAsia" w:cs="Times New Roman"/>
      </w:rPr>
    </w:lvl>
    <w:lvl w:ilvl="2" w:tentative="0">
      <w:start w:val="1"/>
      <w:numFmt w:val="decimal"/>
      <w:lvlText w:val="%1.%2.%3"/>
      <w:lvlJc w:val="left"/>
      <w:pPr>
        <w:ind w:left="1418" w:hanging="567"/>
      </w:pPr>
      <w:rPr>
        <w:rFonts w:hint="eastAsia" w:cs="Times New Roman"/>
      </w:rPr>
    </w:lvl>
    <w:lvl w:ilvl="3" w:tentative="0">
      <w:start w:val="1"/>
      <w:numFmt w:val="decimal"/>
      <w:lvlText w:val="%1.%2.%3.%4"/>
      <w:lvlJc w:val="left"/>
      <w:pPr>
        <w:ind w:left="850" w:hanging="708"/>
      </w:pPr>
      <w:rPr>
        <w:rFonts w:hint="eastAsia" w:cs="Times New Roman"/>
      </w:rPr>
    </w:lvl>
    <w:lvl w:ilvl="4" w:tentative="0">
      <w:start w:val="1"/>
      <w:numFmt w:val="decimal"/>
      <w:pStyle w:val="15"/>
      <w:lvlText w:val="%1.%2.%3.%4.%5"/>
      <w:lvlJc w:val="left"/>
      <w:pPr>
        <w:ind w:left="2551" w:hanging="850"/>
      </w:pPr>
      <w:rPr>
        <w:rFonts w:hint="eastAsia" w:cs="Times New Roman"/>
      </w:rPr>
    </w:lvl>
    <w:lvl w:ilvl="5" w:tentative="0">
      <w:start w:val="1"/>
      <w:numFmt w:val="decimal"/>
      <w:lvlText w:val="%1.%2.%3.%4.%5.%6"/>
      <w:lvlJc w:val="left"/>
      <w:pPr>
        <w:ind w:left="1134"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1">
    <w:nsid w:val="1D7EE66E"/>
    <w:multiLevelType w:val="singleLevel"/>
    <w:tmpl w:val="1D7EE66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5YmRmY2ZlZTI3ZWMxYTcyNzBkNzZjMzVmZDFkZjkifQ=="/>
  </w:docVars>
  <w:rsids>
    <w:rsidRoot w:val="00172A27"/>
    <w:rsid w:val="000314BC"/>
    <w:rsid w:val="00092A77"/>
    <w:rsid w:val="00103CC8"/>
    <w:rsid w:val="00172A27"/>
    <w:rsid w:val="00172DD7"/>
    <w:rsid w:val="003567DC"/>
    <w:rsid w:val="0039033F"/>
    <w:rsid w:val="004651D3"/>
    <w:rsid w:val="007510D1"/>
    <w:rsid w:val="00757F53"/>
    <w:rsid w:val="00827AE6"/>
    <w:rsid w:val="00AD6C55"/>
    <w:rsid w:val="00B42FCB"/>
    <w:rsid w:val="00B60C7E"/>
    <w:rsid w:val="00B868CC"/>
    <w:rsid w:val="00C4296A"/>
    <w:rsid w:val="00C8769B"/>
    <w:rsid w:val="00E005ED"/>
    <w:rsid w:val="019E71BD"/>
    <w:rsid w:val="041C42DA"/>
    <w:rsid w:val="04B679C3"/>
    <w:rsid w:val="051D4F46"/>
    <w:rsid w:val="053C7F53"/>
    <w:rsid w:val="05F07036"/>
    <w:rsid w:val="06E00104"/>
    <w:rsid w:val="070E2F25"/>
    <w:rsid w:val="08067255"/>
    <w:rsid w:val="080F63D8"/>
    <w:rsid w:val="084F18AF"/>
    <w:rsid w:val="09341458"/>
    <w:rsid w:val="098254C2"/>
    <w:rsid w:val="0A423776"/>
    <w:rsid w:val="0A766EDE"/>
    <w:rsid w:val="0AD64BE8"/>
    <w:rsid w:val="0B0912D7"/>
    <w:rsid w:val="0E025194"/>
    <w:rsid w:val="117A00FB"/>
    <w:rsid w:val="152D2DCA"/>
    <w:rsid w:val="187168EA"/>
    <w:rsid w:val="196673CA"/>
    <w:rsid w:val="1B2F4AEE"/>
    <w:rsid w:val="1CF734C9"/>
    <w:rsid w:val="1DEC284C"/>
    <w:rsid w:val="1E6523AC"/>
    <w:rsid w:val="22440422"/>
    <w:rsid w:val="22BB4BBB"/>
    <w:rsid w:val="2A460685"/>
    <w:rsid w:val="2AEB3417"/>
    <w:rsid w:val="31A15F24"/>
    <w:rsid w:val="324A1681"/>
    <w:rsid w:val="36FB1DF0"/>
    <w:rsid w:val="39356E93"/>
    <w:rsid w:val="395347B5"/>
    <w:rsid w:val="39A232A0"/>
    <w:rsid w:val="39E745AA"/>
    <w:rsid w:val="3B5A6BBB"/>
    <w:rsid w:val="3BBB59A8"/>
    <w:rsid w:val="3CCD65C5"/>
    <w:rsid w:val="3EDA13A6"/>
    <w:rsid w:val="40B91CD5"/>
    <w:rsid w:val="417B75E9"/>
    <w:rsid w:val="42F058B7"/>
    <w:rsid w:val="43284644"/>
    <w:rsid w:val="436109F6"/>
    <w:rsid w:val="441A38D4"/>
    <w:rsid w:val="44EC44AD"/>
    <w:rsid w:val="4504239D"/>
    <w:rsid w:val="4B5D6F06"/>
    <w:rsid w:val="4BC77339"/>
    <w:rsid w:val="4C9236C5"/>
    <w:rsid w:val="4E250A85"/>
    <w:rsid w:val="4F9163EF"/>
    <w:rsid w:val="4FFD4925"/>
    <w:rsid w:val="505C172E"/>
    <w:rsid w:val="506405EA"/>
    <w:rsid w:val="52F46F0B"/>
    <w:rsid w:val="532B6A10"/>
    <w:rsid w:val="53D8014D"/>
    <w:rsid w:val="55E064E0"/>
    <w:rsid w:val="572C6D10"/>
    <w:rsid w:val="582743D4"/>
    <w:rsid w:val="58BD1FF6"/>
    <w:rsid w:val="5DC34279"/>
    <w:rsid w:val="5FCD688E"/>
    <w:rsid w:val="5FF9BDAA"/>
    <w:rsid w:val="5FFE5333"/>
    <w:rsid w:val="608816D1"/>
    <w:rsid w:val="60EF4E7F"/>
    <w:rsid w:val="648B0A32"/>
    <w:rsid w:val="665233C1"/>
    <w:rsid w:val="69AC0D42"/>
    <w:rsid w:val="69F2331A"/>
    <w:rsid w:val="6AD9688B"/>
    <w:rsid w:val="6D0E3F22"/>
    <w:rsid w:val="703071AC"/>
    <w:rsid w:val="744E4660"/>
    <w:rsid w:val="753355A2"/>
    <w:rsid w:val="759F1C61"/>
    <w:rsid w:val="769F2DE8"/>
    <w:rsid w:val="76FDEB7C"/>
    <w:rsid w:val="79C65162"/>
    <w:rsid w:val="7B8A4C7B"/>
    <w:rsid w:val="7C9011D9"/>
    <w:rsid w:val="7DC651C5"/>
    <w:rsid w:val="7DF350ED"/>
    <w:rsid w:val="7F685904"/>
    <w:rsid w:val="7F9DA0E8"/>
    <w:rsid w:val="7FCC2834"/>
    <w:rsid w:val="7FF6A4EF"/>
    <w:rsid w:val="92DD1CEF"/>
    <w:rsid w:val="D9A7343A"/>
    <w:rsid w:val="F05B4F69"/>
    <w:rsid w:val="F97D9566"/>
    <w:rsid w:val="FDFF411C"/>
    <w:rsid w:val="FFC31ED2"/>
    <w:rsid w:val="FFFE5F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qFormat/>
    <w:uiPriority w:val="0"/>
    <w:pPr>
      <w:jc w:val="left"/>
    </w:pPr>
  </w:style>
  <w:style w:type="paragraph" w:styleId="4">
    <w:name w:val="Body Text"/>
    <w:basedOn w:val="1"/>
    <w:next w:val="1"/>
    <w:unhideWhenUsed/>
    <w:qFormat/>
    <w:uiPriority w:val="99"/>
    <w:pPr>
      <w:spacing w:after="120"/>
    </w:pPr>
    <w:rPr>
      <w:rFonts w:eastAsia="方正仿宋_GBK"/>
      <w:sz w:val="32"/>
      <w:szCs w:val="22"/>
    </w:rPr>
  </w:style>
  <w:style w:type="paragraph" w:styleId="5">
    <w:name w:val="Balloon Text"/>
    <w:basedOn w:val="1"/>
    <w:link w:val="1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Subtitle"/>
    <w:basedOn w:val="1"/>
    <w:next w:val="1"/>
    <w:qFormat/>
    <w:uiPriority w:val="0"/>
    <w:pPr>
      <w:spacing w:before="240" w:after="60" w:line="312" w:lineRule="auto"/>
      <w:jc w:val="center"/>
      <w:outlineLvl w:val="1"/>
    </w:pPr>
    <w:rPr>
      <w:rFonts w:ascii="Cambria" w:hAnsi="Cambria" w:cs="Cambria"/>
      <w:b/>
      <w:bCs/>
      <w:kern w:val="28"/>
      <w:szCs w:val="32"/>
    </w:rPr>
  </w:style>
  <w:style w:type="paragraph" w:styleId="9">
    <w:name w:val="Normal (Web)"/>
    <w:basedOn w:val="1"/>
    <w:qFormat/>
    <w:uiPriority w:val="0"/>
    <w:pPr>
      <w:spacing w:beforeAutospacing="1" w:afterAutospacing="1"/>
      <w:jc w:val="left"/>
    </w:pPr>
    <w:rPr>
      <w:kern w:val="0"/>
      <w:sz w:val="24"/>
    </w:rPr>
  </w:style>
  <w:style w:type="paragraph" w:styleId="10">
    <w:name w:val="annotation subject"/>
    <w:basedOn w:val="3"/>
    <w:next w:val="3"/>
    <w:link w:val="22"/>
    <w:qFormat/>
    <w:uiPriority w:val="0"/>
    <w:rPr>
      <w:b/>
      <w:bCs/>
    </w:rPr>
  </w:style>
  <w:style w:type="character" w:styleId="13">
    <w:name w:val="Strong"/>
    <w:basedOn w:val="12"/>
    <w:qFormat/>
    <w:uiPriority w:val="0"/>
    <w:rPr>
      <w:b/>
      <w:bCs/>
    </w:rPr>
  </w:style>
  <w:style w:type="character" w:styleId="14">
    <w:name w:val="annotation reference"/>
    <w:basedOn w:val="12"/>
    <w:qFormat/>
    <w:uiPriority w:val="0"/>
    <w:rPr>
      <w:sz w:val="21"/>
      <w:szCs w:val="21"/>
    </w:rPr>
  </w:style>
  <w:style w:type="paragraph" w:customStyle="1" w:styleId="15">
    <w:name w:val="Heading5"/>
    <w:next w:val="1"/>
    <w:qFormat/>
    <w:uiPriority w:val="99"/>
    <w:pPr>
      <w:keepNext/>
      <w:keepLines/>
      <w:widowControl w:val="0"/>
      <w:numPr>
        <w:ilvl w:val="4"/>
        <w:numId w:val="1"/>
      </w:numPr>
      <w:ind w:left="851" w:hanging="851"/>
      <w:jc w:val="both"/>
    </w:pPr>
    <w:rPr>
      <w:rFonts w:ascii="Calibri" w:hAnsi="Calibri" w:eastAsia="宋体" w:cs="宋体"/>
      <w:b/>
      <w:bCs/>
      <w:kern w:val="2"/>
      <w:sz w:val="21"/>
      <w:szCs w:val="28"/>
      <w:lang w:val="en-US" w:eastAsia="zh-CN" w:bidi="ar-SA"/>
    </w:rPr>
  </w:style>
  <w:style w:type="paragraph" w:customStyle="1" w:styleId="16">
    <w:name w:val="p0"/>
    <w:basedOn w:val="1"/>
    <w:qFormat/>
    <w:uiPriority w:val="0"/>
    <w:pPr>
      <w:widowControl/>
    </w:pPr>
    <w:rPr>
      <w:rFonts w:ascii="Calibri" w:hAnsi="Calibri" w:cs="宋体"/>
      <w:kern w:val="0"/>
      <w:szCs w:val="32"/>
    </w:rPr>
  </w:style>
  <w:style w:type="character" w:customStyle="1" w:styleId="17">
    <w:name w:val="批注框文本 Char"/>
    <w:basedOn w:val="12"/>
    <w:link w:val="5"/>
    <w:qFormat/>
    <w:uiPriority w:val="0"/>
    <w:rPr>
      <w:rFonts w:asciiTheme="minorHAnsi" w:hAnsiTheme="minorHAnsi" w:eastAsiaTheme="minorEastAsia" w:cstheme="minorBidi"/>
      <w:kern w:val="2"/>
      <w:sz w:val="18"/>
      <w:szCs w:val="18"/>
    </w:rPr>
  </w:style>
  <w:style w:type="paragraph" w:customStyle="1" w:styleId="18">
    <w:name w:val="UserStyle_1"/>
    <w:basedOn w:val="1"/>
    <w:qFormat/>
    <w:uiPriority w:val="0"/>
    <w:pPr>
      <w:widowControl/>
      <w:jc w:val="left"/>
      <w:textAlignment w:val="baseline"/>
    </w:pPr>
    <w:rPr>
      <w:rFonts w:eastAsia="方正仿宋_GBK"/>
      <w:kern w:val="0"/>
      <w:sz w:val="24"/>
    </w:rPr>
  </w:style>
  <w:style w:type="paragraph" w:customStyle="1" w:styleId="19">
    <w:name w:val="UserStyle_2"/>
    <w:qFormat/>
    <w:uiPriority w:val="0"/>
    <w:pPr>
      <w:textAlignment w:val="baseline"/>
    </w:pPr>
    <w:rPr>
      <w:rFonts w:ascii="Calibri" w:hAnsi="Calibri" w:eastAsia="宋体" w:cs="Times New Roman"/>
      <w:color w:val="000000"/>
      <w:sz w:val="24"/>
      <w:szCs w:val="24"/>
      <w:lang w:val="en-US" w:eastAsia="zh-CN" w:bidi="ar-SA"/>
    </w:rPr>
  </w:style>
  <w:style w:type="character" w:customStyle="1" w:styleId="20">
    <w:name w:val="font1"/>
    <w:basedOn w:val="12"/>
    <w:qFormat/>
    <w:uiPriority w:val="0"/>
  </w:style>
  <w:style w:type="character" w:customStyle="1" w:styleId="21">
    <w:name w:val="批注文字 Char"/>
    <w:basedOn w:val="12"/>
    <w:link w:val="3"/>
    <w:qFormat/>
    <w:uiPriority w:val="0"/>
    <w:rPr>
      <w:kern w:val="2"/>
      <w:sz w:val="21"/>
      <w:szCs w:val="24"/>
    </w:rPr>
  </w:style>
  <w:style w:type="character" w:customStyle="1" w:styleId="22">
    <w:name w:val="批注主题 Char"/>
    <w:basedOn w:val="21"/>
    <w:link w:val="10"/>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8</Lines>
  <Paragraphs>2</Paragraphs>
  <TotalTime>1</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2021-09-12T02:41:00Z</dcterms:created>
  <dc:creator>t</dc:creator>
  <cp:lastModifiedBy>WPS_1704072179</cp:lastModifiedBy>
  <cp:lastPrinted>2022-05-13T00:46:00Z</cp:lastPrinted>
  <dcterms:modified xsi:type="dcterms:W3CDTF">2025-07-23T11:16:17Z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8DE621CCF017E6B66E43806829572C73_43</vt:lpwstr>
  </property>
</Properties>
</file>