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left" w:pos="4200"/>
        </w:tabs>
        <w:snapToGrid w:val="0"/>
        <w:spacing w:line="480" w:lineRule="auto"/>
        <w:ind w:left="31" w:leftChars="15" w:right="0" w:firstLine="0" w:firstLineChars="0"/>
        <w:jc w:val="center"/>
        <w:rPr>
          <w:rFonts w:ascii="宋体" w:hAnsi="宋体" w:eastAsia="宋体"/>
          <w:b/>
          <w:sz w:val="48"/>
          <w:szCs w:val="48"/>
        </w:rPr>
      </w:pPr>
    </w:p>
    <w:p>
      <w:pPr>
        <w:pStyle w:val="19"/>
        <w:snapToGrid w:val="0"/>
        <w:spacing w:line="360" w:lineRule="auto"/>
        <w:ind w:left="0" w:right="0" w:firstLine="0" w:firstLineChars="0"/>
        <w:jc w:val="center"/>
        <w:rPr>
          <w:rFonts w:ascii="宋体" w:hAnsi="宋体" w:eastAsia="宋体"/>
          <w:sz w:val="44"/>
          <w:szCs w:val="44"/>
        </w:rPr>
      </w:pPr>
      <w:r>
        <w:rPr>
          <w:rFonts w:ascii="宋体" w:hAnsi="宋体" w:eastAsia="宋体"/>
          <w:sz w:val="44"/>
          <w:szCs w:val="44"/>
        </w:rPr>
        <w:t>重庆市房屋建筑和市政基础设施</w:t>
      </w:r>
      <w:r>
        <w:rPr>
          <w:rFonts w:hint="eastAsia" w:ascii="宋体" w:hAnsi="宋体" w:eastAsia="宋体"/>
          <w:sz w:val="44"/>
          <w:szCs w:val="44"/>
        </w:rPr>
        <w:t>项目</w:t>
      </w:r>
      <w:r>
        <w:rPr>
          <w:rFonts w:ascii="宋体" w:hAnsi="宋体" w:eastAsia="宋体"/>
          <w:sz w:val="44"/>
          <w:szCs w:val="44"/>
        </w:rPr>
        <w:t>工程总承包</w:t>
      </w:r>
    </w:p>
    <w:p>
      <w:pPr>
        <w:pStyle w:val="19"/>
        <w:snapToGrid w:val="0"/>
        <w:spacing w:line="360" w:lineRule="auto"/>
        <w:ind w:left="0" w:right="0" w:firstLine="0" w:firstLineChars="0"/>
        <w:jc w:val="center"/>
        <w:rPr>
          <w:rFonts w:ascii="宋体" w:hAnsi="宋体" w:eastAsia="宋体"/>
          <w:sz w:val="48"/>
          <w:szCs w:val="48"/>
        </w:rPr>
      </w:pPr>
    </w:p>
    <w:p>
      <w:pPr>
        <w:pStyle w:val="19"/>
        <w:snapToGrid w:val="0"/>
        <w:spacing w:line="360" w:lineRule="auto"/>
        <w:ind w:left="0" w:right="0" w:firstLine="0" w:firstLineChars="0"/>
        <w:jc w:val="center"/>
        <w:rPr>
          <w:rFonts w:ascii="宋体" w:hAnsi="宋体" w:eastAsia="宋体"/>
          <w:sz w:val="48"/>
          <w:szCs w:val="48"/>
        </w:rPr>
      </w:pPr>
    </w:p>
    <w:p>
      <w:pPr>
        <w:pStyle w:val="19"/>
        <w:snapToGrid w:val="0"/>
        <w:spacing w:line="360" w:lineRule="auto"/>
        <w:ind w:left="0" w:right="0" w:firstLine="0" w:firstLineChars="0"/>
        <w:jc w:val="center"/>
        <w:rPr>
          <w:rFonts w:hint="default" w:ascii="宋体" w:hAnsi="宋体" w:eastAsia="宋体"/>
          <w:b/>
          <w:sz w:val="84"/>
          <w:szCs w:val="84"/>
          <w:lang w:val="en-US" w:eastAsia="zh-CN"/>
        </w:rPr>
      </w:pPr>
      <w:r>
        <w:rPr>
          <w:rFonts w:ascii="宋体" w:hAnsi="宋体" w:eastAsia="宋体"/>
          <w:b/>
          <w:sz w:val="84"/>
          <w:szCs w:val="84"/>
        </w:rPr>
        <w:t>招标文件</w:t>
      </w:r>
      <w:r>
        <w:rPr>
          <w:rFonts w:hint="eastAsia" w:ascii="宋体" w:hAnsi="宋体" w:eastAsia="宋体"/>
          <w:b/>
          <w:sz w:val="84"/>
          <w:szCs w:val="84"/>
          <w:lang w:val="en-US" w:eastAsia="zh-CN"/>
        </w:rPr>
        <w:t>示范文本</w:t>
      </w:r>
    </w:p>
    <w:p>
      <w:pPr>
        <w:pStyle w:val="19"/>
        <w:snapToGrid w:val="0"/>
        <w:spacing w:line="360" w:lineRule="auto"/>
        <w:ind w:left="0" w:right="0" w:firstLine="0" w:firstLineChars="0"/>
        <w:jc w:val="center"/>
        <w:rPr>
          <w:rFonts w:ascii="宋体" w:hAnsi="宋体" w:eastAsia="宋体"/>
          <w:kern w:val="0"/>
          <w:sz w:val="48"/>
          <w:szCs w:val="48"/>
        </w:rPr>
      </w:pPr>
      <w:r>
        <w:rPr>
          <w:rFonts w:hint="eastAsia" w:ascii="宋体" w:hAnsi="宋体" w:eastAsia="宋体"/>
          <w:sz w:val="48"/>
          <w:szCs w:val="48"/>
          <w:lang w:eastAsia="zh-CN"/>
        </w:rPr>
        <w:t>（</w:t>
      </w:r>
      <w:r>
        <w:rPr>
          <w:rFonts w:hint="eastAsia" w:ascii="宋体" w:hAnsi="宋体" w:eastAsia="宋体"/>
          <w:sz w:val="48"/>
          <w:szCs w:val="48"/>
          <w:lang w:val="en-US" w:eastAsia="zh-CN"/>
        </w:rPr>
        <w:t>2025年版</w:t>
      </w:r>
      <w:r>
        <w:rPr>
          <w:rFonts w:hint="eastAsia" w:ascii="宋体" w:hAnsi="宋体" w:eastAsia="宋体"/>
          <w:sz w:val="48"/>
          <w:szCs w:val="48"/>
          <w:lang w:eastAsia="zh-CN"/>
        </w:rPr>
        <w:t>）</w:t>
      </w: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kern w:val="0"/>
          <w:position w:val="-5"/>
          <w:sz w:val="32"/>
          <w:szCs w:val="48"/>
        </w:rPr>
      </w:pPr>
    </w:p>
    <w:p>
      <w:pPr>
        <w:adjustRightInd w:val="0"/>
        <w:snapToGrid w:val="0"/>
        <w:spacing w:line="360" w:lineRule="auto"/>
        <w:jc w:val="center"/>
        <w:rPr>
          <w:rFonts w:ascii="宋体" w:hAnsi="宋体"/>
          <w:sz w:val="36"/>
          <w:szCs w:val="36"/>
        </w:rPr>
      </w:pPr>
    </w:p>
    <w:p>
      <w:pPr>
        <w:adjustRightInd w:val="0"/>
        <w:snapToGrid w:val="0"/>
        <w:spacing w:line="360" w:lineRule="auto"/>
        <w:jc w:val="center"/>
        <w:rPr>
          <w:rFonts w:ascii="宋体" w:hAnsi="宋体"/>
          <w:sz w:val="36"/>
          <w:szCs w:val="36"/>
        </w:rPr>
      </w:pPr>
      <w:r>
        <w:rPr>
          <w:rFonts w:hint="eastAsia" w:ascii="宋体" w:hAnsi="宋体"/>
          <w:sz w:val="36"/>
          <w:szCs w:val="36"/>
        </w:rPr>
        <w:t>重庆市发展和改革委员会 制</w:t>
      </w:r>
    </w:p>
    <w:p>
      <w:pPr>
        <w:spacing w:line="360" w:lineRule="auto"/>
        <w:jc w:val="center"/>
        <w:rPr>
          <w:rFonts w:ascii="宋体" w:hAnsi="宋体"/>
          <w:kern w:val="0"/>
          <w:position w:val="-5"/>
          <w:sz w:val="36"/>
          <w:szCs w:val="36"/>
        </w:r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5</w:t>
      </w:r>
      <w:r>
        <w:rPr>
          <w:rFonts w:ascii="宋体" w:hAnsi="宋体"/>
          <w:kern w:val="0"/>
          <w:position w:val="-5"/>
          <w:sz w:val="36"/>
          <w:szCs w:val="36"/>
        </w:rPr>
        <w:t>年</w:t>
      </w:r>
      <w:r>
        <w:rPr>
          <w:rFonts w:hint="eastAsia" w:ascii="宋体" w:hAnsi="宋体"/>
          <w:color w:val="auto"/>
          <w:kern w:val="0"/>
          <w:position w:val="-5"/>
          <w:sz w:val="36"/>
          <w:szCs w:val="36"/>
          <w:lang w:val="en-US" w:eastAsia="zh-CN"/>
        </w:rPr>
        <w:t>9</w:t>
      </w:r>
      <w:r>
        <w:rPr>
          <w:rFonts w:hint="eastAsia" w:ascii="宋体" w:hAnsi="宋体"/>
          <w:kern w:val="0"/>
          <w:position w:val="-5"/>
          <w:sz w:val="36"/>
          <w:szCs w:val="36"/>
        </w:rPr>
        <w:t>月</w:t>
      </w:r>
    </w:p>
    <w:p>
      <w:pPr>
        <w:pStyle w:val="2"/>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p>
    <w:p>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pPr>
        <w:spacing w:line="590" w:lineRule="exact"/>
        <w:jc w:val="center"/>
        <w:rPr>
          <w:rFonts w:ascii="宋体" w:hAnsi="宋体"/>
          <w:kern w:val="0"/>
          <w:sz w:val="44"/>
          <w:szCs w:val="44"/>
        </w:rPr>
      </w:pPr>
    </w:p>
    <w:p>
      <w:pPr>
        <w:spacing w:line="360" w:lineRule="auto"/>
        <w:ind w:firstLine="420" w:firstLineChars="200"/>
        <w:rPr>
          <w:rFonts w:ascii="宋体" w:hAnsi="宋体"/>
          <w:kern w:val="0"/>
          <w:szCs w:val="21"/>
          <w:lang w:val="zh-CN"/>
        </w:rPr>
      </w:pPr>
      <w:r>
        <w:rPr>
          <w:rFonts w:hint="eastAsia" w:ascii="宋体" w:hAnsi="宋体"/>
          <w:kern w:val="0"/>
          <w:szCs w:val="21"/>
          <w:lang w:val="zh-CN"/>
        </w:rPr>
        <w:t>一、</w:t>
      </w:r>
      <w:bookmarkStart w:id="1" w:name="_Hlk56498949"/>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bookmarkEnd w:id="1"/>
      <w:r>
        <w:rPr>
          <w:rFonts w:ascii="宋体" w:hAnsi="宋体"/>
          <w:kern w:val="0"/>
          <w:szCs w:val="21"/>
          <w:lang w:val="zh-CN"/>
        </w:rPr>
        <w:t>是</w:t>
      </w:r>
      <w:r>
        <w:rPr>
          <w:rFonts w:hint="eastAsia" w:ascii="宋体" w:hAnsi="宋体"/>
          <w:kern w:val="0"/>
          <w:szCs w:val="21"/>
          <w:lang w:val="zh-CN"/>
        </w:rPr>
        <w:t>以《中华人民共和国标准设计施工总承包招标文件（2012年版）》为框架，贯彻《中华人民共和国招标投标法》《中华人民共和国招标投标法实施条例》《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宋体" w:hAnsi="宋体" w:eastAsia="宋体"/>
          <w:kern w:val="0"/>
          <w:szCs w:val="21"/>
          <w:lang w:eastAsia="zh-CN"/>
        </w:rPr>
        <w:t>《</w:t>
      </w:r>
      <w:r>
        <w:rPr>
          <w:rFonts w:hint="eastAsia" w:ascii="宋体" w:hAnsi="宋体" w:eastAsia="宋体"/>
          <w:kern w:val="0"/>
          <w:szCs w:val="21"/>
          <w:lang w:val="en-US" w:eastAsia="zh-CN"/>
        </w:rPr>
        <w:t>电子招标投标办法</w:t>
      </w:r>
      <w:r>
        <w:rPr>
          <w:rFonts w:hint="eastAsia" w:ascii="宋体" w:hAnsi="宋体" w:eastAsia="宋体"/>
          <w:kern w:val="0"/>
          <w:szCs w:val="21"/>
          <w:lang w:eastAsia="zh-CN"/>
        </w:rPr>
        <w:t>》</w:t>
      </w:r>
      <w:r>
        <w:rPr>
          <w:rFonts w:hint="eastAsia" w:ascii="宋体" w:hAnsi="宋体"/>
          <w:kern w:val="0"/>
          <w:szCs w:val="21"/>
          <w:lang w:val="zh-CN"/>
        </w:rPr>
        <w:t>《房屋建筑和市政基础设施项目工程总承包管理办法》（建市规〔2019〕12号）等文件精神编制。</w:t>
      </w:r>
    </w:p>
    <w:p>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hint="eastAsia" w:ascii="宋体" w:hAnsi="宋体"/>
          <w:kern w:val="0"/>
          <w:szCs w:val="21"/>
          <w:lang w:val="en-US" w:eastAsia="zh-CN"/>
        </w:rPr>
        <w:t>用于指导招标人编制</w:t>
      </w:r>
      <w:r>
        <w:rPr>
          <w:rFonts w:ascii="宋体" w:hAnsi="宋体"/>
          <w:kern w:val="0"/>
          <w:szCs w:val="21"/>
          <w:lang w:val="zh-CN"/>
        </w:rPr>
        <w:t>房屋建筑和市政基础设施</w:t>
      </w:r>
      <w:r>
        <w:rPr>
          <w:rFonts w:hint="eastAsia" w:ascii="宋体" w:hAnsi="宋体"/>
          <w:kern w:val="0"/>
          <w:szCs w:val="21"/>
          <w:lang w:val="zh-CN"/>
        </w:rPr>
        <w:t>项目</w:t>
      </w:r>
      <w:r>
        <w:rPr>
          <w:rStyle w:val="54"/>
          <w:rFonts w:hint="eastAsia"/>
        </w:rPr>
        <w:t>工程</w:t>
      </w:r>
      <w:r>
        <w:rPr>
          <w:rFonts w:hint="eastAsia" w:ascii="宋体" w:hAnsi="宋体"/>
          <w:kern w:val="0"/>
          <w:szCs w:val="21"/>
          <w:lang w:val="zh-CN"/>
        </w:rPr>
        <w:t>总承包招标</w:t>
      </w:r>
      <w:r>
        <w:rPr>
          <w:rFonts w:hint="eastAsia" w:ascii="宋体" w:hAnsi="宋体"/>
          <w:kern w:val="0"/>
          <w:szCs w:val="21"/>
          <w:lang w:val="en-US" w:eastAsia="zh-CN"/>
        </w:rPr>
        <w:t>文件</w:t>
      </w:r>
      <w:r>
        <w:rPr>
          <w:rFonts w:hint="eastAsia" w:ascii="宋体" w:hAnsi="宋体"/>
          <w:kern w:val="0"/>
          <w:szCs w:val="21"/>
          <w:lang w:val="zh-CN"/>
        </w:rPr>
        <w:t>。</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spacing w:line="360" w:lineRule="auto"/>
        <w:ind w:firstLine="420" w:firstLineChars="200"/>
        <w:rPr>
          <w:rFonts w:ascii="宋体" w:hAnsi="宋体"/>
          <w:kern w:val="0"/>
          <w:szCs w:val="21"/>
          <w:lang w:val="zh-CN"/>
        </w:rPr>
      </w:pPr>
      <w:r>
        <w:rPr>
          <w:rFonts w:hint="eastAsia" w:ascii="宋体" w:hAnsi="宋体"/>
          <w:kern w:val="0"/>
          <w:szCs w:val="21"/>
          <w:lang w:val="zh-CN"/>
        </w:rPr>
        <w:t>四、招标人按照《</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》第一章的格式发布招标公告或发出投标邀请书后，将实际发布的招标公告或实际发出的投标邀请书编入招标文件中，作为投标邀请。其中，招标公告应同时注明发布所在地所有指定媒介名称。</w:t>
      </w:r>
    </w:p>
    <w:p>
      <w:pPr>
        <w:spacing w:line="360" w:lineRule="auto"/>
        <w:ind w:firstLine="420" w:firstLineChars="200"/>
        <w:rPr>
          <w:rFonts w:ascii="宋体" w:hAnsi="宋体"/>
          <w:kern w:val="0"/>
          <w:szCs w:val="21"/>
          <w:lang w:val="zh-CN"/>
        </w:rPr>
      </w:pPr>
      <w:r>
        <w:rPr>
          <w:rFonts w:hint="eastAsia" w:ascii="宋体" w:hAnsi="宋体"/>
          <w:kern w:val="0"/>
          <w:szCs w:val="21"/>
        </w:rPr>
        <w:t>五</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ascii="宋体" w:hAnsi="宋体"/>
          <w:kern w:val="0"/>
          <w:szCs w:val="21"/>
          <w:lang w:val="zh-CN"/>
        </w:rPr>
        <w:t>第三章“评标办法”分别规定</w:t>
      </w:r>
      <w:r>
        <w:rPr>
          <w:rFonts w:hint="eastAsia" w:ascii="宋体" w:hAnsi="宋体"/>
          <w:kern w:val="0"/>
          <w:szCs w:val="21"/>
          <w:lang w:val="zh-CN"/>
        </w:rPr>
        <w:t>了经评审的最低投标价法和</w:t>
      </w:r>
      <w:r>
        <w:rPr>
          <w:rFonts w:ascii="宋体" w:hAnsi="宋体"/>
          <w:kern w:val="0"/>
          <w:szCs w:val="21"/>
          <w:lang w:val="zh-CN"/>
        </w:rPr>
        <w:t>综合评估法两种评标方法供招标人根据招标项目具体特点和</w:t>
      </w:r>
      <w:r>
        <w:rPr>
          <w:rFonts w:hint="eastAsia" w:ascii="宋体" w:hAnsi="宋体"/>
          <w:kern w:val="0"/>
          <w:szCs w:val="21"/>
          <w:lang w:val="en-US" w:eastAsia="zh-CN"/>
        </w:rPr>
        <w:t>实际需要选择</w:t>
      </w:r>
      <w:r>
        <w:rPr>
          <w:rFonts w:hint="eastAsia" w:ascii="宋体" w:hAnsi="宋体"/>
          <w:kern w:val="0"/>
          <w:szCs w:val="21"/>
          <w:lang w:val="zh-CN"/>
        </w:rPr>
        <w:t>。</w:t>
      </w:r>
    </w:p>
    <w:p>
      <w:pPr>
        <w:spacing w:line="360" w:lineRule="auto"/>
        <w:ind w:firstLine="420" w:firstLineChars="200"/>
        <w:rPr>
          <w:rFonts w:ascii="宋体" w:hAnsi="宋体"/>
          <w:kern w:val="0"/>
          <w:szCs w:val="21"/>
          <w:lang w:val="zh-CN"/>
        </w:rPr>
      </w:pPr>
      <w:r>
        <w:rPr>
          <w:rFonts w:hint="eastAsia" w:ascii="宋体" w:hAnsi="宋体"/>
          <w:kern w:val="0"/>
          <w:szCs w:val="21"/>
        </w:rPr>
        <w:t>六</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第四章“合同条款及格式”根据《房屋建筑和市政基础设施项目工程总承包管理办法》（建市规〔2019〕12号）的要求，参照住房和城乡建设部、国家市场监督管理总局制定的《建设项目工程总承包合同（示范文本）》（G</w:t>
      </w:r>
      <w:r>
        <w:rPr>
          <w:rFonts w:ascii="宋体" w:hAnsi="宋体"/>
          <w:kern w:val="0"/>
          <w:szCs w:val="21"/>
          <w:lang w:val="zh-CN"/>
        </w:rPr>
        <w:t>F-2020-0216</w:t>
      </w:r>
      <w:r>
        <w:rPr>
          <w:rFonts w:hint="eastAsia" w:ascii="宋体" w:hAnsi="宋体"/>
          <w:kern w:val="0"/>
          <w:szCs w:val="21"/>
          <w:lang w:val="zh-CN"/>
        </w:rPr>
        <w:t>）进行编制，细化了变更与调整、合同价格与支付、违约等核心条款；重点对变更原则、价格调整机制、合同实施中合同当事人的权利、义务等作了原则性规定。合同附件格式包括：发包人要求、发包人供应材料设备一览表、工程质量保修书、廉洁从业协议、安全管理协议和保障农民工工资支付协议等内容，集中约定合同当事人的基本合同权利义务。</w:t>
      </w:r>
    </w:p>
    <w:p>
      <w:pPr>
        <w:spacing w:line="360" w:lineRule="auto"/>
        <w:ind w:firstLine="420" w:firstLineChars="200"/>
        <w:rPr>
          <w:rFonts w:ascii="宋体" w:hAnsi="宋体"/>
          <w:kern w:val="0"/>
          <w:szCs w:val="21"/>
          <w:lang w:val="zh-CN"/>
        </w:rPr>
      </w:pPr>
      <w:r>
        <w:rPr>
          <w:rFonts w:hint="eastAsia" w:ascii="宋体" w:hAnsi="宋体"/>
          <w:kern w:val="0"/>
          <w:szCs w:val="21"/>
        </w:rPr>
        <w:t>七</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》第</w:t>
      </w:r>
      <w:r>
        <w:rPr>
          <w:rFonts w:hint="eastAsia" w:ascii="宋体" w:hAnsi="宋体"/>
          <w:kern w:val="0"/>
          <w:szCs w:val="21"/>
        </w:rPr>
        <w:t>六</w:t>
      </w:r>
      <w:r>
        <w:rPr>
          <w:rFonts w:hint="eastAsia" w:ascii="宋体" w:hAnsi="宋体"/>
          <w:kern w:val="0"/>
          <w:szCs w:val="21"/>
          <w:lang w:val="zh-CN"/>
        </w:rPr>
        <w:t>章“发包人要求”由招标人根据招标项目具体特点和实际需要编制，</w:t>
      </w:r>
      <w:r>
        <w:rPr>
          <w:rFonts w:hint="eastAsia" w:ascii="宋体" w:hAnsi="宋体"/>
          <w:kern w:val="0"/>
          <w:szCs w:val="21"/>
        </w:rPr>
        <w:t>应</w:t>
      </w:r>
      <w:r>
        <w:rPr>
          <w:rFonts w:ascii="宋体" w:hAnsi="宋体"/>
          <w:kern w:val="0"/>
          <w:szCs w:val="21"/>
        </w:rPr>
        <w:t>列明项目的目标、范围、设计和其他技术标准，包括对项目的内容、范围、规模、标准、功能、质量、安全、节约能源、生态环境保护、工期、验收等的明确要求</w:t>
      </w:r>
      <w:r>
        <w:rPr>
          <w:rFonts w:hint="eastAsia" w:ascii="宋体" w:hAnsi="宋体"/>
          <w:kern w:val="0"/>
          <w:szCs w:val="21"/>
          <w:lang w:val="zh-CN"/>
        </w:rPr>
        <w:t>。</w:t>
      </w:r>
    </w:p>
    <w:p>
      <w:pPr>
        <w:spacing w:line="360" w:lineRule="auto"/>
        <w:ind w:firstLine="420" w:firstLineChars="200"/>
        <w:rPr>
          <w:rFonts w:ascii="宋体" w:hAnsi="宋体"/>
          <w:kern w:val="0"/>
          <w:szCs w:val="21"/>
          <w:lang w:val="zh-CN"/>
        </w:rPr>
      </w:pPr>
      <w:r>
        <w:rPr>
          <w:rFonts w:hint="eastAsia" w:ascii="宋体" w:hAnsi="宋体"/>
          <w:kern w:val="0"/>
          <w:szCs w:val="21"/>
        </w:rPr>
        <w:t>八</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》第</w:t>
      </w:r>
      <w:r>
        <w:rPr>
          <w:rFonts w:hint="eastAsia" w:ascii="宋体" w:hAnsi="宋体"/>
          <w:kern w:val="0"/>
          <w:szCs w:val="21"/>
        </w:rPr>
        <w:t>七</w:t>
      </w:r>
      <w:r>
        <w:rPr>
          <w:rFonts w:hint="eastAsia" w:ascii="宋体" w:hAnsi="宋体"/>
          <w:kern w:val="0"/>
          <w:szCs w:val="21"/>
          <w:lang w:val="zh-CN"/>
        </w:rPr>
        <w:t>章“发包人提供的资料”包括</w:t>
      </w:r>
      <w:r>
        <w:rPr>
          <w:rFonts w:ascii="宋体" w:hAnsi="宋体"/>
          <w:kern w:val="0"/>
          <w:szCs w:val="21"/>
          <w:lang w:val="zh-CN"/>
        </w:rPr>
        <w:t>发包前</w:t>
      </w:r>
      <w:r>
        <w:rPr>
          <w:rFonts w:hint="eastAsia" w:ascii="宋体" w:hAnsi="宋体"/>
          <w:kern w:val="0"/>
          <w:szCs w:val="21"/>
          <w:lang w:val="zh-CN"/>
        </w:rPr>
        <w:t>已</w:t>
      </w:r>
      <w:r>
        <w:rPr>
          <w:rFonts w:ascii="宋体" w:hAnsi="宋体"/>
          <w:kern w:val="0"/>
          <w:szCs w:val="21"/>
          <w:lang w:val="zh-CN"/>
        </w:rPr>
        <w:t>完成的水文地质、工程地质、地形等勘察资料，以及可行性研究报告、方案设计文件或者初步设计文件等</w:t>
      </w:r>
      <w:r>
        <w:rPr>
          <w:rFonts w:hint="eastAsia" w:ascii="宋体" w:hAnsi="宋体"/>
          <w:kern w:val="0"/>
          <w:szCs w:val="21"/>
          <w:lang w:val="zh-CN"/>
        </w:rPr>
        <w:t>，由招标人根据招标项目具体特点和实际需要编制，并与“投标人须知”、“通用合同条款”、“专用合同条款”、“发包人要求”相对应。</w:t>
      </w:r>
    </w:p>
    <w:p>
      <w:pPr>
        <w:spacing w:line="360" w:lineRule="auto"/>
        <w:ind w:firstLine="420" w:firstLineChars="200"/>
        <w:rPr>
          <w:rFonts w:ascii="宋体" w:hAnsi="宋体"/>
          <w:kern w:val="0"/>
          <w:szCs w:val="21"/>
        </w:rPr>
      </w:pPr>
      <w:r>
        <w:rPr>
          <w:rFonts w:hint="eastAsia" w:ascii="宋体" w:hAnsi="宋体"/>
          <w:kern w:val="0"/>
          <w:szCs w:val="21"/>
        </w:rPr>
        <w:t>九</w:t>
      </w:r>
      <w:r>
        <w:rPr>
          <w:rFonts w:hint="eastAsia" w:ascii="宋体" w:hAnsi="宋体"/>
          <w:kern w:val="0"/>
          <w:szCs w:val="21"/>
          <w:lang w:val="zh-CN"/>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w:t>
      </w:r>
      <w:r>
        <w:rPr>
          <w:rFonts w:hint="eastAsia" w:ascii="宋体" w:hAnsi="宋体"/>
          <w:kern w:val="0"/>
          <w:szCs w:val="21"/>
          <w:lang w:val="en-US" w:eastAsia="zh-CN"/>
        </w:rPr>
        <w:t>条件</w:t>
      </w:r>
      <w:r>
        <w:rPr>
          <w:rFonts w:hint="eastAsia" w:ascii="宋体" w:hAnsi="宋体"/>
          <w:kern w:val="0"/>
          <w:szCs w:val="21"/>
          <w:lang w:val="zh-CN"/>
        </w:rPr>
        <w:t>不允许修改。</w:t>
      </w:r>
    </w:p>
    <w:p>
      <w:pPr>
        <w:spacing w:line="360" w:lineRule="auto"/>
        <w:ind w:firstLine="420" w:firstLineChars="200"/>
        <w:rPr>
          <w:rFonts w:ascii="宋体" w:hAnsi="宋体"/>
          <w:kern w:val="0"/>
          <w:szCs w:val="21"/>
          <w:lang w:val="zh-CN"/>
        </w:rPr>
      </w:pPr>
      <w:r>
        <w:rPr>
          <w:rFonts w:hint="eastAsia" w:ascii="宋体" w:hAnsi="宋体"/>
          <w:kern w:val="0"/>
          <w:szCs w:val="21"/>
        </w:rPr>
        <w:t>十</w:t>
      </w:r>
      <w:r>
        <w:rPr>
          <w:rFonts w:ascii="宋体" w:hAnsi="宋体"/>
          <w:kern w:val="0"/>
          <w:szCs w:val="21"/>
          <w:lang w:val="zh-CN"/>
        </w:rPr>
        <w:t>、</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》将根据实际执行过程中出现的问题及时进行修改。各使用单位或个人对《</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》的修改意见和建议，可向重庆市发展和改革委员会反映</w:t>
      </w:r>
      <w:r>
        <w:rPr>
          <w:rFonts w:ascii="宋体" w:hAnsi="宋体"/>
          <w:kern w:val="0"/>
          <w:szCs w:val="21"/>
          <w:lang w:val="zh-CN"/>
        </w:rPr>
        <w:t>。联系电话</w:t>
      </w:r>
      <w:r>
        <w:rPr>
          <w:rFonts w:hint="eastAsia" w:ascii="宋体" w:hAnsi="宋体"/>
          <w:kern w:val="0"/>
          <w:szCs w:val="21"/>
          <w:lang w:val="zh-CN"/>
        </w:rPr>
        <w:t>：023-67575759或023-67575877。</w:t>
      </w:r>
    </w:p>
    <w:p>
      <w:pPr>
        <w:spacing w:line="360" w:lineRule="auto"/>
        <w:ind w:firstLine="420" w:firstLineChars="200"/>
        <w:rPr>
          <w:rFonts w:ascii="宋体" w:hAnsi="宋体"/>
          <w:kern w:val="0"/>
          <w:szCs w:val="21"/>
          <w:lang w:val="zh-CN"/>
        </w:rPr>
        <w:sectPr>
          <w:footerReference r:id="rId6" w:type="default"/>
          <w:pgSz w:w="11907" w:h="16840"/>
          <w:pgMar w:top="1304" w:right="1134" w:bottom="1304" w:left="1304" w:header="851" w:footer="992" w:gutter="0"/>
          <w:pgNumType w:fmt="numberInDash" w:start="1"/>
          <w:cols w:space="720" w:num="1"/>
          <w:docGrid w:linePitch="312" w:charSpace="0"/>
        </w:sectPr>
      </w:pPr>
    </w:p>
    <w:p>
      <w:pPr>
        <w:jc w:val="center"/>
        <w:rPr>
          <w:rFonts w:ascii="宋体" w:hAnsi="宋体"/>
          <w:b/>
          <w:sz w:val="44"/>
          <w:szCs w:val="44"/>
        </w:rPr>
      </w:pPr>
    </w:p>
    <w:p>
      <w:pPr>
        <w:spacing w:line="360" w:lineRule="auto"/>
        <w:ind w:firstLine="2240" w:firstLineChars="700"/>
        <w:rPr>
          <w:rFonts w:ascii="宋体" w:hAnsi="宋体"/>
          <w:kern w:val="0"/>
          <w:sz w:val="32"/>
          <w:szCs w:val="32"/>
        </w:rPr>
      </w:pPr>
      <w:r>
        <w:rPr>
          <w:rFonts w:hint="eastAsia" w:ascii="宋体" w:hAnsi="宋体"/>
          <w:kern w:val="0"/>
          <w:sz w:val="32"/>
          <w:szCs w:val="32"/>
          <w:u w:val="single"/>
        </w:rPr>
        <w:t xml:space="preserve">                      （项目名称）</w:t>
      </w: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工程总承包</w:t>
      </w:r>
      <w:r>
        <w:rPr>
          <w:rFonts w:ascii="宋体" w:hAnsi="宋体"/>
          <w:kern w:val="0"/>
          <w:sz w:val="72"/>
          <w:szCs w:val="72"/>
        </w:rPr>
        <w:t>招标文件</w:t>
      </w:r>
    </w:p>
    <w:p>
      <w:pPr>
        <w:autoSpaceDE w:val="0"/>
        <w:autoSpaceDN w:val="0"/>
        <w:adjustRightInd w:val="0"/>
        <w:snapToGrid w:val="0"/>
        <w:spacing w:line="360" w:lineRule="auto"/>
        <w:jc w:val="left"/>
        <w:rPr>
          <w:rFonts w:ascii="宋体" w:hAnsi="宋体"/>
          <w:kern w:val="0"/>
          <w:sz w:val="10"/>
          <w:szCs w:val="1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pPr>
        <w:autoSpaceDE w:val="0"/>
        <w:autoSpaceDN w:val="0"/>
        <w:adjustRightInd w:val="0"/>
        <w:snapToGrid w:val="0"/>
        <w:spacing w:line="360" w:lineRule="auto"/>
        <w:jc w:val="center"/>
        <w:rPr>
          <w:rFonts w:ascii="宋体" w:hAnsi="宋体"/>
          <w:b/>
          <w:kern w:val="0"/>
          <w:sz w:val="20"/>
          <w:szCs w:val="20"/>
        </w:rPr>
      </w:pPr>
    </w:p>
    <w:p>
      <w:pPr>
        <w:autoSpaceDE w:val="0"/>
        <w:autoSpaceDN w:val="0"/>
        <w:adjustRightInd w:val="0"/>
        <w:snapToGrid w:val="0"/>
        <w:spacing w:line="360" w:lineRule="auto"/>
        <w:jc w:val="center"/>
        <w:rPr>
          <w:rFonts w:ascii="宋体" w:hAnsi="宋体"/>
          <w:b/>
          <w:kern w:val="0"/>
          <w:sz w:val="28"/>
          <w:szCs w:val="28"/>
        </w:rPr>
      </w:pPr>
    </w:p>
    <w:p>
      <w:pPr>
        <w:autoSpaceDE w:val="0"/>
        <w:autoSpaceDN w:val="0"/>
        <w:adjustRightInd w:val="0"/>
        <w:snapToGrid w:val="0"/>
        <w:spacing w:line="360" w:lineRule="auto"/>
        <w:jc w:val="center"/>
        <w:rPr>
          <w:rFonts w:ascii="宋体" w:hAnsi="宋体"/>
          <w:b/>
          <w:kern w:val="0"/>
          <w:sz w:val="28"/>
          <w:szCs w:val="28"/>
        </w:rPr>
      </w:pPr>
    </w:p>
    <w:p>
      <w:pPr>
        <w:autoSpaceDE w:val="0"/>
        <w:autoSpaceDN w:val="0"/>
        <w:adjustRightInd w:val="0"/>
        <w:snapToGrid w:val="0"/>
        <w:spacing w:line="360" w:lineRule="auto"/>
        <w:rPr>
          <w:rFonts w:ascii="宋体" w:hAnsi="宋体"/>
          <w:b/>
          <w:kern w:val="0"/>
          <w:sz w:val="20"/>
          <w:szCs w:val="20"/>
        </w:rPr>
      </w:pPr>
    </w:p>
    <w:p>
      <w:pPr>
        <w:tabs>
          <w:tab w:val="left" w:pos="6252"/>
        </w:tabs>
        <w:autoSpaceDE w:val="0"/>
        <w:autoSpaceDN w:val="0"/>
        <w:adjustRightInd w:val="0"/>
        <w:snapToGrid w:val="0"/>
        <w:spacing w:line="360" w:lineRule="auto"/>
        <w:jc w:val="center"/>
        <w:rPr>
          <w:rFonts w:ascii="宋体" w:hAnsi="宋体"/>
          <w:bCs/>
          <w:spacing w:val="8"/>
          <w:kern w:val="0"/>
          <w:sz w:val="28"/>
          <w:szCs w:val="28"/>
        </w:rPr>
      </w:pPr>
      <w:r>
        <w:rPr>
          <w:rFonts w:ascii="宋体" w:hAnsi="宋体"/>
          <w:b/>
          <w:spacing w:val="8"/>
          <w:kern w:val="0"/>
          <w:sz w:val="28"/>
          <w:szCs w:val="28"/>
          <w:u w:val="single"/>
        </w:rPr>
        <w:t>　　　</w:t>
      </w:r>
      <w:bookmarkStart w:id="2" w:name="_Toc536621766"/>
      <w:bookmarkStart w:id="3" w:name="_Toc509218549"/>
      <w:bookmarkStart w:id="4" w:name="_Toc13210649"/>
      <w:bookmarkStart w:id="5" w:name="_Toc536796736"/>
      <w:bookmarkStart w:id="6" w:name="_Toc536797277"/>
      <w:r>
        <w:rPr>
          <w:rFonts w:ascii="宋体" w:hAnsi="宋体"/>
          <w:b/>
          <w:spacing w:val="8"/>
          <w:kern w:val="0"/>
          <w:sz w:val="28"/>
          <w:szCs w:val="28"/>
        </w:rPr>
        <w:t>年</w:t>
      </w:r>
      <w:r>
        <w:rPr>
          <w:rFonts w:ascii="宋体" w:hAnsi="宋体"/>
          <w:b/>
          <w:spacing w:val="8"/>
          <w:kern w:val="0"/>
          <w:sz w:val="28"/>
          <w:szCs w:val="28"/>
          <w:u w:val="single"/>
        </w:rPr>
        <w:t>　　　</w:t>
      </w:r>
      <w:r>
        <w:rPr>
          <w:rFonts w:ascii="宋体" w:hAnsi="宋体"/>
          <w:b/>
          <w:spacing w:val="8"/>
          <w:kern w:val="0"/>
          <w:sz w:val="28"/>
          <w:szCs w:val="28"/>
        </w:rPr>
        <w:t>月</w:t>
      </w:r>
      <w:r>
        <w:rPr>
          <w:rFonts w:ascii="宋体" w:hAnsi="宋体"/>
          <w:b/>
          <w:spacing w:val="8"/>
          <w:kern w:val="0"/>
          <w:sz w:val="28"/>
          <w:szCs w:val="28"/>
          <w:u w:val="single"/>
        </w:rPr>
        <w:t>　　　</w:t>
      </w:r>
      <w:r>
        <w:rPr>
          <w:rFonts w:ascii="宋体" w:hAnsi="宋体"/>
          <w:b/>
          <w:spacing w:val="8"/>
          <w:kern w:val="0"/>
          <w:sz w:val="28"/>
          <w:szCs w:val="28"/>
        </w:rPr>
        <w:t>日</w:t>
      </w:r>
      <w:bookmarkEnd w:id="2"/>
      <w:bookmarkEnd w:id="3"/>
      <w:bookmarkEnd w:id="4"/>
      <w:bookmarkEnd w:id="5"/>
      <w:bookmarkEnd w:id="6"/>
    </w:p>
    <w:p>
      <w:pPr>
        <w:pStyle w:val="3"/>
        <w:spacing w:line="360" w:lineRule="auto"/>
        <w:jc w:val="center"/>
        <w:rPr>
          <w:rFonts w:ascii="宋体" w:hAnsi="宋体"/>
          <w:w w:val="99"/>
          <w:kern w:val="0"/>
          <w:sz w:val="24"/>
        </w:rPr>
        <w:sectPr>
          <w:footerReference r:id="rId7" w:type="default"/>
          <w:pgSz w:w="11907" w:h="16840"/>
          <w:pgMar w:top="1304" w:right="1134" w:bottom="1304" w:left="1304" w:header="851" w:footer="992" w:gutter="0"/>
          <w:pgNumType w:fmt="numberInDash" w:start="1"/>
          <w:cols w:space="720" w:num="1"/>
          <w:docGrid w:linePitch="312" w:charSpace="0"/>
        </w:sectPr>
      </w:pPr>
    </w:p>
    <w:p>
      <w:pPr>
        <w:pStyle w:val="259"/>
        <w:jc w:val="center"/>
        <w:rPr>
          <w:rFonts w:ascii="宋体" w:hAnsi="宋体"/>
          <w:color w:val="auto"/>
          <w:sz w:val="44"/>
          <w:szCs w:val="44"/>
        </w:rPr>
      </w:pPr>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p>
    <w:p>
      <w:pPr>
        <w:pStyle w:val="31"/>
        <w:tabs>
          <w:tab w:val="right" w:leader="dot" w:pos="9469"/>
        </w:tabs>
        <w:rPr>
          <w:i w:val="0"/>
          <w:iCs w:val="0"/>
        </w:rPr>
      </w:pPr>
      <w:r>
        <w:rPr>
          <w:rFonts w:ascii="宋体" w:hAnsi="宋体"/>
          <w:i w:val="0"/>
          <w:iCs w:val="0"/>
        </w:rPr>
        <w:fldChar w:fldCharType="begin"/>
      </w:r>
      <w:r>
        <w:rPr>
          <w:rFonts w:ascii="宋体" w:hAnsi="宋体"/>
          <w:i w:val="0"/>
          <w:iCs w:val="0"/>
        </w:rPr>
        <w:instrText xml:space="preserve"> TOC \o "1-3" \h \z \u </w:instrText>
      </w:r>
      <w:r>
        <w:rPr>
          <w:rFonts w:ascii="宋体" w:hAnsi="宋体"/>
          <w:i w:val="0"/>
          <w:iCs w:val="0"/>
        </w:rPr>
        <w:fldChar w:fldCharType="separate"/>
      </w:r>
      <w:r>
        <w:rPr>
          <w:rFonts w:ascii="宋体" w:hAnsi="宋体"/>
          <w:i w:val="0"/>
          <w:iCs w:val="0"/>
        </w:rPr>
        <w:fldChar w:fldCharType="begin"/>
      </w:r>
      <w:r>
        <w:rPr>
          <w:rFonts w:ascii="宋体" w:hAnsi="宋体"/>
          <w:i w:val="0"/>
          <w:iCs w:val="0"/>
        </w:rPr>
        <w:instrText xml:space="preserve"> HYPERLINK \l _Toc5770 </w:instrText>
      </w:r>
      <w:r>
        <w:rPr>
          <w:rFonts w:ascii="宋体" w:hAnsi="宋体"/>
          <w:i w:val="0"/>
          <w:iCs w:val="0"/>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_Toc5770 \h </w:instrText>
      </w:r>
      <w:r>
        <w:rPr>
          <w:i w:val="0"/>
          <w:iCs w:val="0"/>
        </w:rPr>
        <w:fldChar w:fldCharType="separate"/>
      </w:r>
      <w:r>
        <w:rPr>
          <w:i w:val="0"/>
          <w:iCs w:val="0"/>
        </w:rPr>
        <w:t>5</w:t>
      </w:r>
      <w:r>
        <w:rPr>
          <w:i w:val="0"/>
          <w:iCs w:val="0"/>
        </w:rPr>
        <w:fldChar w:fldCharType="end"/>
      </w:r>
      <w:r>
        <w:rPr>
          <w:rFonts w:ascii="宋体" w:hAnsi="宋体"/>
          <w:i w:val="0"/>
          <w:iCs w:val="0"/>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_Toc13052 </w:instrText>
      </w:r>
      <w:r>
        <w:rPr>
          <w:rFonts w:ascii="宋体" w:hAnsi="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未进行资格预审</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_Toc13052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_Toc30356 </w:instrText>
      </w:r>
      <w:r>
        <w:rPr>
          <w:rFonts w:ascii="宋体" w:hAnsi="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_Toc30356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_Toc22064 </w:instrText>
      </w:r>
      <w:r>
        <w:rPr>
          <w:rFonts w:ascii="宋体" w:hAnsi="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_Toc22064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_Toc31842 </w:instrText>
      </w:r>
      <w:r>
        <w:rPr>
          <w:rFonts w:ascii="宋体" w:hAnsi="宋体"/>
          <w:bCs/>
          <w:i w:val="0"/>
          <w:iCs w:val="0"/>
          <w:szCs w:val="20"/>
          <w:lang w:val="zh-CN"/>
        </w:rPr>
        <w:fldChar w:fldCharType="separate"/>
      </w:r>
      <w:r>
        <w:rPr>
          <w:rFonts w:hint="default"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hint="default"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_Toc31842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_Toc11817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4</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_Toc11817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_Toc4460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5</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_Toc4460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_Toc3280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6</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_Toc3280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_Toc15954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7</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_Toc15954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_Toc17709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8</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_Toc17709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_Toc2850 </w:instrText>
      </w:r>
      <w:r>
        <w:rPr>
          <w:rFonts w:ascii="宋体" w:hAnsi="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_Toc2850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_Toc25507 </w:instrText>
      </w:r>
      <w:r>
        <w:rPr>
          <w:rFonts w:ascii="宋体" w:hAnsi="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_Toc25507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_Toc27955 </w:instrText>
      </w:r>
      <w:r>
        <w:rPr>
          <w:rFonts w:ascii="宋体" w:hAnsi="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_Toc27955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_Toc8376 </w:instrText>
      </w:r>
      <w:r>
        <w:rPr>
          <w:rFonts w:ascii="宋体" w:hAnsi="宋体"/>
          <w:bCs/>
          <w:i w:val="0"/>
          <w:iCs w:val="0"/>
          <w:szCs w:val="20"/>
          <w:lang w:val="zh-CN"/>
        </w:rPr>
        <w:fldChar w:fldCharType="separate"/>
      </w:r>
      <w:r>
        <w:rPr>
          <w:rFonts w:hint="default"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hint="default"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_Toc8376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_Toc14651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4</w:t>
      </w:r>
      <w:r>
        <w:rPr>
          <w:rFonts w:ascii="宋体" w:hAnsi="宋体"/>
          <w:i w:val="0"/>
          <w:iCs w:val="0"/>
          <w:snapToGrid w:val="0"/>
          <w:szCs w:val="28"/>
        </w:rPr>
        <w:t>.  投标人资格要求</w:t>
      </w:r>
      <w:r>
        <w:rPr>
          <w:i w:val="0"/>
          <w:iCs w:val="0"/>
        </w:rPr>
        <w:tab/>
      </w:r>
      <w:r>
        <w:rPr>
          <w:i w:val="0"/>
          <w:iCs w:val="0"/>
        </w:rPr>
        <w:fldChar w:fldCharType="begin"/>
      </w:r>
      <w:r>
        <w:rPr>
          <w:i w:val="0"/>
          <w:iCs w:val="0"/>
        </w:rPr>
        <w:instrText xml:space="preserve"> PAGEREF _Toc14651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_Toc11118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5</w:t>
      </w:r>
      <w:r>
        <w:rPr>
          <w:rFonts w:ascii="宋体" w:hAnsi="宋体"/>
          <w:i w:val="0"/>
          <w:iCs w:val="0"/>
          <w:snapToGrid w:val="0"/>
          <w:szCs w:val="28"/>
        </w:rPr>
        <w:t>.  招标文件的获取</w:t>
      </w:r>
      <w:r>
        <w:rPr>
          <w:i w:val="0"/>
          <w:iCs w:val="0"/>
        </w:rPr>
        <w:tab/>
      </w:r>
      <w:r>
        <w:rPr>
          <w:i w:val="0"/>
          <w:iCs w:val="0"/>
        </w:rPr>
        <w:fldChar w:fldCharType="begin"/>
      </w:r>
      <w:r>
        <w:rPr>
          <w:i w:val="0"/>
          <w:iCs w:val="0"/>
        </w:rPr>
        <w:instrText xml:space="preserve"> PAGEREF _Toc11118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_Toc25290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6</w:t>
      </w:r>
      <w:r>
        <w:rPr>
          <w:rFonts w:ascii="宋体" w:hAnsi="宋体"/>
          <w:i w:val="0"/>
          <w:iCs w:val="0"/>
          <w:snapToGrid w:val="0"/>
          <w:szCs w:val="28"/>
        </w:rPr>
        <w:t>.  投标文件的递交</w:t>
      </w:r>
      <w:r>
        <w:rPr>
          <w:i w:val="0"/>
          <w:iCs w:val="0"/>
        </w:rPr>
        <w:tab/>
      </w:r>
      <w:r>
        <w:rPr>
          <w:i w:val="0"/>
          <w:iCs w:val="0"/>
        </w:rPr>
        <w:fldChar w:fldCharType="begin"/>
      </w:r>
      <w:r>
        <w:rPr>
          <w:i w:val="0"/>
          <w:iCs w:val="0"/>
        </w:rPr>
        <w:instrText xml:space="preserve"> PAGEREF _Toc25290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_Toc3914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7</w:t>
      </w:r>
      <w:r>
        <w:rPr>
          <w:rFonts w:ascii="宋体" w:hAnsi="宋体"/>
          <w:i w:val="0"/>
          <w:iCs w:val="0"/>
          <w:snapToGrid w:val="0"/>
          <w:szCs w:val="28"/>
        </w:rPr>
        <w:t>.  确认</w:t>
      </w:r>
      <w:r>
        <w:rPr>
          <w:i w:val="0"/>
          <w:iCs w:val="0"/>
        </w:rPr>
        <w:tab/>
      </w:r>
      <w:r>
        <w:rPr>
          <w:i w:val="0"/>
          <w:iCs w:val="0"/>
        </w:rPr>
        <w:fldChar w:fldCharType="begin"/>
      </w:r>
      <w:r>
        <w:rPr>
          <w:i w:val="0"/>
          <w:iCs w:val="0"/>
        </w:rPr>
        <w:instrText xml:space="preserve"> PAGEREF _Toc3914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_Toc23746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8</w:t>
      </w:r>
      <w:r>
        <w:rPr>
          <w:rFonts w:ascii="宋体" w:hAnsi="宋体"/>
          <w:i w:val="0"/>
          <w:iCs w:val="0"/>
          <w:snapToGrid w:val="0"/>
          <w:szCs w:val="28"/>
        </w:rPr>
        <w:t>.  联系方式</w:t>
      </w:r>
      <w:r>
        <w:rPr>
          <w:i w:val="0"/>
          <w:iCs w:val="0"/>
        </w:rPr>
        <w:tab/>
      </w:r>
      <w:r>
        <w:rPr>
          <w:i w:val="0"/>
          <w:iCs w:val="0"/>
        </w:rPr>
        <w:fldChar w:fldCharType="begin"/>
      </w:r>
      <w:r>
        <w:rPr>
          <w:i w:val="0"/>
          <w:iCs w:val="0"/>
        </w:rPr>
        <w:instrText xml:space="preserve"> PAGEREF _Toc23746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_Toc23394 </w:instrText>
      </w:r>
      <w:r>
        <w:rPr>
          <w:rFonts w:ascii="宋体" w:hAnsi="宋体"/>
          <w:bCs/>
          <w:i w:val="0"/>
          <w:iCs w:val="0"/>
          <w:szCs w:val="20"/>
          <w:lang w:val="zh-CN"/>
        </w:rPr>
        <w:fldChar w:fldCharType="separate"/>
      </w:r>
      <w:r>
        <w:rPr>
          <w:rFonts w:ascii="宋体" w:hAnsi="宋体"/>
          <w:i w:val="0"/>
          <w:iCs w:val="0"/>
          <w:snapToGrid w:val="0"/>
          <w:kern w:val="0"/>
        </w:rPr>
        <w:t>第一章  投标邀请书（</w:t>
      </w:r>
      <w:r>
        <w:rPr>
          <w:rFonts w:hint="eastAsia" w:ascii="宋体" w:hAnsi="宋体"/>
          <w:i w:val="0"/>
          <w:iCs w:val="0"/>
          <w:snapToGrid w:val="0"/>
          <w:kern w:val="0"/>
        </w:rPr>
        <w:t>代资格预审通过通知书</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_Toc23394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_Toc19092 </w:instrText>
      </w:r>
      <w:r>
        <w:rPr>
          <w:rFonts w:ascii="宋体" w:hAnsi="宋体"/>
          <w:bCs/>
          <w:i w:val="0"/>
          <w:iCs w:val="0"/>
          <w:szCs w:val="20"/>
          <w:lang w:val="zh-CN"/>
        </w:rPr>
        <w:fldChar w:fldCharType="separate"/>
      </w:r>
      <w:r>
        <w:rPr>
          <w:rFonts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_Toc19092 \h </w:instrText>
      </w:r>
      <w:r>
        <w:rPr>
          <w:i w:val="0"/>
          <w:iCs w:val="0"/>
        </w:rPr>
        <w:fldChar w:fldCharType="separate"/>
      </w:r>
      <w:r>
        <w:rPr>
          <w:i w:val="0"/>
          <w:iCs w:val="0"/>
        </w:rPr>
        <w:t>13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_Toc6973 </w:instrText>
      </w:r>
      <w:r>
        <w:rPr>
          <w:rFonts w:ascii="宋体" w:hAnsi="宋体"/>
          <w:bCs/>
          <w:i w:val="0"/>
          <w:iCs w:val="0"/>
          <w:szCs w:val="20"/>
          <w:lang w:val="zh-CN"/>
        </w:rPr>
        <w:fldChar w:fldCharType="separate"/>
      </w:r>
      <w:r>
        <w:rPr>
          <w:rFonts w:hint="eastAsia" w:ascii="宋体" w:hAnsi="宋体"/>
          <w:i w:val="0"/>
          <w:iCs w:val="0"/>
        </w:rPr>
        <w:t>投标人须知前附表</w:t>
      </w:r>
      <w:r>
        <w:rPr>
          <w:i w:val="0"/>
          <w:iCs w:val="0"/>
        </w:rPr>
        <w:tab/>
      </w:r>
      <w:r>
        <w:rPr>
          <w:i w:val="0"/>
          <w:iCs w:val="0"/>
        </w:rPr>
        <w:fldChar w:fldCharType="begin"/>
      </w:r>
      <w:r>
        <w:rPr>
          <w:i w:val="0"/>
          <w:iCs w:val="0"/>
        </w:rPr>
        <w:instrText xml:space="preserve"> PAGEREF _Toc6973 \h </w:instrText>
      </w:r>
      <w:r>
        <w:rPr>
          <w:i w:val="0"/>
          <w:iCs w:val="0"/>
        </w:rPr>
        <w:fldChar w:fldCharType="separate"/>
      </w:r>
      <w:r>
        <w:rPr>
          <w:i w:val="0"/>
          <w:iCs w:val="0"/>
        </w:rPr>
        <w:t>13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_Toc28731 </w:instrText>
      </w:r>
      <w:r>
        <w:rPr>
          <w:rFonts w:ascii="宋体" w:hAnsi="宋体"/>
          <w:bCs/>
          <w:i w:val="0"/>
          <w:iCs w:val="0"/>
          <w:szCs w:val="20"/>
          <w:lang w:val="zh-CN"/>
        </w:rPr>
        <w:fldChar w:fldCharType="separate"/>
      </w:r>
      <w:r>
        <w:rPr>
          <w:rFonts w:ascii="宋体" w:hAnsi="宋体"/>
          <w:i w:val="0"/>
          <w:iCs w:val="0"/>
          <w:snapToGrid w:val="0"/>
        </w:rPr>
        <w:t>1.  总则</w:t>
      </w:r>
      <w:r>
        <w:rPr>
          <w:i w:val="0"/>
          <w:iCs w:val="0"/>
        </w:rPr>
        <w:tab/>
      </w:r>
      <w:r>
        <w:rPr>
          <w:i w:val="0"/>
          <w:iCs w:val="0"/>
        </w:rPr>
        <w:fldChar w:fldCharType="begin"/>
      </w:r>
      <w:r>
        <w:rPr>
          <w:i w:val="0"/>
          <w:iCs w:val="0"/>
        </w:rPr>
        <w:instrText xml:space="preserve"> PAGEREF _Toc28731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_Toc30529 </w:instrText>
      </w:r>
      <w:r>
        <w:rPr>
          <w:rFonts w:ascii="宋体" w:hAnsi="宋体"/>
          <w:bCs/>
          <w:i w:val="0"/>
          <w:iCs w:val="0"/>
          <w:szCs w:val="20"/>
          <w:lang w:val="zh-CN"/>
        </w:rPr>
        <w:fldChar w:fldCharType="separate"/>
      </w:r>
      <w:r>
        <w:rPr>
          <w:rFonts w:ascii="宋体" w:hAnsi="宋体"/>
          <w:i w:val="0"/>
          <w:iCs w:val="0"/>
          <w:snapToGrid w:val="0"/>
          <w:szCs w:val="24"/>
        </w:rPr>
        <w:t>1.1  项目概况</w:t>
      </w:r>
      <w:r>
        <w:rPr>
          <w:i w:val="0"/>
          <w:iCs w:val="0"/>
        </w:rPr>
        <w:tab/>
      </w:r>
      <w:r>
        <w:rPr>
          <w:i w:val="0"/>
          <w:iCs w:val="0"/>
        </w:rPr>
        <w:fldChar w:fldCharType="begin"/>
      </w:r>
      <w:r>
        <w:rPr>
          <w:i w:val="0"/>
          <w:iCs w:val="0"/>
        </w:rPr>
        <w:instrText xml:space="preserve"> PAGEREF _Toc30529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_Toc32601 </w:instrText>
      </w:r>
      <w:r>
        <w:rPr>
          <w:rFonts w:ascii="宋体" w:hAnsi="宋体"/>
          <w:bCs/>
          <w:i w:val="0"/>
          <w:iCs w:val="0"/>
          <w:szCs w:val="20"/>
          <w:lang w:val="zh-CN"/>
        </w:rPr>
        <w:fldChar w:fldCharType="separate"/>
      </w:r>
      <w:r>
        <w:rPr>
          <w:rFonts w:ascii="宋体" w:hAnsi="宋体"/>
          <w:i w:val="0"/>
          <w:iCs w:val="0"/>
          <w:snapToGrid w:val="0"/>
          <w:szCs w:val="24"/>
        </w:rPr>
        <w:t xml:space="preserve">1.2  </w:t>
      </w:r>
      <w:r>
        <w:rPr>
          <w:rFonts w:hint="eastAsia" w:ascii="宋体" w:hAnsi="宋体"/>
          <w:i w:val="0"/>
          <w:iCs w:val="0"/>
          <w:snapToGrid w:val="0"/>
          <w:szCs w:val="24"/>
        </w:rPr>
        <w:t>项目的</w:t>
      </w:r>
      <w:r>
        <w:rPr>
          <w:rFonts w:ascii="宋体" w:hAnsi="宋体"/>
          <w:i w:val="0"/>
          <w:iCs w:val="0"/>
          <w:snapToGrid w:val="0"/>
          <w:szCs w:val="24"/>
        </w:rPr>
        <w:t>资金来源和落实情况</w:t>
      </w:r>
      <w:r>
        <w:rPr>
          <w:i w:val="0"/>
          <w:iCs w:val="0"/>
        </w:rPr>
        <w:tab/>
      </w:r>
      <w:r>
        <w:rPr>
          <w:i w:val="0"/>
          <w:iCs w:val="0"/>
        </w:rPr>
        <w:fldChar w:fldCharType="begin"/>
      </w:r>
      <w:r>
        <w:rPr>
          <w:i w:val="0"/>
          <w:iCs w:val="0"/>
        </w:rPr>
        <w:instrText xml:space="preserve"> PAGEREF _Toc32601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_Toc16901 </w:instrText>
      </w:r>
      <w:r>
        <w:rPr>
          <w:rFonts w:ascii="宋体" w:hAnsi="宋体"/>
          <w:bCs/>
          <w:i w:val="0"/>
          <w:iCs w:val="0"/>
          <w:szCs w:val="20"/>
          <w:lang w:val="zh-CN"/>
        </w:rPr>
        <w:fldChar w:fldCharType="separate"/>
      </w:r>
      <w:r>
        <w:rPr>
          <w:rFonts w:ascii="宋体" w:hAnsi="宋体"/>
          <w:i w:val="0"/>
          <w:iCs w:val="0"/>
          <w:snapToGrid w:val="0"/>
          <w:szCs w:val="24"/>
        </w:rPr>
        <w:t>1.3  招标范围、计划工期和质量要求</w:t>
      </w:r>
      <w:r>
        <w:rPr>
          <w:i w:val="0"/>
          <w:iCs w:val="0"/>
        </w:rPr>
        <w:tab/>
      </w:r>
      <w:r>
        <w:rPr>
          <w:i w:val="0"/>
          <w:iCs w:val="0"/>
        </w:rPr>
        <w:fldChar w:fldCharType="begin"/>
      </w:r>
      <w:r>
        <w:rPr>
          <w:i w:val="0"/>
          <w:iCs w:val="0"/>
        </w:rPr>
        <w:instrText xml:space="preserve"> PAGEREF _Toc16901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_Toc4569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A</w:t>
      </w:r>
      <w:r>
        <w:rPr>
          <w:rFonts w:ascii="宋体" w:hAnsi="宋体"/>
          <w:i w:val="0"/>
          <w:iCs w:val="0"/>
          <w:snapToGrid w:val="0"/>
          <w:szCs w:val="24"/>
        </w:rPr>
        <w:t xml:space="preserve">  投标人资格要求（</w:t>
      </w:r>
      <w:r>
        <w:rPr>
          <w:rFonts w:hint="eastAsia" w:ascii="宋体" w:hAnsi="宋体"/>
          <w:i w:val="0"/>
          <w:iCs w:val="0"/>
          <w:snapToGrid w:val="0"/>
          <w:szCs w:val="24"/>
        </w:rPr>
        <w:t>适用于已进行资格预审的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_Toc4569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_Toc8387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B</w:t>
      </w:r>
      <w:r>
        <w:rPr>
          <w:rFonts w:ascii="宋体" w:hAnsi="宋体"/>
          <w:i w:val="0"/>
          <w:iCs w:val="0"/>
          <w:snapToGrid w:val="0"/>
          <w:szCs w:val="24"/>
        </w:rPr>
        <w:t xml:space="preserve">  投标人资格要求（</w:t>
      </w:r>
      <w:r>
        <w:rPr>
          <w:rFonts w:hint="eastAsia" w:ascii="宋体" w:hAnsi="宋体"/>
          <w:i w:val="0"/>
          <w:iCs w:val="0"/>
          <w:snapToGrid w:val="0"/>
          <w:szCs w:val="24"/>
        </w:rPr>
        <w:t>适用于未进行资格预审的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_Toc8387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_Toc26371 </w:instrText>
      </w:r>
      <w:r>
        <w:rPr>
          <w:rFonts w:ascii="宋体" w:hAnsi="宋体"/>
          <w:bCs/>
          <w:i w:val="0"/>
          <w:iCs w:val="0"/>
          <w:szCs w:val="20"/>
          <w:lang w:val="zh-CN"/>
        </w:rPr>
        <w:fldChar w:fldCharType="separate"/>
      </w:r>
      <w:r>
        <w:rPr>
          <w:rFonts w:ascii="宋体" w:hAnsi="宋体"/>
          <w:i w:val="0"/>
          <w:iCs w:val="0"/>
          <w:snapToGrid w:val="0"/>
          <w:szCs w:val="24"/>
        </w:rPr>
        <w:t>1.5  费用承担</w:t>
      </w:r>
      <w:r>
        <w:rPr>
          <w:rFonts w:hint="eastAsia" w:ascii="宋体" w:hAnsi="宋体"/>
          <w:i w:val="0"/>
          <w:iCs w:val="0"/>
          <w:snapToGrid w:val="0"/>
          <w:szCs w:val="24"/>
        </w:rPr>
        <w:t>和设计成果补偿</w:t>
      </w:r>
      <w:r>
        <w:rPr>
          <w:i w:val="0"/>
          <w:iCs w:val="0"/>
        </w:rPr>
        <w:tab/>
      </w:r>
      <w:r>
        <w:rPr>
          <w:i w:val="0"/>
          <w:iCs w:val="0"/>
        </w:rPr>
        <w:fldChar w:fldCharType="begin"/>
      </w:r>
      <w:r>
        <w:rPr>
          <w:i w:val="0"/>
          <w:iCs w:val="0"/>
        </w:rPr>
        <w:instrText xml:space="preserve"> PAGEREF _Toc26371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_Toc12471 </w:instrText>
      </w:r>
      <w:r>
        <w:rPr>
          <w:rFonts w:ascii="宋体" w:hAnsi="宋体"/>
          <w:bCs/>
          <w:i w:val="0"/>
          <w:iCs w:val="0"/>
          <w:szCs w:val="20"/>
          <w:lang w:val="zh-CN"/>
        </w:rPr>
        <w:fldChar w:fldCharType="separate"/>
      </w:r>
      <w:r>
        <w:rPr>
          <w:rFonts w:ascii="宋体" w:hAnsi="宋体"/>
          <w:i w:val="0"/>
          <w:iCs w:val="0"/>
          <w:snapToGrid w:val="0"/>
          <w:szCs w:val="24"/>
        </w:rPr>
        <w:t>1.6  保密</w:t>
      </w:r>
      <w:r>
        <w:rPr>
          <w:i w:val="0"/>
          <w:iCs w:val="0"/>
        </w:rPr>
        <w:tab/>
      </w:r>
      <w:r>
        <w:rPr>
          <w:i w:val="0"/>
          <w:iCs w:val="0"/>
        </w:rPr>
        <w:fldChar w:fldCharType="begin"/>
      </w:r>
      <w:r>
        <w:rPr>
          <w:i w:val="0"/>
          <w:iCs w:val="0"/>
        </w:rPr>
        <w:instrText xml:space="preserve"> PAGEREF _Toc12471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_Toc24049 </w:instrText>
      </w:r>
      <w:r>
        <w:rPr>
          <w:rFonts w:ascii="宋体" w:hAnsi="宋体"/>
          <w:bCs/>
          <w:i w:val="0"/>
          <w:iCs w:val="0"/>
          <w:szCs w:val="20"/>
          <w:lang w:val="zh-CN"/>
        </w:rPr>
        <w:fldChar w:fldCharType="separate"/>
      </w:r>
      <w:r>
        <w:rPr>
          <w:rFonts w:ascii="宋体" w:hAnsi="宋体"/>
          <w:i w:val="0"/>
          <w:iCs w:val="0"/>
          <w:snapToGrid w:val="0"/>
          <w:szCs w:val="24"/>
        </w:rPr>
        <w:t>1.7  语言文字</w:t>
      </w:r>
      <w:r>
        <w:rPr>
          <w:i w:val="0"/>
          <w:iCs w:val="0"/>
        </w:rPr>
        <w:tab/>
      </w:r>
      <w:r>
        <w:rPr>
          <w:i w:val="0"/>
          <w:iCs w:val="0"/>
        </w:rPr>
        <w:fldChar w:fldCharType="begin"/>
      </w:r>
      <w:r>
        <w:rPr>
          <w:i w:val="0"/>
          <w:iCs w:val="0"/>
        </w:rPr>
        <w:instrText xml:space="preserve"> PAGEREF _Toc24049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_Toc22584 </w:instrText>
      </w:r>
      <w:r>
        <w:rPr>
          <w:rFonts w:ascii="宋体" w:hAnsi="宋体"/>
          <w:bCs/>
          <w:i w:val="0"/>
          <w:iCs w:val="0"/>
          <w:szCs w:val="20"/>
          <w:lang w:val="zh-CN"/>
        </w:rPr>
        <w:fldChar w:fldCharType="separate"/>
      </w:r>
      <w:r>
        <w:rPr>
          <w:rFonts w:ascii="宋体" w:hAnsi="宋体"/>
          <w:i w:val="0"/>
          <w:iCs w:val="0"/>
          <w:snapToGrid w:val="0"/>
          <w:szCs w:val="24"/>
        </w:rPr>
        <w:t>1.8  计量单位</w:t>
      </w:r>
      <w:r>
        <w:rPr>
          <w:i w:val="0"/>
          <w:iCs w:val="0"/>
        </w:rPr>
        <w:tab/>
      </w:r>
      <w:r>
        <w:rPr>
          <w:i w:val="0"/>
          <w:iCs w:val="0"/>
        </w:rPr>
        <w:fldChar w:fldCharType="begin"/>
      </w:r>
      <w:r>
        <w:rPr>
          <w:i w:val="0"/>
          <w:iCs w:val="0"/>
        </w:rPr>
        <w:instrText xml:space="preserve"> PAGEREF _Toc22584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_Toc16561 </w:instrText>
      </w:r>
      <w:r>
        <w:rPr>
          <w:rFonts w:ascii="宋体" w:hAnsi="宋体"/>
          <w:bCs/>
          <w:i w:val="0"/>
          <w:iCs w:val="0"/>
          <w:szCs w:val="20"/>
          <w:lang w:val="zh-CN"/>
        </w:rPr>
        <w:fldChar w:fldCharType="separate"/>
      </w:r>
      <w:r>
        <w:rPr>
          <w:rFonts w:ascii="宋体" w:hAnsi="宋体"/>
          <w:i w:val="0"/>
          <w:iCs w:val="0"/>
          <w:snapToGrid w:val="0"/>
          <w:szCs w:val="24"/>
        </w:rPr>
        <w:t>1.9  踏勘现场</w:t>
      </w:r>
      <w:r>
        <w:rPr>
          <w:i w:val="0"/>
          <w:iCs w:val="0"/>
        </w:rPr>
        <w:tab/>
      </w:r>
      <w:r>
        <w:rPr>
          <w:i w:val="0"/>
          <w:iCs w:val="0"/>
        </w:rPr>
        <w:fldChar w:fldCharType="begin"/>
      </w:r>
      <w:r>
        <w:rPr>
          <w:i w:val="0"/>
          <w:iCs w:val="0"/>
        </w:rPr>
        <w:instrText xml:space="preserve"> PAGEREF _Toc16561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_Toc10696 </w:instrText>
      </w:r>
      <w:r>
        <w:rPr>
          <w:rFonts w:ascii="宋体" w:hAnsi="宋体"/>
          <w:bCs/>
          <w:i w:val="0"/>
          <w:iCs w:val="0"/>
          <w:szCs w:val="20"/>
          <w:lang w:val="zh-CN"/>
        </w:rPr>
        <w:fldChar w:fldCharType="separate"/>
      </w:r>
      <w:r>
        <w:rPr>
          <w:rFonts w:ascii="宋体" w:hAnsi="宋体"/>
          <w:i w:val="0"/>
          <w:iCs w:val="0"/>
          <w:snapToGrid w:val="0"/>
          <w:szCs w:val="24"/>
        </w:rPr>
        <w:t>1.10  投标预备会</w:t>
      </w:r>
      <w:r>
        <w:rPr>
          <w:i w:val="0"/>
          <w:iCs w:val="0"/>
        </w:rPr>
        <w:tab/>
      </w:r>
      <w:r>
        <w:rPr>
          <w:i w:val="0"/>
          <w:iCs w:val="0"/>
        </w:rPr>
        <w:fldChar w:fldCharType="begin"/>
      </w:r>
      <w:r>
        <w:rPr>
          <w:i w:val="0"/>
          <w:iCs w:val="0"/>
        </w:rPr>
        <w:instrText xml:space="preserve"> PAGEREF _Toc10696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_Toc19885 </w:instrText>
      </w:r>
      <w:r>
        <w:rPr>
          <w:rFonts w:ascii="宋体" w:hAnsi="宋体"/>
          <w:bCs/>
          <w:i w:val="0"/>
          <w:iCs w:val="0"/>
          <w:szCs w:val="20"/>
          <w:lang w:val="zh-CN"/>
        </w:rPr>
        <w:fldChar w:fldCharType="separate"/>
      </w:r>
      <w:r>
        <w:rPr>
          <w:rFonts w:ascii="宋体" w:hAnsi="宋体"/>
          <w:i w:val="0"/>
          <w:iCs w:val="0"/>
          <w:snapToGrid w:val="0"/>
          <w:szCs w:val="24"/>
        </w:rPr>
        <w:t xml:space="preserve">1.11  </w:t>
      </w:r>
      <w:r>
        <w:rPr>
          <w:rFonts w:hint="eastAsia" w:ascii="宋体" w:hAnsi="宋体"/>
          <w:i w:val="0"/>
          <w:iCs w:val="0"/>
          <w:snapToGrid w:val="0"/>
          <w:szCs w:val="24"/>
        </w:rPr>
        <w:t>分包</w:t>
      </w:r>
      <w:r>
        <w:rPr>
          <w:i w:val="0"/>
          <w:iCs w:val="0"/>
        </w:rPr>
        <w:tab/>
      </w:r>
      <w:r>
        <w:rPr>
          <w:i w:val="0"/>
          <w:iCs w:val="0"/>
        </w:rPr>
        <w:fldChar w:fldCharType="begin"/>
      </w:r>
      <w:r>
        <w:rPr>
          <w:i w:val="0"/>
          <w:iCs w:val="0"/>
        </w:rPr>
        <w:instrText xml:space="preserve"> PAGEREF _Toc19885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_Toc12398 </w:instrText>
      </w:r>
      <w:r>
        <w:rPr>
          <w:rFonts w:ascii="宋体" w:hAnsi="宋体"/>
          <w:bCs/>
          <w:i w:val="0"/>
          <w:iCs w:val="0"/>
          <w:szCs w:val="20"/>
          <w:lang w:val="zh-CN"/>
        </w:rPr>
        <w:fldChar w:fldCharType="separate"/>
      </w:r>
      <w:r>
        <w:rPr>
          <w:rFonts w:ascii="宋体" w:hAnsi="宋体"/>
          <w:i w:val="0"/>
          <w:iCs w:val="0"/>
          <w:snapToGrid w:val="0"/>
          <w:szCs w:val="24"/>
        </w:rPr>
        <w:t>1.12  偏离</w:t>
      </w:r>
      <w:r>
        <w:rPr>
          <w:i w:val="0"/>
          <w:iCs w:val="0"/>
        </w:rPr>
        <w:tab/>
      </w:r>
      <w:r>
        <w:rPr>
          <w:i w:val="0"/>
          <w:iCs w:val="0"/>
        </w:rPr>
        <w:fldChar w:fldCharType="begin"/>
      </w:r>
      <w:r>
        <w:rPr>
          <w:i w:val="0"/>
          <w:iCs w:val="0"/>
        </w:rPr>
        <w:instrText xml:space="preserve"> PAGEREF _Toc12398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_Toc6408 </w:instrText>
      </w:r>
      <w:r>
        <w:rPr>
          <w:rFonts w:ascii="宋体" w:hAnsi="宋体"/>
          <w:bCs/>
          <w:i w:val="0"/>
          <w:iCs w:val="0"/>
          <w:szCs w:val="20"/>
          <w:lang w:val="zh-CN"/>
        </w:rPr>
        <w:fldChar w:fldCharType="separate"/>
      </w:r>
      <w:r>
        <w:rPr>
          <w:rFonts w:ascii="宋体" w:hAnsi="宋体"/>
          <w:i w:val="0"/>
          <w:iCs w:val="0"/>
          <w:snapToGrid w:val="0"/>
        </w:rPr>
        <w:t>2.  招标文件</w:t>
      </w:r>
      <w:r>
        <w:rPr>
          <w:i w:val="0"/>
          <w:iCs w:val="0"/>
        </w:rPr>
        <w:tab/>
      </w:r>
      <w:r>
        <w:rPr>
          <w:i w:val="0"/>
          <w:iCs w:val="0"/>
        </w:rPr>
        <w:fldChar w:fldCharType="begin"/>
      </w:r>
      <w:r>
        <w:rPr>
          <w:i w:val="0"/>
          <w:iCs w:val="0"/>
        </w:rPr>
        <w:instrText xml:space="preserve"> PAGEREF _Toc6408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_Toc30743 </w:instrText>
      </w:r>
      <w:r>
        <w:rPr>
          <w:rFonts w:ascii="宋体" w:hAnsi="宋体"/>
          <w:bCs/>
          <w:i w:val="0"/>
          <w:iCs w:val="0"/>
          <w:szCs w:val="20"/>
          <w:lang w:val="zh-CN"/>
        </w:rPr>
        <w:fldChar w:fldCharType="separate"/>
      </w:r>
      <w:r>
        <w:rPr>
          <w:rFonts w:ascii="宋体" w:hAnsi="宋体"/>
          <w:i w:val="0"/>
          <w:iCs w:val="0"/>
          <w:snapToGrid w:val="0"/>
          <w:szCs w:val="24"/>
        </w:rPr>
        <w:t>2.1  招标文件的组成</w:t>
      </w:r>
      <w:r>
        <w:rPr>
          <w:i w:val="0"/>
          <w:iCs w:val="0"/>
        </w:rPr>
        <w:tab/>
      </w:r>
      <w:r>
        <w:rPr>
          <w:i w:val="0"/>
          <w:iCs w:val="0"/>
        </w:rPr>
        <w:fldChar w:fldCharType="begin"/>
      </w:r>
      <w:r>
        <w:rPr>
          <w:i w:val="0"/>
          <w:iCs w:val="0"/>
        </w:rPr>
        <w:instrText xml:space="preserve"> PAGEREF _Toc30743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_Toc28165 </w:instrText>
      </w:r>
      <w:r>
        <w:rPr>
          <w:rFonts w:ascii="宋体" w:hAnsi="宋体"/>
          <w:bCs/>
          <w:i w:val="0"/>
          <w:iCs w:val="0"/>
          <w:szCs w:val="20"/>
          <w:lang w:val="zh-CN"/>
        </w:rPr>
        <w:fldChar w:fldCharType="separate"/>
      </w:r>
      <w:r>
        <w:rPr>
          <w:rFonts w:ascii="宋体" w:hAnsi="宋体"/>
          <w:i w:val="0"/>
          <w:iCs w:val="0"/>
          <w:snapToGrid w:val="0"/>
          <w:szCs w:val="24"/>
        </w:rPr>
        <w:t>2.2  招标文件的澄清</w:t>
      </w:r>
      <w:r>
        <w:rPr>
          <w:i w:val="0"/>
          <w:iCs w:val="0"/>
        </w:rPr>
        <w:tab/>
      </w:r>
      <w:r>
        <w:rPr>
          <w:i w:val="0"/>
          <w:iCs w:val="0"/>
        </w:rPr>
        <w:fldChar w:fldCharType="begin"/>
      </w:r>
      <w:r>
        <w:rPr>
          <w:i w:val="0"/>
          <w:iCs w:val="0"/>
        </w:rPr>
        <w:instrText xml:space="preserve"> PAGEREF _Toc28165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_Toc31189 </w:instrText>
      </w:r>
      <w:r>
        <w:rPr>
          <w:rFonts w:ascii="宋体" w:hAnsi="宋体"/>
          <w:bCs/>
          <w:i w:val="0"/>
          <w:iCs w:val="0"/>
          <w:szCs w:val="20"/>
          <w:lang w:val="zh-CN"/>
        </w:rPr>
        <w:fldChar w:fldCharType="separate"/>
      </w:r>
      <w:r>
        <w:rPr>
          <w:rFonts w:ascii="宋体" w:hAnsi="宋体"/>
          <w:i w:val="0"/>
          <w:iCs w:val="0"/>
          <w:snapToGrid w:val="0"/>
          <w:szCs w:val="24"/>
        </w:rPr>
        <w:t>2.3  招标文件的修改</w:t>
      </w:r>
      <w:r>
        <w:rPr>
          <w:i w:val="0"/>
          <w:iCs w:val="0"/>
        </w:rPr>
        <w:tab/>
      </w:r>
      <w:r>
        <w:rPr>
          <w:i w:val="0"/>
          <w:iCs w:val="0"/>
        </w:rPr>
        <w:fldChar w:fldCharType="begin"/>
      </w:r>
      <w:r>
        <w:rPr>
          <w:i w:val="0"/>
          <w:iCs w:val="0"/>
        </w:rPr>
        <w:instrText xml:space="preserve"> PAGEREF _Toc31189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_Toc22729 </w:instrText>
      </w:r>
      <w:r>
        <w:rPr>
          <w:rFonts w:ascii="宋体" w:hAnsi="宋体"/>
          <w:bCs/>
          <w:i w:val="0"/>
          <w:iCs w:val="0"/>
          <w:szCs w:val="20"/>
          <w:lang w:val="zh-CN"/>
        </w:rPr>
        <w:fldChar w:fldCharType="separate"/>
      </w:r>
      <w:r>
        <w:rPr>
          <w:rFonts w:ascii="宋体" w:hAnsi="宋体"/>
          <w:i w:val="0"/>
          <w:iCs w:val="0"/>
          <w:snapToGrid w:val="0"/>
        </w:rPr>
        <w:t>3.  投标文件</w:t>
      </w:r>
      <w:r>
        <w:rPr>
          <w:i w:val="0"/>
          <w:iCs w:val="0"/>
        </w:rPr>
        <w:tab/>
      </w:r>
      <w:r>
        <w:rPr>
          <w:i w:val="0"/>
          <w:iCs w:val="0"/>
        </w:rPr>
        <w:fldChar w:fldCharType="begin"/>
      </w:r>
      <w:r>
        <w:rPr>
          <w:i w:val="0"/>
          <w:iCs w:val="0"/>
        </w:rPr>
        <w:instrText xml:space="preserve"> PAGEREF _Toc22729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_Toc4910 </w:instrText>
      </w:r>
      <w:r>
        <w:rPr>
          <w:rFonts w:ascii="宋体" w:hAnsi="宋体"/>
          <w:bCs/>
          <w:i w:val="0"/>
          <w:iCs w:val="0"/>
          <w:szCs w:val="20"/>
          <w:lang w:val="zh-CN"/>
        </w:rPr>
        <w:fldChar w:fldCharType="separate"/>
      </w:r>
      <w:r>
        <w:rPr>
          <w:rFonts w:ascii="宋体" w:hAnsi="宋体"/>
          <w:i w:val="0"/>
          <w:iCs w:val="0"/>
          <w:snapToGrid w:val="0"/>
          <w:szCs w:val="24"/>
        </w:rPr>
        <w:t>3.1  投标文件的组成</w:t>
      </w:r>
      <w:r>
        <w:rPr>
          <w:i w:val="0"/>
          <w:iCs w:val="0"/>
        </w:rPr>
        <w:tab/>
      </w:r>
      <w:r>
        <w:rPr>
          <w:i w:val="0"/>
          <w:iCs w:val="0"/>
        </w:rPr>
        <w:fldChar w:fldCharType="begin"/>
      </w:r>
      <w:r>
        <w:rPr>
          <w:i w:val="0"/>
          <w:iCs w:val="0"/>
        </w:rPr>
        <w:instrText xml:space="preserve"> PAGEREF _Toc4910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_Toc747 </w:instrText>
      </w:r>
      <w:r>
        <w:rPr>
          <w:rFonts w:ascii="宋体" w:hAnsi="宋体"/>
          <w:bCs/>
          <w:i w:val="0"/>
          <w:iCs w:val="0"/>
          <w:szCs w:val="20"/>
          <w:lang w:val="zh-CN"/>
        </w:rPr>
        <w:fldChar w:fldCharType="separate"/>
      </w:r>
      <w:r>
        <w:rPr>
          <w:rFonts w:ascii="宋体" w:hAnsi="宋体"/>
          <w:i w:val="0"/>
          <w:iCs w:val="0"/>
          <w:snapToGrid w:val="0"/>
          <w:szCs w:val="24"/>
        </w:rPr>
        <w:t>3.2  投标报价</w:t>
      </w:r>
      <w:r>
        <w:rPr>
          <w:i w:val="0"/>
          <w:iCs w:val="0"/>
        </w:rPr>
        <w:tab/>
      </w:r>
      <w:r>
        <w:rPr>
          <w:i w:val="0"/>
          <w:iCs w:val="0"/>
        </w:rPr>
        <w:fldChar w:fldCharType="begin"/>
      </w:r>
      <w:r>
        <w:rPr>
          <w:i w:val="0"/>
          <w:iCs w:val="0"/>
        </w:rPr>
        <w:instrText xml:space="preserve"> PAGEREF _Toc747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_Toc10465 </w:instrText>
      </w:r>
      <w:r>
        <w:rPr>
          <w:rFonts w:ascii="宋体" w:hAnsi="宋体"/>
          <w:bCs/>
          <w:i w:val="0"/>
          <w:iCs w:val="0"/>
          <w:szCs w:val="20"/>
          <w:lang w:val="zh-CN"/>
        </w:rPr>
        <w:fldChar w:fldCharType="separate"/>
      </w:r>
      <w:r>
        <w:rPr>
          <w:rFonts w:ascii="宋体" w:hAnsi="宋体"/>
          <w:i w:val="0"/>
          <w:iCs w:val="0"/>
          <w:snapToGrid w:val="0"/>
          <w:szCs w:val="24"/>
        </w:rPr>
        <w:t>3.3  投标有效期</w:t>
      </w:r>
      <w:r>
        <w:rPr>
          <w:i w:val="0"/>
          <w:iCs w:val="0"/>
        </w:rPr>
        <w:tab/>
      </w:r>
      <w:r>
        <w:rPr>
          <w:i w:val="0"/>
          <w:iCs w:val="0"/>
        </w:rPr>
        <w:fldChar w:fldCharType="begin"/>
      </w:r>
      <w:r>
        <w:rPr>
          <w:i w:val="0"/>
          <w:iCs w:val="0"/>
        </w:rPr>
        <w:instrText xml:space="preserve"> PAGEREF _Toc10465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_Toc8617 </w:instrText>
      </w:r>
      <w:r>
        <w:rPr>
          <w:rFonts w:ascii="宋体" w:hAnsi="宋体"/>
          <w:bCs/>
          <w:i w:val="0"/>
          <w:iCs w:val="0"/>
          <w:szCs w:val="20"/>
          <w:lang w:val="zh-CN"/>
        </w:rPr>
        <w:fldChar w:fldCharType="separate"/>
      </w:r>
      <w:r>
        <w:rPr>
          <w:rFonts w:ascii="宋体" w:hAnsi="宋体"/>
          <w:i w:val="0"/>
          <w:iCs w:val="0"/>
          <w:snapToGrid w:val="0"/>
          <w:szCs w:val="24"/>
        </w:rPr>
        <w:t>3.4  投标</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_Toc8617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_Toc22725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A</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_Toc22725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_Toc27334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B</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_Toc27334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_Toc31664 </w:instrText>
      </w:r>
      <w:r>
        <w:rPr>
          <w:rFonts w:ascii="宋体" w:hAnsi="宋体"/>
          <w:bCs/>
          <w:i w:val="0"/>
          <w:iCs w:val="0"/>
          <w:szCs w:val="20"/>
          <w:lang w:val="zh-CN"/>
        </w:rPr>
        <w:fldChar w:fldCharType="separate"/>
      </w:r>
      <w:r>
        <w:rPr>
          <w:rFonts w:ascii="宋体" w:hAnsi="宋体"/>
          <w:i w:val="0"/>
          <w:iCs w:val="0"/>
          <w:snapToGrid w:val="0"/>
          <w:szCs w:val="24"/>
        </w:rPr>
        <w:t>3.6  备选投标方案</w:t>
      </w:r>
      <w:r>
        <w:rPr>
          <w:i w:val="0"/>
          <w:iCs w:val="0"/>
        </w:rPr>
        <w:tab/>
      </w:r>
      <w:r>
        <w:rPr>
          <w:i w:val="0"/>
          <w:iCs w:val="0"/>
        </w:rPr>
        <w:fldChar w:fldCharType="begin"/>
      </w:r>
      <w:r>
        <w:rPr>
          <w:i w:val="0"/>
          <w:iCs w:val="0"/>
        </w:rPr>
        <w:instrText xml:space="preserve"> PAGEREF _Toc31664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_Toc27997 </w:instrText>
      </w:r>
      <w:r>
        <w:rPr>
          <w:rFonts w:ascii="宋体" w:hAnsi="宋体"/>
          <w:bCs/>
          <w:i w:val="0"/>
          <w:iCs w:val="0"/>
          <w:szCs w:val="20"/>
          <w:lang w:val="zh-CN"/>
        </w:rPr>
        <w:fldChar w:fldCharType="separate"/>
      </w:r>
      <w:r>
        <w:rPr>
          <w:rFonts w:ascii="宋体" w:hAnsi="宋体"/>
          <w:i w:val="0"/>
          <w:iCs w:val="0"/>
          <w:snapToGrid w:val="0"/>
          <w:szCs w:val="24"/>
        </w:rPr>
        <w:t>3.7  投标文件的编制</w:t>
      </w:r>
      <w:r>
        <w:rPr>
          <w:i w:val="0"/>
          <w:iCs w:val="0"/>
        </w:rPr>
        <w:tab/>
      </w:r>
      <w:r>
        <w:rPr>
          <w:i w:val="0"/>
          <w:iCs w:val="0"/>
        </w:rPr>
        <w:fldChar w:fldCharType="begin"/>
      </w:r>
      <w:r>
        <w:rPr>
          <w:i w:val="0"/>
          <w:iCs w:val="0"/>
        </w:rPr>
        <w:instrText xml:space="preserve"> PAGEREF _Toc27997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_Toc32648 </w:instrText>
      </w:r>
      <w:r>
        <w:rPr>
          <w:rFonts w:ascii="宋体" w:hAnsi="宋体"/>
          <w:bCs/>
          <w:i w:val="0"/>
          <w:iCs w:val="0"/>
          <w:szCs w:val="20"/>
          <w:lang w:val="zh-CN"/>
        </w:rPr>
        <w:fldChar w:fldCharType="separate"/>
      </w:r>
      <w:r>
        <w:rPr>
          <w:rFonts w:ascii="宋体" w:hAnsi="宋体"/>
          <w:i w:val="0"/>
          <w:iCs w:val="0"/>
          <w:snapToGrid w:val="0"/>
        </w:rPr>
        <w:t>4.  投标</w:t>
      </w:r>
      <w:r>
        <w:rPr>
          <w:i w:val="0"/>
          <w:iCs w:val="0"/>
        </w:rPr>
        <w:tab/>
      </w:r>
      <w:r>
        <w:rPr>
          <w:i w:val="0"/>
          <w:iCs w:val="0"/>
        </w:rPr>
        <w:fldChar w:fldCharType="begin"/>
      </w:r>
      <w:r>
        <w:rPr>
          <w:i w:val="0"/>
          <w:iCs w:val="0"/>
        </w:rPr>
        <w:instrText xml:space="preserve"> PAGEREF _Toc32648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_Toc22050 </w:instrText>
      </w:r>
      <w:r>
        <w:rPr>
          <w:rFonts w:ascii="宋体" w:hAnsi="宋体"/>
          <w:bCs/>
          <w:i w:val="0"/>
          <w:iCs w:val="0"/>
          <w:szCs w:val="20"/>
          <w:lang w:val="zh-CN"/>
        </w:rPr>
        <w:fldChar w:fldCharType="separate"/>
      </w:r>
      <w:r>
        <w:rPr>
          <w:rFonts w:ascii="宋体" w:hAnsi="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_Toc22050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_Toc8941 </w:instrText>
      </w:r>
      <w:r>
        <w:rPr>
          <w:rFonts w:ascii="宋体" w:hAnsi="宋体"/>
          <w:bCs/>
          <w:i w:val="0"/>
          <w:iCs w:val="0"/>
          <w:szCs w:val="20"/>
          <w:lang w:val="zh-CN"/>
        </w:rPr>
        <w:fldChar w:fldCharType="separate"/>
      </w:r>
      <w:r>
        <w:rPr>
          <w:rFonts w:ascii="宋体" w:hAnsi="宋体"/>
          <w:i w:val="0"/>
          <w:iCs w:val="0"/>
          <w:snapToGrid w:val="0"/>
          <w:szCs w:val="24"/>
        </w:rPr>
        <w:t>4.2  投标文件的递交</w:t>
      </w:r>
      <w:r>
        <w:rPr>
          <w:i w:val="0"/>
          <w:iCs w:val="0"/>
        </w:rPr>
        <w:tab/>
      </w:r>
      <w:r>
        <w:rPr>
          <w:i w:val="0"/>
          <w:iCs w:val="0"/>
        </w:rPr>
        <w:fldChar w:fldCharType="begin"/>
      </w:r>
      <w:r>
        <w:rPr>
          <w:i w:val="0"/>
          <w:iCs w:val="0"/>
        </w:rPr>
        <w:instrText xml:space="preserve"> PAGEREF _Toc8941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_Toc8948 </w:instrText>
      </w:r>
      <w:r>
        <w:rPr>
          <w:rFonts w:ascii="宋体" w:hAnsi="宋体"/>
          <w:bCs/>
          <w:i w:val="0"/>
          <w:iCs w:val="0"/>
          <w:szCs w:val="20"/>
          <w:lang w:val="zh-CN"/>
        </w:rPr>
        <w:fldChar w:fldCharType="separate"/>
      </w:r>
      <w:r>
        <w:rPr>
          <w:rFonts w:ascii="宋体" w:hAnsi="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_Toc8948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_Toc10011 </w:instrText>
      </w:r>
      <w:r>
        <w:rPr>
          <w:rFonts w:ascii="宋体" w:hAnsi="宋体"/>
          <w:bCs/>
          <w:i w:val="0"/>
          <w:iCs w:val="0"/>
          <w:szCs w:val="20"/>
          <w:lang w:val="zh-CN"/>
        </w:rPr>
        <w:fldChar w:fldCharType="separate"/>
      </w:r>
      <w:r>
        <w:rPr>
          <w:rFonts w:ascii="宋体" w:hAnsi="宋体"/>
          <w:i w:val="0"/>
          <w:iCs w:val="0"/>
          <w:snapToGrid w:val="0"/>
        </w:rPr>
        <w:t>5.  开标</w:t>
      </w:r>
      <w:r>
        <w:rPr>
          <w:i w:val="0"/>
          <w:iCs w:val="0"/>
        </w:rPr>
        <w:tab/>
      </w:r>
      <w:r>
        <w:rPr>
          <w:i w:val="0"/>
          <w:iCs w:val="0"/>
        </w:rPr>
        <w:fldChar w:fldCharType="begin"/>
      </w:r>
      <w:r>
        <w:rPr>
          <w:i w:val="0"/>
          <w:iCs w:val="0"/>
        </w:rPr>
        <w:instrText xml:space="preserve"> PAGEREF _Toc10011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_Toc10150 </w:instrText>
      </w:r>
      <w:r>
        <w:rPr>
          <w:rFonts w:ascii="宋体" w:hAnsi="宋体"/>
          <w:bCs/>
          <w:i w:val="0"/>
          <w:iCs w:val="0"/>
          <w:szCs w:val="20"/>
          <w:lang w:val="zh-CN"/>
        </w:rPr>
        <w:fldChar w:fldCharType="separate"/>
      </w:r>
      <w:r>
        <w:rPr>
          <w:rFonts w:ascii="宋体" w:hAnsi="宋体"/>
          <w:i w:val="0"/>
          <w:iCs w:val="0"/>
          <w:snapToGrid w:val="0"/>
          <w:szCs w:val="24"/>
        </w:rPr>
        <w:t>5.1  开标时间和地点</w:t>
      </w:r>
      <w:r>
        <w:rPr>
          <w:i w:val="0"/>
          <w:iCs w:val="0"/>
        </w:rPr>
        <w:tab/>
      </w:r>
      <w:r>
        <w:rPr>
          <w:i w:val="0"/>
          <w:iCs w:val="0"/>
        </w:rPr>
        <w:fldChar w:fldCharType="begin"/>
      </w:r>
      <w:r>
        <w:rPr>
          <w:i w:val="0"/>
          <w:iCs w:val="0"/>
        </w:rPr>
        <w:instrText xml:space="preserve"> PAGEREF _Toc10150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_Toc29172 </w:instrText>
      </w:r>
      <w:r>
        <w:rPr>
          <w:rFonts w:ascii="宋体" w:hAnsi="宋体"/>
          <w:bCs/>
          <w:i w:val="0"/>
          <w:iCs w:val="0"/>
          <w:szCs w:val="20"/>
          <w:lang w:val="zh-CN"/>
        </w:rPr>
        <w:fldChar w:fldCharType="separate"/>
      </w:r>
      <w:r>
        <w:rPr>
          <w:rFonts w:ascii="宋体" w:hAnsi="宋体"/>
          <w:i w:val="0"/>
          <w:iCs w:val="0"/>
          <w:snapToGrid w:val="0"/>
          <w:szCs w:val="24"/>
        </w:rPr>
        <w:t>5.2  开标程序</w:t>
      </w:r>
      <w:r>
        <w:rPr>
          <w:i w:val="0"/>
          <w:iCs w:val="0"/>
        </w:rPr>
        <w:tab/>
      </w:r>
      <w:r>
        <w:rPr>
          <w:i w:val="0"/>
          <w:iCs w:val="0"/>
        </w:rPr>
        <w:fldChar w:fldCharType="begin"/>
      </w:r>
      <w:r>
        <w:rPr>
          <w:i w:val="0"/>
          <w:iCs w:val="0"/>
        </w:rPr>
        <w:instrText xml:space="preserve"> PAGEREF _Toc29172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_Toc5737 </w:instrText>
      </w:r>
      <w:r>
        <w:rPr>
          <w:rFonts w:ascii="宋体" w:hAnsi="宋体"/>
          <w:bCs/>
          <w:i w:val="0"/>
          <w:iCs w:val="0"/>
          <w:szCs w:val="20"/>
          <w:lang w:val="zh-CN"/>
        </w:rPr>
        <w:fldChar w:fldCharType="separate"/>
      </w:r>
      <w:r>
        <w:rPr>
          <w:rFonts w:ascii="宋体" w:hAnsi="宋体"/>
          <w:i w:val="0"/>
          <w:iCs w:val="0"/>
          <w:snapToGrid w:val="0"/>
          <w:szCs w:val="24"/>
        </w:rPr>
        <w:t>5.</w:t>
      </w:r>
      <w:r>
        <w:rPr>
          <w:rFonts w:hint="eastAsia" w:ascii="宋体" w:hAnsi="宋体"/>
          <w:i w:val="0"/>
          <w:iCs w:val="0"/>
          <w:snapToGrid w:val="0"/>
          <w:szCs w:val="24"/>
        </w:rPr>
        <w:t>3</w:t>
      </w:r>
      <w:r>
        <w:rPr>
          <w:rFonts w:ascii="宋体" w:hAnsi="宋体"/>
          <w:i w:val="0"/>
          <w:iCs w:val="0"/>
          <w:snapToGrid w:val="0"/>
          <w:szCs w:val="24"/>
        </w:rPr>
        <w:t xml:space="preserve">  开标</w:t>
      </w:r>
      <w:r>
        <w:rPr>
          <w:rFonts w:hint="eastAsia" w:ascii="宋体" w:hAnsi="宋体"/>
          <w:i w:val="0"/>
          <w:iCs w:val="0"/>
          <w:snapToGrid w:val="0"/>
          <w:szCs w:val="24"/>
        </w:rPr>
        <w:t>异议</w:t>
      </w:r>
      <w:r>
        <w:rPr>
          <w:i w:val="0"/>
          <w:iCs w:val="0"/>
        </w:rPr>
        <w:tab/>
      </w:r>
      <w:r>
        <w:rPr>
          <w:i w:val="0"/>
          <w:iCs w:val="0"/>
        </w:rPr>
        <w:fldChar w:fldCharType="begin"/>
      </w:r>
      <w:r>
        <w:rPr>
          <w:i w:val="0"/>
          <w:iCs w:val="0"/>
        </w:rPr>
        <w:instrText xml:space="preserve"> PAGEREF _Toc5737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_Toc10586 </w:instrText>
      </w:r>
      <w:r>
        <w:rPr>
          <w:rFonts w:ascii="宋体" w:hAnsi="宋体"/>
          <w:bCs/>
          <w:i w:val="0"/>
          <w:iCs w:val="0"/>
          <w:szCs w:val="20"/>
          <w:lang w:val="zh-CN"/>
        </w:rPr>
        <w:fldChar w:fldCharType="separate"/>
      </w:r>
      <w:r>
        <w:rPr>
          <w:rFonts w:ascii="宋体" w:hAnsi="宋体"/>
          <w:i w:val="0"/>
          <w:iCs w:val="0"/>
          <w:snapToGrid w:val="0"/>
        </w:rPr>
        <w:t>6.  评标</w:t>
      </w:r>
      <w:r>
        <w:rPr>
          <w:i w:val="0"/>
          <w:iCs w:val="0"/>
        </w:rPr>
        <w:tab/>
      </w:r>
      <w:r>
        <w:rPr>
          <w:i w:val="0"/>
          <w:iCs w:val="0"/>
        </w:rPr>
        <w:fldChar w:fldCharType="begin"/>
      </w:r>
      <w:r>
        <w:rPr>
          <w:i w:val="0"/>
          <w:iCs w:val="0"/>
        </w:rPr>
        <w:instrText xml:space="preserve"> PAGEREF _Toc10586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_Toc4166 </w:instrText>
      </w:r>
      <w:r>
        <w:rPr>
          <w:rFonts w:ascii="宋体" w:hAnsi="宋体"/>
          <w:bCs/>
          <w:i w:val="0"/>
          <w:iCs w:val="0"/>
          <w:szCs w:val="20"/>
          <w:lang w:val="zh-CN"/>
        </w:rPr>
        <w:fldChar w:fldCharType="separate"/>
      </w:r>
      <w:r>
        <w:rPr>
          <w:rFonts w:ascii="宋体" w:hAnsi="宋体"/>
          <w:i w:val="0"/>
          <w:iCs w:val="0"/>
          <w:snapToGrid w:val="0"/>
          <w:szCs w:val="24"/>
        </w:rPr>
        <w:t>6.1  评标委员会</w:t>
      </w:r>
      <w:r>
        <w:rPr>
          <w:i w:val="0"/>
          <w:iCs w:val="0"/>
        </w:rPr>
        <w:tab/>
      </w:r>
      <w:r>
        <w:rPr>
          <w:i w:val="0"/>
          <w:iCs w:val="0"/>
        </w:rPr>
        <w:fldChar w:fldCharType="begin"/>
      </w:r>
      <w:r>
        <w:rPr>
          <w:i w:val="0"/>
          <w:iCs w:val="0"/>
        </w:rPr>
        <w:instrText xml:space="preserve"> PAGEREF _Toc4166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_Toc23095 </w:instrText>
      </w:r>
      <w:r>
        <w:rPr>
          <w:rFonts w:ascii="宋体" w:hAnsi="宋体"/>
          <w:bCs/>
          <w:i w:val="0"/>
          <w:iCs w:val="0"/>
          <w:szCs w:val="20"/>
          <w:lang w:val="zh-CN"/>
        </w:rPr>
        <w:fldChar w:fldCharType="separate"/>
      </w:r>
      <w:r>
        <w:rPr>
          <w:rFonts w:ascii="宋体" w:hAnsi="宋体"/>
          <w:i w:val="0"/>
          <w:iCs w:val="0"/>
          <w:snapToGrid w:val="0"/>
          <w:szCs w:val="24"/>
        </w:rPr>
        <w:t>6.2  评标原则</w:t>
      </w:r>
      <w:r>
        <w:rPr>
          <w:i w:val="0"/>
          <w:iCs w:val="0"/>
        </w:rPr>
        <w:tab/>
      </w:r>
      <w:r>
        <w:rPr>
          <w:i w:val="0"/>
          <w:iCs w:val="0"/>
        </w:rPr>
        <w:fldChar w:fldCharType="begin"/>
      </w:r>
      <w:r>
        <w:rPr>
          <w:i w:val="0"/>
          <w:iCs w:val="0"/>
        </w:rPr>
        <w:instrText xml:space="preserve"> PAGEREF _Toc23095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_Toc9849 </w:instrText>
      </w:r>
      <w:r>
        <w:rPr>
          <w:rFonts w:ascii="宋体" w:hAnsi="宋体"/>
          <w:bCs/>
          <w:i w:val="0"/>
          <w:iCs w:val="0"/>
          <w:szCs w:val="20"/>
          <w:lang w:val="zh-CN"/>
        </w:rPr>
        <w:fldChar w:fldCharType="separate"/>
      </w:r>
      <w:r>
        <w:rPr>
          <w:rFonts w:ascii="宋体" w:hAnsi="宋体"/>
          <w:i w:val="0"/>
          <w:iCs w:val="0"/>
          <w:snapToGrid w:val="0"/>
          <w:szCs w:val="24"/>
        </w:rPr>
        <w:t>6.3  评标</w:t>
      </w:r>
      <w:r>
        <w:rPr>
          <w:i w:val="0"/>
          <w:iCs w:val="0"/>
        </w:rPr>
        <w:tab/>
      </w:r>
      <w:r>
        <w:rPr>
          <w:i w:val="0"/>
          <w:iCs w:val="0"/>
        </w:rPr>
        <w:fldChar w:fldCharType="begin"/>
      </w:r>
      <w:r>
        <w:rPr>
          <w:i w:val="0"/>
          <w:iCs w:val="0"/>
        </w:rPr>
        <w:instrText xml:space="preserve"> PAGEREF _Toc9849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_Toc4325 </w:instrText>
      </w:r>
      <w:r>
        <w:rPr>
          <w:rFonts w:ascii="宋体" w:hAnsi="宋体"/>
          <w:bCs/>
          <w:i w:val="0"/>
          <w:iCs w:val="0"/>
          <w:szCs w:val="20"/>
          <w:lang w:val="zh-CN"/>
        </w:rPr>
        <w:fldChar w:fldCharType="separate"/>
      </w:r>
      <w:r>
        <w:rPr>
          <w:rFonts w:ascii="宋体" w:hAnsi="宋体"/>
          <w:i w:val="0"/>
          <w:iCs w:val="0"/>
          <w:snapToGrid w:val="0"/>
        </w:rPr>
        <w:t>7.  合同授予</w:t>
      </w:r>
      <w:r>
        <w:rPr>
          <w:i w:val="0"/>
          <w:iCs w:val="0"/>
        </w:rPr>
        <w:tab/>
      </w:r>
      <w:r>
        <w:rPr>
          <w:i w:val="0"/>
          <w:iCs w:val="0"/>
        </w:rPr>
        <w:fldChar w:fldCharType="begin"/>
      </w:r>
      <w:r>
        <w:rPr>
          <w:i w:val="0"/>
          <w:iCs w:val="0"/>
        </w:rPr>
        <w:instrText xml:space="preserve"> PAGEREF _Toc4325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_Toc15290 </w:instrText>
      </w:r>
      <w:r>
        <w:rPr>
          <w:rFonts w:ascii="宋体" w:hAnsi="宋体"/>
          <w:bCs/>
          <w:i w:val="0"/>
          <w:iCs w:val="0"/>
          <w:szCs w:val="20"/>
          <w:lang w:val="zh-CN"/>
        </w:rPr>
        <w:fldChar w:fldCharType="separate"/>
      </w:r>
      <w:r>
        <w:rPr>
          <w:rFonts w:ascii="宋体" w:hAnsi="宋体"/>
          <w:i w:val="0"/>
          <w:iCs w:val="0"/>
          <w:snapToGrid w:val="0"/>
          <w:szCs w:val="24"/>
        </w:rPr>
        <w:t>7.1  定标方式</w:t>
      </w:r>
      <w:r>
        <w:rPr>
          <w:i w:val="0"/>
          <w:iCs w:val="0"/>
        </w:rPr>
        <w:tab/>
      </w:r>
      <w:r>
        <w:rPr>
          <w:i w:val="0"/>
          <w:iCs w:val="0"/>
        </w:rPr>
        <w:fldChar w:fldCharType="begin"/>
      </w:r>
      <w:r>
        <w:rPr>
          <w:i w:val="0"/>
          <w:iCs w:val="0"/>
        </w:rPr>
        <w:instrText xml:space="preserve"> PAGEREF _Toc15290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_Toc13792 </w:instrText>
      </w:r>
      <w:r>
        <w:rPr>
          <w:rFonts w:ascii="宋体" w:hAnsi="宋体"/>
          <w:bCs/>
          <w:i w:val="0"/>
          <w:iCs w:val="0"/>
          <w:szCs w:val="20"/>
          <w:lang w:val="zh-CN"/>
        </w:rPr>
        <w:fldChar w:fldCharType="separate"/>
      </w:r>
      <w:r>
        <w:rPr>
          <w:rFonts w:ascii="宋体" w:hAnsi="宋体"/>
          <w:i w:val="0"/>
          <w:iCs w:val="0"/>
          <w:snapToGrid w:val="0"/>
          <w:szCs w:val="24"/>
        </w:rPr>
        <w:t>7.2  中标</w:t>
      </w:r>
      <w:r>
        <w:rPr>
          <w:rFonts w:hint="eastAsia" w:ascii="宋体" w:hAnsi="宋体"/>
          <w:i w:val="0"/>
          <w:iCs w:val="0"/>
          <w:snapToGrid w:val="0"/>
          <w:szCs w:val="24"/>
        </w:rPr>
        <w:t>候选人公示</w:t>
      </w:r>
      <w:r>
        <w:rPr>
          <w:i w:val="0"/>
          <w:iCs w:val="0"/>
        </w:rPr>
        <w:tab/>
      </w:r>
      <w:r>
        <w:rPr>
          <w:i w:val="0"/>
          <w:iCs w:val="0"/>
        </w:rPr>
        <w:fldChar w:fldCharType="begin"/>
      </w:r>
      <w:r>
        <w:rPr>
          <w:i w:val="0"/>
          <w:iCs w:val="0"/>
        </w:rPr>
        <w:instrText xml:space="preserve"> PAGEREF _Toc13792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_Toc27826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3</w:t>
      </w:r>
      <w:r>
        <w:rPr>
          <w:rFonts w:ascii="宋体" w:hAnsi="宋体"/>
          <w:i w:val="0"/>
          <w:iCs w:val="0"/>
          <w:snapToGrid w:val="0"/>
          <w:szCs w:val="24"/>
        </w:rPr>
        <w:t xml:space="preserve">  中标通知</w:t>
      </w:r>
      <w:r>
        <w:rPr>
          <w:i w:val="0"/>
          <w:iCs w:val="0"/>
        </w:rPr>
        <w:tab/>
      </w:r>
      <w:r>
        <w:rPr>
          <w:i w:val="0"/>
          <w:iCs w:val="0"/>
        </w:rPr>
        <w:fldChar w:fldCharType="begin"/>
      </w:r>
      <w:r>
        <w:rPr>
          <w:i w:val="0"/>
          <w:iCs w:val="0"/>
        </w:rPr>
        <w:instrText xml:space="preserve"> PAGEREF _Toc27826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_Toc22748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4</w:t>
      </w:r>
      <w:r>
        <w:rPr>
          <w:rFonts w:ascii="宋体" w:hAnsi="宋体"/>
          <w:i w:val="0"/>
          <w:iCs w:val="0"/>
          <w:snapToGrid w:val="0"/>
          <w:szCs w:val="24"/>
        </w:rPr>
        <w:t xml:space="preserve">  履约担保</w:t>
      </w:r>
      <w:r>
        <w:rPr>
          <w:i w:val="0"/>
          <w:iCs w:val="0"/>
        </w:rPr>
        <w:tab/>
      </w:r>
      <w:r>
        <w:rPr>
          <w:i w:val="0"/>
          <w:iCs w:val="0"/>
        </w:rPr>
        <w:fldChar w:fldCharType="begin"/>
      </w:r>
      <w:r>
        <w:rPr>
          <w:i w:val="0"/>
          <w:iCs w:val="0"/>
        </w:rPr>
        <w:instrText xml:space="preserve"> PAGEREF _Toc22748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_Toc8494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5</w:t>
      </w:r>
      <w:r>
        <w:rPr>
          <w:rFonts w:ascii="宋体" w:hAnsi="宋体"/>
          <w:i w:val="0"/>
          <w:iCs w:val="0"/>
          <w:snapToGrid w:val="0"/>
          <w:szCs w:val="24"/>
        </w:rPr>
        <w:t xml:space="preserve">  签订合同</w:t>
      </w:r>
      <w:r>
        <w:rPr>
          <w:i w:val="0"/>
          <w:iCs w:val="0"/>
        </w:rPr>
        <w:tab/>
      </w:r>
      <w:r>
        <w:rPr>
          <w:i w:val="0"/>
          <w:iCs w:val="0"/>
        </w:rPr>
        <w:fldChar w:fldCharType="begin"/>
      </w:r>
      <w:r>
        <w:rPr>
          <w:i w:val="0"/>
          <w:iCs w:val="0"/>
        </w:rPr>
        <w:instrText xml:space="preserve"> PAGEREF _Toc8494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_Toc9656 </w:instrText>
      </w:r>
      <w:r>
        <w:rPr>
          <w:rFonts w:ascii="宋体" w:hAnsi="宋体"/>
          <w:bCs/>
          <w:i w:val="0"/>
          <w:iCs w:val="0"/>
          <w:szCs w:val="20"/>
          <w:lang w:val="zh-CN"/>
        </w:rPr>
        <w:fldChar w:fldCharType="separate"/>
      </w:r>
      <w:r>
        <w:rPr>
          <w:rFonts w:ascii="宋体" w:hAnsi="宋体"/>
          <w:i w:val="0"/>
          <w:iCs w:val="0"/>
          <w:snapToGrid w:val="0"/>
        </w:rPr>
        <w:t>8.  重新招标和不再招标</w:t>
      </w:r>
      <w:r>
        <w:rPr>
          <w:i w:val="0"/>
          <w:iCs w:val="0"/>
        </w:rPr>
        <w:tab/>
      </w:r>
      <w:r>
        <w:rPr>
          <w:i w:val="0"/>
          <w:iCs w:val="0"/>
        </w:rPr>
        <w:fldChar w:fldCharType="begin"/>
      </w:r>
      <w:r>
        <w:rPr>
          <w:i w:val="0"/>
          <w:iCs w:val="0"/>
        </w:rPr>
        <w:instrText xml:space="preserve"> PAGEREF _Toc9656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_Toc13261 </w:instrText>
      </w:r>
      <w:r>
        <w:rPr>
          <w:rFonts w:ascii="宋体" w:hAnsi="宋体"/>
          <w:bCs/>
          <w:i w:val="0"/>
          <w:iCs w:val="0"/>
          <w:szCs w:val="20"/>
          <w:lang w:val="zh-CN"/>
        </w:rPr>
        <w:fldChar w:fldCharType="separate"/>
      </w:r>
      <w:r>
        <w:rPr>
          <w:rFonts w:ascii="宋体" w:hAnsi="宋体"/>
          <w:i w:val="0"/>
          <w:iCs w:val="0"/>
          <w:snapToGrid w:val="0"/>
          <w:szCs w:val="24"/>
        </w:rPr>
        <w:t>8.1  重新招标</w:t>
      </w:r>
      <w:r>
        <w:rPr>
          <w:rFonts w:hint="eastAsia" w:ascii="宋体" w:hAnsi="宋体"/>
          <w:i w:val="0"/>
          <w:iCs w:val="0"/>
          <w:snapToGrid w:val="0"/>
          <w:szCs w:val="24"/>
        </w:rPr>
        <w:t>的情形</w:t>
      </w:r>
      <w:r>
        <w:rPr>
          <w:i w:val="0"/>
          <w:iCs w:val="0"/>
        </w:rPr>
        <w:tab/>
      </w:r>
      <w:r>
        <w:rPr>
          <w:i w:val="0"/>
          <w:iCs w:val="0"/>
        </w:rPr>
        <w:fldChar w:fldCharType="begin"/>
      </w:r>
      <w:r>
        <w:rPr>
          <w:i w:val="0"/>
          <w:iCs w:val="0"/>
        </w:rPr>
        <w:instrText xml:space="preserve"> PAGEREF _Toc13261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_Toc23015 </w:instrText>
      </w:r>
      <w:r>
        <w:rPr>
          <w:rFonts w:ascii="宋体" w:hAnsi="宋体"/>
          <w:bCs/>
          <w:i w:val="0"/>
          <w:iCs w:val="0"/>
          <w:szCs w:val="20"/>
          <w:lang w:val="zh-CN"/>
        </w:rPr>
        <w:fldChar w:fldCharType="separate"/>
      </w:r>
      <w:r>
        <w:rPr>
          <w:rFonts w:ascii="宋体" w:hAnsi="宋体"/>
          <w:i w:val="0"/>
          <w:iCs w:val="0"/>
          <w:snapToGrid w:val="0"/>
          <w:szCs w:val="24"/>
        </w:rPr>
        <w:t xml:space="preserve">8.2  </w:t>
      </w:r>
      <w:r>
        <w:rPr>
          <w:rFonts w:hint="eastAsia" w:ascii="宋体" w:hAnsi="宋体"/>
          <w:i w:val="0"/>
          <w:iCs w:val="0"/>
          <w:snapToGrid w:val="0"/>
          <w:szCs w:val="24"/>
        </w:rPr>
        <w:t>重新</w:t>
      </w:r>
      <w:r>
        <w:rPr>
          <w:rFonts w:ascii="宋体" w:hAnsi="宋体"/>
          <w:i w:val="0"/>
          <w:iCs w:val="0"/>
          <w:snapToGrid w:val="0"/>
          <w:szCs w:val="24"/>
        </w:rPr>
        <w:t>招标和不再招标</w:t>
      </w:r>
      <w:r>
        <w:rPr>
          <w:i w:val="0"/>
          <w:iCs w:val="0"/>
        </w:rPr>
        <w:tab/>
      </w:r>
      <w:r>
        <w:rPr>
          <w:i w:val="0"/>
          <w:iCs w:val="0"/>
        </w:rPr>
        <w:fldChar w:fldCharType="begin"/>
      </w:r>
      <w:r>
        <w:rPr>
          <w:i w:val="0"/>
          <w:iCs w:val="0"/>
        </w:rPr>
        <w:instrText xml:space="preserve"> PAGEREF _Toc23015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_Toc19515 </w:instrText>
      </w:r>
      <w:r>
        <w:rPr>
          <w:rFonts w:ascii="宋体" w:hAnsi="宋体"/>
          <w:bCs/>
          <w:i w:val="0"/>
          <w:iCs w:val="0"/>
          <w:szCs w:val="20"/>
          <w:lang w:val="zh-CN"/>
        </w:rPr>
        <w:fldChar w:fldCharType="separate"/>
      </w:r>
      <w:r>
        <w:rPr>
          <w:rFonts w:ascii="宋体" w:hAnsi="宋体"/>
          <w:i w:val="0"/>
          <w:iCs w:val="0"/>
          <w:snapToGrid w:val="0"/>
        </w:rPr>
        <w:t>9.  纪律和监督</w:t>
      </w:r>
      <w:r>
        <w:rPr>
          <w:i w:val="0"/>
          <w:iCs w:val="0"/>
        </w:rPr>
        <w:tab/>
      </w:r>
      <w:r>
        <w:rPr>
          <w:i w:val="0"/>
          <w:iCs w:val="0"/>
        </w:rPr>
        <w:fldChar w:fldCharType="begin"/>
      </w:r>
      <w:r>
        <w:rPr>
          <w:i w:val="0"/>
          <w:iCs w:val="0"/>
        </w:rPr>
        <w:instrText xml:space="preserve"> PAGEREF _Toc19515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_Toc1607 </w:instrText>
      </w:r>
      <w:r>
        <w:rPr>
          <w:rFonts w:ascii="宋体" w:hAnsi="宋体"/>
          <w:bCs/>
          <w:i w:val="0"/>
          <w:iCs w:val="0"/>
          <w:szCs w:val="20"/>
          <w:lang w:val="zh-CN"/>
        </w:rPr>
        <w:fldChar w:fldCharType="separate"/>
      </w:r>
      <w:r>
        <w:rPr>
          <w:rFonts w:ascii="宋体" w:hAnsi="宋体"/>
          <w:i w:val="0"/>
          <w:iCs w:val="0"/>
          <w:snapToGrid w:val="0"/>
          <w:szCs w:val="24"/>
        </w:rPr>
        <w:t>9.1  对招标人的纪律要求</w:t>
      </w:r>
      <w:r>
        <w:rPr>
          <w:i w:val="0"/>
          <w:iCs w:val="0"/>
        </w:rPr>
        <w:tab/>
      </w:r>
      <w:r>
        <w:rPr>
          <w:i w:val="0"/>
          <w:iCs w:val="0"/>
        </w:rPr>
        <w:fldChar w:fldCharType="begin"/>
      </w:r>
      <w:r>
        <w:rPr>
          <w:i w:val="0"/>
          <w:iCs w:val="0"/>
        </w:rPr>
        <w:instrText xml:space="preserve"> PAGEREF _Toc1607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_Toc10301 </w:instrText>
      </w:r>
      <w:r>
        <w:rPr>
          <w:rFonts w:ascii="宋体" w:hAnsi="宋体"/>
          <w:bCs/>
          <w:i w:val="0"/>
          <w:iCs w:val="0"/>
          <w:szCs w:val="20"/>
          <w:lang w:val="zh-CN"/>
        </w:rPr>
        <w:fldChar w:fldCharType="separate"/>
      </w:r>
      <w:r>
        <w:rPr>
          <w:rFonts w:ascii="宋体" w:hAnsi="宋体"/>
          <w:i w:val="0"/>
          <w:iCs w:val="0"/>
          <w:snapToGrid w:val="0"/>
          <w:szCs w:val="24"/>
        </w:rPr>
        <w:t>9.2  对投标人的纪律要求</w:t>
      </w:r>
      <w:r>
        <w:rPr>
          <w:i w:val="0"/>
          <w:iCs w:val="0"/>
        </w:rPr>
        <w:tab/>
      </w:r>
      <w:r>
        <w:rPr>
          <w:i w:val="0"/>
          <w:iCs w:val="0"/>
        </w:rPr>
        <w:fldChar w:fldCharType="begin"/>
      </w:r>
      <w:r>
        <w:rPr>
          <w:i w:val="0"/>
          <w:iCs w:val="0"/>
        </w:rPr>
        <w:instrText xml:space="preserve"> PAGEREF _Toc10301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_Toc2170 </w:instrText>
      </w:r>
      <w:r>
        <w:rPr>
          <w:rFonts w:ascii="宋体" w:hAnsi="宋体"/>
          <w:bCs/>
          <w:i w:val="0"/>
          <w:iCs w:val="0"/>
          <w:szCs w:val="20"/>
          <w:lang w:val="zh-CN"/>
        </w:rPr>
        <w:fldChar w:fldCharType="separate"/>
      </w:r>
      <w:r>
        <w:rPr>
          <w:rFonts w:ascii="宋体" w:hAnsi="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_Toc2170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_Toc12822 </w:instrText>
      </w:r>
      <w:r>
        <w:rPr>
          <w:rFonts w:ascii="宋体" w:hAnsi="宋体"/>
          <w:bCs/>
          <w:i w:val="0"/>
          <w:iCs w:val="0"/>
          <w:szCs w:val="20"/>
          <w:lang w:val="zh-CN"/>
        </w:rPr>
        <w:fldChar w:fldCharType="separate"/>
      </w:r>
      <w:r>
        <w:rPr>
          <w:rFonts w:ascii="宋体" w:hAnsi="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_Toc12822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_Toc16445 </w:instrText>
      </w:r>
      <w:r>
        <w:rPr>
          <w:rFonts w:ascii="宋体" w:hAnsi="宋体"/>
          <w:bCs/>
          <w:i w:val="0"/>
          <w:iCs w:val="0"/>
          <w:szCs w:val="20"/>
          <w:lang w:val="zh-CN"/>
        </w:rPr>
        <w:fldChar w:fldCharType="separate"/>
      </w:r>
      <w:r>
        <w:rPr>
          <w:rFonts w:ascii="宋体" w:hAnsi="宋体"/>
          <w:i w:val="0"/>
          <w:iCs w:val="0"/>
          <w:snapToGrid w:val="0"/>
          <w:szCs w:val="24"/>
        </w:rPr>
        <w:t>9.5  投诉</w:t>
      </w:r>
      <w:r>
        <w:rPr>
          <w:i w:val="0"/>
          <w:iCs w:val="0"/>
        </w:rPr>
        <w:tab/>
      </w:r>
      <w:r>
        <w:rPr>
          <w:i w:val="0"/>
          <w:iCs w:val="0"/>
        </w:rPr>
        <w:fldChar w:fldCharType="begin"/>
      </w:r>
      <w:r>
        <w:rPr>
          <w:i w:val="0"/>
          <w:iCs w:val="0"/>
        </w:rPr>
        <w:instrText xml:space="preserve"> PAGEREF _Toc16445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_Toc30472 </w:instrText>
      </w:r>
      <w:r>
        <w:rPr>
          <w:rFonts w:ascii="宋体" w:hAnsi="宋体"/>
          <w:bCs/>
          <w:i w:val="0"/>
          <w:iCs w:val="0"/>
          <w:szCs w:val="20"/>
          <w:lang w:val="zh-CN"/>
        </w:rPr>
        <w:fldChar w:fldCharType="separate"/>
      </w:r>
      <w:r>
        <w:rPr>
          <w:rFonts w:ascii="宋体" w:hAnsi="宋体"/>
          <w:i w:val="0"/>
          <w:iCs w:val="0"/>
          <w:snapToGrid w:val="0"/>
        </w:rPr>
        <w:t>10. 需要补充的其他内容</w:t>
      </w:r>
      <w:r>
        <w:rPr>
          <w:i w:val="0"/>
          <w:iCs w:val="0"/>
        </w:rPr>
        <w:tab/>
      </w:r>
      <w:r>
        <w:rPr>
          <w:i w:val="0"/>
          <w:iCs w:val="0"/>
        </w:rPr>
        <w:fldChar w:fldCharType="begin"/>
      </w:r>
      <w:r>
        <w:rPr>
          <w:i w:val="0"/>
          <w:iCs w:val="0"/>
        </w:rPr>
        <w:instrText xml:space="preserve"> PAGEREF _Toc30472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_Toc26711 </w:instrText>
      </w:r>
      <w:r>
        <w:rPr>
          <w:rFonts w:ascii="宋体" w:hAnsi="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_Toc26711 \h </w:instrText>
      </w:r>
      <w:r>
        <w:rPr>
          <w:i w:val="0"/>
          <w:iCs w:val="0"/>
        </w:rPr>
        <w:fldChar w:fldCharType="separate"/>
      </w:r>
      <w:r>
        <w:rPr>
          <w:i w:val="0"/>
          <w:iCs w:val="0"/>
        </w:rPr>
        <w:t>63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_Toc26375 </w:instrText>
      </w:r>
      <w:r>
        <w:rPr>
          <w:rFonts w:ascii="宋体" w:hAnsi="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_Toc26375 \h </w:instrText>
      </w:r>
      <w:r>
        <w:rPr>
          <w:i w:val="0"/>
          <w:iCs w:val="0"/>
        </w:rPr>
        <w:fldChar w:fldCharType="separate"/>
      </w:r>
      <w:r>
        <w:rPr>
          <w:i w:val="0"/>
          <w:iCs w:val="0"/>
        </w:rPr>
        <w:t>63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_Toc30736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_Toc30736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_Toc20182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_Toc20182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_Toc22868 </w:instrText>
      </w:r>
      <w:r>
        <w:rPr>
          <w:rFonts w:ascii="宋体" w:hAnsi="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_Toc22868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_Toc18461 </w:instrText>
      </w:r>
      <w:r>
        <w:rPr>
          <w:rFonts w:ascii="宋体" w:hAnsi="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_Toc18461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_Toc24807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_Toc24807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_Toc30535 </w:instrText>
      </w:r>
      <w:r>
        <w:rPr>
          <w:rFonts w:ascii="宋体" w:hAnsi="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_Toc30535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_Toc8542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_Toc8542 \h </w:instrText>
      </w:r>
      <w:r>
        <w:rPr>
          <w:i w:val="0"/>
          <w:iCs w:val="0"/>
        </w:rPr>
        <w:fldChar w:fldCharType="separate"/>
      </w:r>
      <w:r>
        <w:rPr>
          <w:i w:val="0"/>
          <w:iCs w:val="0"/>
        </w:rPr>
        <w:t>68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_Toc27937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_Toc27937 \h </w:instrText>
      </w:r>
      <w:r>
        <w:rPr>
          <w:i w:val="0"/>
          <w:iCs w:val="0"/>
        </w:rPr>
        <w:fldChar w:fldCharType="separate"/>
      </w:r>
      <w:r>
        <w:rPr>
          <w:i w:val="0"/>
          <w:iCs w:val="0"/>
        </w:rPr>
        <w:t>69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_Toc14007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_Toc14007 \h </w:instrText>
      </w:r>
      <w:r>
        <w:rPr>
          <w:i w:val="0"/>
          <w:iCs w:val="0"/>
        </w:rPr>
        <w:fldChar w:fldCharType="separate"/>
      </w:r>
      <w:r>
        <w:rPr>
          <w:i w:val="0"/>
          <w:iCs w:val="0"/>
        </w:rPr>
        <w:t>69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_Toc29322 </w:instrText>
      </w:r>
      <w:r>
        <w:rPr>
          <w:rFonts w:ascii="宋体" w:hAnsi="宋体"/>
          <w:bCs/>
          <w:i w:val="0"/>
          <w:iCs w:val="0"/>
          <w:szCs w:val="20"/>
          <w:lang w:val="zh-CN"/>
        </w:rPr>
        <w:fldChar w:fldCharType="separate"/>
      </w:r>
      <w:r>
        <w:rPr>
          <w:rFonts w:ascii="宋体" w:hAnsi="宋体"/>
          <w:i w:val="0"/>
          <w:iCs w:val="0"/>
        </w:rPr>
        <w:t xml:space="preserve">第三章 </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_Toc29322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_Toc22462 </w:instrText>
      </w:r>
      <w:r>
        <w:rPr>
          <w:rFonts w:ascii="宋体" w:hAnsi="宋体"/>
          <w:bCs/>
          <w:i w:val="0"/>
          <w:iCs w:val="0"/>
          <w:szCs w:val="20"/>
          <w:lang w:val="zh-CN"/>
        </w:rPr>
        <w:fldChar w:fldCharType="separate"/>
      </w:r>
      <w:r>
        <w:rPr>
          <w:rFonts w:hint="eastAsia" w:ascii="宋体" w:hAnsi="宋体"/>
          <w:i w:val="0"/>
          <w:iCs w:val="0"/>
        </w:rPr>
        <w:t>评标办法前附表</w:t>
      </w:r>
      <w:r>
        <w:rPr>
          <w:i w:val="0"/>
          <w:iCs w:val="0"/>
        </w:rPr>
        <w:tab/>
      </w:r>
      <w:r>
        <w:rPr>
          <w:i w:val="0"/>
          <w:iCs w:val="0"/>
        </w:rPr>
        <w:fldChar w:fldCharType="begin"/>
      </w:r>
      <w:r>
        <w:rPr>
          <w:i w:val="0"/>
          <w:iCs w:val="0"/>
        </w:rPr>
        <w:instrText xml:space="preserve"> PAGEREF _Toc22462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_Toc30408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_Toc30408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_Toc9131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_Toc9131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_Toc23852 </w:instrText>
      </w:r>
      <w:r>
        <w:rPr>
          <w:rFonts w:ascii="宋体" w:hAnsi="宋体"/>
          <w:bCs/>
          <w:i w:val="0"/>
          <w:iCs w:val="0"/>
          <w:szCs w:val="20"/>
          <w:lang w:val="zh-CN"/>
        </w:rPr>
        <w:fldChar w:fldCharType="separate"/>
      </w:r>
      <w:r>
        <w:rPr>
          <w:rFonts w:ascii="宋体" w:hAnsi="宋体"/>
          <w:i w:val="0"/>
          <w:iCs w:val="0"/>
          <w:snapToGrid w:val="0"/>
          <w:szCs w:val="24"/>
        </w:rPr>
        <w:t>2.1  初步评审标准</w:t>
      </w:r>
      <w:r>
        <w:rPr>
          <w:i w:val="0"/>
          <w:iCs w:val="0"/>
        </w:rPr>
        <w:tab/>
      </w:r>
      <w:r>
        <w:rPr>
          <w:i w:val="0"/>
          <w:iCs w:val="0"/>
        </w:rPr>
        <w:fldChar w:fldCharType="begin"/>
      </w:r>
      <w:r>
        <w:rPr>
          <w:i w:val="0"/>
          <w:iCs w:val="0"/>
        </w:rPr>
        <w:instrText xml:space="preserve"> PAGEREF _Toc23852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_Toc5531 </w:instrText>
      </w:r>
      <w:r>
        <w:rPr>
          <w:rFonts w:ascii="宋体" w:hAnsi="宋体"/>
          <w:bCs/>
          <w:i w:val="0"/>
          <w:iCs w:val="0"/>
          <w:szCs w:val="20"/>
          <w:lang w:val="zh-CN"/>
        </w:rPr>
        <w:fldChar w:fldCharType="separate"/>
      </w:r>
      <w:r>
        <w:rPr>
          <w:rFonts w:ascii="宋体" w:hAnsi="宋体"/>
          <w:i w:val="0"/>
          <w:iCs w:val="0"/>
          <w:snapToGrid w:val="0"/>
          <w:szCs w:val="24"/>
        </w:rPr>
        <w:t>2.2  分值构成与评分标准</w:t>
      </w:r>
      <w:r>
        <w:rPr>
          <w:i w:val="0"/>
          <w:iCs w:val="0"/>
        </w:rPr>
        <w:tab/>
      </w:r>
      <w:r>
        <w:rPr>
          <w:i w:val="0"/>
          <w:iCs w:val="0"/>
        </w:rPr>
        <w:fldChar w:fldCharType="begin"/>
      </w:r>
      <w:r>
        <w:rPr>
          <w:i w:val="0"/>
          <w:iCs w:val="0"/>
        </w:rPr>
        <w:instrText xml:space="preserve"> PAGEREF _Toc5531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_Toc3372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_Toc3372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_Toc5322 </w:instrText>
      </w:r>
      <w:r>
        <w:rPr>
          <w:rFonts w:ascii="宋体" w:hAnsi="宋体"/>
          <w:bCs/>
          <w:i w:val="0"/>
          <w:iCs w:val="0"/>
          <w:szCs w:val="20"/>
          <w:lang w:val="zh-CN"/>
        </w:rPr>
        <w:fldChar w:fldCharType="separate"/>
      </w:r>
      <w:r>
        <w:rPr>
          <w:rFonts w:ascii="宋体" w:hAnsi="宋体"/>
          <w:i w:val="0"/>
          <w:iCs w:val="0"/>
          <w:snapToGrid w:val="0"/>
          <w:szCs w:val="24"/>
        </w:rPr>
        <w:t>3.1  初步评审</w:t>
      </w:r>
      <w:r>
        <w:rPr>
          <w:i w:val="0"/>
          <w:iCs w:val="0"/>
        </w:rPr>
        <w:tab/>
      </w:r>
      <w:r>
        <w:rPr>
          <w:i w:val="0"/>
          <w:iCs w:val="0"/>
        </w:rPr>
        <w:fldChar w:fldCharType="begin"/>
      </w:r>
      <w:r>
        <w:rPr>
          <w:i w:val="0"/>
          <w:iCs w:val="0"/>
        </w:rPr>
        <w:instrText xml:space="preserve"> PAGEREF _Toc5322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 </w:instrText>
      </w:r>
      <w:r>
        <w:rPr>
          <w:rFonts w:ascii="宋体" w:hAnsi="宋体"/>
          <w:bCs/>
          <w:i w:val="0"/>
          <w:iCs w:val="0"/>
          <w:szCs w:val="20"/>
          <w:lang w:val="zh-CN"/>
        </w:rPr>
        <w:fldChar w:fldCharType="separate"/>
      </w:r>
      <w:r>
        <w:rPr>
          <w:rFonts w:ascii="宋体" w:hAnsi="宋体"/>
          <w:i w:val="0"/>
          <w:iCs w:val="0"/>
          <w:snapToGrid w:val="0"/>
          <w:szCs w:val="24"/>
        </w:rPr>
        <w:t>3.2  详细评审</w:t>
      </w:r>
      <w:r>
        <w:rPr>
          <w:i w:val="0"/>
          <w:iCs w:val="0"/>
        </w:rPr>
        <w:tab/>
      </w:r>
      <w:r>
        <w:rPr>
          <w:i w:val="0"/>
          <w:iCs w:val="0"/>
        </w:rPr>
        <w:fldChar w:fldCharType="begin"/>
      </w:r>
      <w:r>
        <w:rPr>
          <w:i w:val="0"/>
          <w:iCs w:val="0"/>
        </w:rPr>
        <w:instrText xml:space="preserve"> PAGEREF _Toc45 \h </w:instrText>
      </w:r>
      <w:r>
        <w:rPr>
          <w:i w:val="0"/>
          <w:iCs w:val="0"/>
        </w:rPr>
        <w:fldChar w:fldCharType="separate"/>
      </w:r>
      <w:r>
        <w:rPr>
          <w:i w:val="0"/>
          <w:iCs w:val="0"/>
        </w:rPr>
        <w:t>85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_Toc4032 </w:instrText>
      </w:r>
      <w:r>
        <w:rPr>
          <w:rFonts w:ascii="宋体" w:hAnsi="宋体"/>
          <w:bCs/>
          <w:i w:val="0"/>
          <w:iCs w:val="0"/>
          <w:szCs w:val="20"/>
          <w:lang w:val="zh-CN"/>
        </w:rPr>
        <w:fldChar w:fldCharType="separate"/>
      </w:r>
      <w:r>
        <w:rPr>
          <w:rFonts w:ascii="宋体" w:hAnsi="宋体"/>
          <w:i w:val="0"/>
          <w:iCs w:val="0"/>
          <w:snapToGrid w:val="0"/>
          <w:szCs w:val="24"/>
        </w:rPr>
        <w:t>3.3  投标文件的澄清和补正</w:t>
      </w:r>
      <w:r>
        <w:rPr>
          <w:i w:val="0"/>
          <w:iCs w:val="0"/>
        </w:rPr>
        <w:tab/>
      </w:r>
      <w:r>
        <w:rPr>
          <w:i w:val="0"/>
          <w:iCs w:val="0"/>
        </w:rPr>
        <w:fldChar w:fldCharType="begin"/>
      </w:r>
      <w:r>
        <w:rPr>
          <w:i w:val="0"/>
          <w:iCs w:val="0"/>
        </w:rPr>
        <w:instrText xml:space="preserve"> PAGEREF _Toc4032 \h </w:instrText>
      </w:r>
      <w:r>
        <w:rPr>
          <w:i w:val="0"/>
          <w:iCs w:val="0"/>
        </w:rPr>
        <w:fldChar w:fldCharType="separate"/>
      </w:r>
      <w:r>
        <w:rPr>
          <w:i w:val="0"/>
          <w:iCs w:val="0"/>
        </w:rPr>
        <w:t>85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_Toc8829 </w:instrText>
      </w:r>
      <w:r>
        <w:rPr>
          <w:rFonts w:ascii="宋体" w:hAnsi="宋体"/>
          <w:bCs/>
          <w:i w:val="0"/>
          <w:iCs w:val="0"/>
          <w:szCs w:val="20"/>
          <w:lang w:val="zh-CN"/>
        </w:rPr>
        <w:fldChar w:fldCharType="separate"/>
      </w:r>
      <w:r>
        <w:rPr>
          <w:rFonts w:ascii="宋体" w:hAnsi="宋体"/>
          <w:i w:val="0"/>
          <w:iCs w:val="0"/>
          <w:snapToGrid w:val="0"/>
          <w:szCs w:val="24"/>
        </w:rPr>
        <w:t>3.4  评标结果</w:t>
      </w:r>
      <w:r>
        <w:rPr>
          <w:i w:val="0"/>
          <w:iCs w:val="0"/>
        </w:rPr>
        <w:tab/>
      </w:r>
      <w:r>
        <w:rPr>
          <w:i w:val="0"/>
          <w:iCs w:val="0"/>
        </w:rPr>
        <w:fldChar w:fldCharType="begin"/>
      </w:r>
      <w:r>
        <w:rPr>
          <w:i w:val="0"/>
          <w:iCs w:val="0"/>
        </w:rPr>
        <w:instrText xml:space="preserve"> PAGEREF _Toc8829 \h </w:instrText>
      </w:r>
      <w:r>
        <w:rPr>
          <w:i w:val="0"/>
          <w:iCs w:val="0"/>
        </w:rPr>
        <w:fldChar w:fldCharType="separate"/>
      </w:r>
      <w:r>
        <w:rPr>
          <w:i w:val="0"/>
          <w:iCs w:val="0"/>
        </w:rPr>
        <w:t>85</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_Toc18777 </w:instrText>
      </w:r>
      <w:r>
        <w:rPr>
          <w:rFonts w:ascii="宋体" w:hAnsi="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_Toc18777 \h </w:instrText>
      </w:r>
      <w:r>
        <w:rPr>
          <w:i w:val="0"/>
          <w:iCs w:val="0"/>
        </w:rPr>
        <w:fldChar w:fldCharType="separate"/>
      </w:r>
      <w:r>
        <w:rPr>
          <w:i w:val="0"/>
          <w:iCs w:val="0"/>
        </w:rPr>
        <w:t>89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_Toc32160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第一部分 合同协议书</w:t>
      </w:r>
      <w:r>
        <w:rPr>
          <w:i w:val="0"/>
          <w:iCs w:val="0"/>
        </w:rPr>
        <w:tab/>
      </w:r>
      <w:r>
        <w:rPr>
          <w:i w:val="0"/>
          <w:iCs w:val="0"/>
        </w:rPr>
        <w:fldChar w:fldCharType="begin"/>
      </w:r>
      <w:r>
        <w:rPr>
          <w:i w:val="0"/>
          <w:iCs w:val="0"/>
        </w:rPr>
        <w:instrText xml:space="preserve"> PAGEREF _Toc32160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_Toc19956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一、工程概况</w:t>
      </w:r>
      <w:r>
        <w:rPr>
          <w:i w:val="0"/>
          <w:iCs w:val="0"/>
        </w:rPr>
        <w:tab/>
      </w:r>
      <w:r>
        <w:rPr>
          <w:i w:val="0"/>
          <w:iCs w:val="0"/>
        </w:rPr>
        <w:fldChar w:fldCharType="begin"/>
      </w:r>
      <w:r>
        <w:rPr>
          <w:i w:val="0"/>
          <w:iCs w:val="0"/>
        </w:rPr>
        <w:instrText xml:space="preserve"> PAGEREF _Toc19956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_Toc27756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二、合同工期</w:t>
      </w:r>
      <w:r>
        <w:rPr>
          <w:i w:val="0"/>
          <w:iCs w:val="0"/>
        </w:rPr>
        <w:tab/>
      </w:r>
      <w:r>
        <w:rPr>
          <w:i w:val="0"/>
          <w:iCs w:val="0"/>
        </w:rPr>
        <w:fldChar w:fldCharType="begin"/>
      </w:r>
      <w:r>
        <w:rPr>
          <w:i w:val="0"/>
          <w:iCs w:val="0"/>
        </w:rPr>
        <w:instrText xml:space="preserve"> PAGEREF _Toc27756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_Toc7637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三、质量标准</w:t>
      </w:r>
      <w:r>
        <w:rPr>
          <w:i w:val="0"/>
          <w:iCs w:val="0"/>
        </w:rPr>
        <w:tab/>
      </w:r>
      <w:r>
        <w:rPr>
          <w:i w:val="0"/>
          <w:iCs w:val="0"/>
        </w:rPr>
        <w:fldChar w:fldCharType="begin"/>
      </w:r>
      <w:r>
        <w:rPr>
          <w:i w:val="0"/>
          <w:iCs w:val="0"/>
        </w:rPr>
        <w:instrText xml:space="preserve"> PAGEREF _Toc7637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_Toc29079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四、签约合同价与合同价格形式</w:t>
      </w:r>
      <w:r>
        <w:rPr>
          <w:i w:val="0"/>
          <w:iCs w:val="0"/>
        </w:rPr>
        <w:tab/>
      </w:r>
      <w:r>
        <w:rPr>
          <w:i w:val="0"/>
          <w:iCs w:val="0"/>
        </w:rPr>
        <w:fldChar w:fldCharType="begin"/>
      </w:r>
      <w:r>
        <w:rPr>
          <w:i w:val="0"/>
          <w:iCs w:val="0"/>
        </w:rPr>
        <w:instrText xml:space="preserve"> PAGEREF _Toc29079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_Toc21257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五、工程总承包主要管理人员</w:t>
      </w:r>
      <w:r>
        <w:rPr>
          <w:i w:val="0"/>
          <w:iCs w:val="0"/>
        </w:rPr>
        <w:tab/>
      </w:r>
      <w:r>
        <w:rPr>
          <w:i w:val="0"/>
          <w:iCs w:val="0"/>
        </w:rPr>
        <w:fldChar w:fldCharType="begin"/>
      </w:r>
      <w:r>
        <w:rPr>
          <w:i w:val="0"/>
          <w:iCs w:val="0"/>
        </w:rPr>
        <w:instrText xml:space="preserve"> PAGEREF _Toc21257 \h </w:instrText>
      </w:r>
      <w:r>
        <w:rPr>
          <w:i w:val="0"/>
          <w:iCs w:val="0"/>
        </w:rPr>
        <w:fldChar w:fldCharType="separate"/>
      </w:r>
      <w:r>
        <w:rPr>
          <w:i w:val="0"/>
          <w:iCs w:val="0"/>
        </w:rPr>
        <w:t>91</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_Toc6780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六、合同文件构成</w:t>
      </w:r>
      <w:r>
        <w:rPr>
          <w:i w:val="0"/>
          <w:iCs w:val="0"/>
        </w:rPr>
        <w:tab/>
      </w:r>
      <w:r>
        <w:rPr>
          <w:i w:val="0"/>
          <w:iCs w:val="0"/>
        </w:rPr>
        <w:fldChar w:fldCharType="begin"/>
      </w:r>
      <w:r>
        <w:rPr>
          <w:i w:val="0"/>
          <w:iCs w:val="0"/>
        </w:rPr>
        <w:instrText xml:space="preserve"> PAGEREF _Toc6780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_Toc15097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七、承诺</w:t>
      </w:r>
      <w:r>
        <w:rPr>
          <w:i w:val="0"/>
          <w:iCs w:val="0"/>
        </w:rPr>
        <w:tab/>
      </w:r>
      <w:r>
        <w:rPr>
          <w:i w:val="0"/>
          <w:iCs w:val="0"/>
        </w:rPr>
        <w:fldChar w:fldCharType="begin"/>
      </w:r>
      <w:r>
        <w:rPr>
          <w:i w:val="0"/>
          <w:iCs w:val="0"/>
        </w:rPr>
        <w:instrText xml:space="preserve"> PAGEREF _Toc15097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_Toc1651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八、订立时间</w:t>
      </w:r>
      <w:r>
        <w:rPr>
          <w:i w:val="0"/>
          <w:iCs w:val="0"/>
        </w:rPr>
        <w:tab/>
      </w:r>
      <w:r>
        <w:rPr>
          <w:i w:val="0"/>
          <w:iCs w:val="0"/>
        </w:rPr>
        <w:fldChar w:fldCharType="begin"/>
      </w:r>
      <w:r>
        <w:rPr>
          <w:i w:val="0"/>
          <w:iCs w:val="0"/>
        </w:rPr>
        <w:instrText xml:space="preserve"> PAGEREF _Toc1651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_Toc10470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九、订立地点</w:t>
      </w:r>
      <w:r>
        <w:rPr>
          <w:i w:val="0"/>
          <w:iCs w:val="0"/>
        </w:rPr>
        <w:tab/>
      </w:r>
      <w:r>
        <w:rPr>
          <w:i w:val="0"/>
          <w:iCs w:val="0"/>
        </w:rPr>
        <w:fldChar w:fldCharType="begin"/>
      </w:r>
      <w:r>
        <w:rPr>
          <w:i w:val="0"/>
          <w:iCs w:val="0"/>
        </w:rPr>
        <w:instrText xml:space="preserve"> PAGEREF _Toc10470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_Toc20438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十、合同生效</w:t>
      </w:r>
      <w:r>
        <w:rPr>
          <w:i w:val="0"/>
          <w:iCs w:val="0"/>
        </w:rPr>
        <w:tab/>
      </w:r>
      <w:r>
        <w:rPr>
          <w:i w:val="0"/>
          <w:iCs w:val="0"/>
        </w:rPr>
        <w:fldChar w:fldCharType="begin"/>
      </w:r>
      <w:r>
        <w:rPr>
          <w:i w:val="0"/>
          <w:iCs w:val="0"/>
        </w:rPr>
        <w:instrText xml:space="preserve"> PAGEREF _Toc20438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_Toc6493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十一、合同份数</w:t>
      </w:r>
      <w:r>
        <w:rPr>
          <w:i w:val="0"/>
          <w:iCs w:val="0"/>
        </w:rPr>
        <w:tab/>
      </w:r>
      <w:r>
        <w:rPr>
          <w:i w:val="0"/>
          <w:iCs w:val="0"/>
        </w:rPr>
        <w:fldChar w:fldCharType="begin"/>
      </w:r>
      <w:r>
        <w:rPr>
          <w:i w:val="0"/>
          <w:iCs w:val="0"/>
        </w:rPr>
        <w:instrText xml:space="preserve"> PAGEREF _Toc6493 \h </w:instrText>
      </w:r>
      <w:r>
        <w:rPr>
          <w:i w:val="0"/>
          <w:iCs w:val="0"/>
        </w:rPr>
        <w:fldChar w:fldCharType="separate"/>
      </w:r>
      <w:r>
        <w:rPr>
          <w:i w:val="0"/>
          <w:iCs w:val="0"/>
        </w:rPr>
        <w:t>93</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_Toc1587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第二部分 通用合同条件</w:t>
      </w:r>
      <w:r>
        <w:rPr>
          <w:i w:val="0"/>
          <w:iCs w:val="0"/>
        </w:rPr>
        <w:tab/>
      </w:r>
      <w:r>
        <w:rPr>
          <w:i w:val="0"/>
          <w:iCs w:val="0"/>
        </w:rPr>
        <w:fldChar w:fldCharType="begin"/>
      </w:r>
      <w:r>
        <w:rPr>
          <w:i w:val="0"/>
          <w:iCs w:val="0"/>
        </w:rPr>
        <w:instrText xml:space="preserve"> PAGEREF _Toc1587 \h </w:instrText>
      </w:r>
      <w:r>
        <w:rPr>
          <w:i w:val="0"/>
          <w:iCs w:val="0"/>
        </w:rPr>
        <w:fldChar w:fldCharType="separate"/>
      </w:r>
      <w:r>
        <w:rPr>
          <w:i w:val="0"/>
          <w:iCs w:val="0"/>
        </w:rPr>
        <w:t>94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_Toc5659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第1条  一般约定</w:t>
      </w:r>
      <w:r>
        <w:rPr>
          <w:i w:val="0"/>
          <w:iCs w:val="0"/>
        </w:rPr>
        <w:tab/>
      </w:r>
      <w:r>
        <w:rPr>
          <w:i w:val="0"/>
          <w:iCs w:val="0"/>
        </w:rPr>
        <w:fldChar w:fldCharType="begin"/>
      </w:r>
      <w:r>
        <w:rPr>
          <w:i w:val="0"/>
          <w:iCs w:val="0"/>
        </w:rPr>
        <w:instrText xml:space="preserve"> PAGEREF _Toc5659 \h </w:instrText>
      </w:r>
      <w:r>
        <w:rPr>
          <w:i w:val="0"/>
          <w:iCs w:val="0"/>
        </w:rPr>
        <w:fldChar w:fldCharType="separate"/>
      </w:r>
      <w:r>
        <w:rPr>
          <w:i w:val="0"/>
          <w:iCs w:val="0"/>
        </w:rPr>
        <w:t>94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_Toc26372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第2条  发包人</w:t>
      </w:r>
      <w:r>
        <w:rPr>
          <w:i w:val="0"/>
          <w:iCs w:val="0"/>
        </w:rPr>
        <w:tab/>
      </w:r>
      <w:r>
        <w:rPr>
          <w:i w:val="0"/>
          <w:iCs w:val="0"/>
        </w:rPr>
        <w:fldChar w:fldCharType="begin"/>
      </w:r>
      <w:r>
        <w:rPr>
          <w:i w:val="0"/>
          <w:iCs w:val="0"/>
        </w:rPr>
        <w:instrText xml:space="preserve"> PAGEREF _Toc26372 \h </w:instrText>
      </w:r>
      <w:r>
        <w:rPr>
          <w:i w:val="0"/>
          <w:iCs w:val="0"/>
        </w:rPr>
        <w:fldChar w:fldCharType="separate"/>
      </w:r>
      <w:r>
        <w:rPr>
          <w:i w:val="0"/>
          <w:iCs w:val="0"/>
        </w:rPr>
        <w:t>102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第3条  发包人的管理</w:t>
      </w:r>
      <w:r>
        <w:rPr>
          <w:i w:val="0"/>
          <w:iCs w:val="0"/>
        </w:rPr>
        <w:tab/>
      </w:r>
      <w:r>
        <w:rPr>
          <w:i w:val="0"/>
          <w:iCs w:val="0"/>
        </w:rPr>
        <w:fldChar w:fldCharType="begin"/>
      </w:r>
      <w:r>
        <w:rPr>
          <w:i w:val="0"/>
          <w:iCs w:val="0"/>
        </w:rPr>
        <w:instrText xml:space="preserve"> PAGEREF _Toc1070 \h </w:instrText>
      </w:r>
      <w:r>
        <w:rPr>
          <w:i w:val="0"/>
          <w:iCs w:val="0"/>
        </w:rPr>
        <w:fldChar w:fldCharType="separate"/>
      </w:r>
      <w:r>
        <w:rPr>
          <w:i w:val="0"/>
          <w:iCs w:val="0"/>
        </w:rPr>
        <w:t>104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_Toc1924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第4条  承包人</w:t>
      </w:r>
      <w:r>
        <w:rPr>
          <w:i w:val="0"/>
          <w:iCs w:val="0"/>
        </w:rPr>
        <w:tab/>
      </w:r>
      <w:r>
        <w:rPr>
          <w:i w:val="0"/>
          <w:iCs w:val="0"/>
        </w:rPr>
        <w:fldChar w:fldCharType="begin"/>
      </w:r>
      <w:r>
        <w:rPr>
          <w:i w:val="0"/>
          <w:iCs w:val="0"/>
        </w:rPr>
        <w:instrText xml:space="preserve"> PAGEREF _Toc1924 \h </w:instrText>
      </w:r>
      <w:r>
        <w:rPr>
          <w:i w:val="0"/>
          <w:iCs w:val="0"/>
        </w:rPr>
        <w:fldChar w:fldCharType="separate"/>
      </w:r>
      <w:r>
        <w:rPr>
          <w:i w:val="0"/>
          <w:iCs w:val="0"/>
        </w:rPr>
        <w:t>106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_Toc29418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第5条  设计</w:t>
      </w:r>
      <w:r>
        <w:rPr>
          <w:i w:val="0"/>
          <w:iCs w:val="0"/>
        </w:rPr>
        <w:tab/>
      </w:r>
      <w:r>
        <w:rPr>
          <w:i w:val="0"/>
          <w:iCs w:val="0"/>
        </w:rPr>
        <w:fldChar w:fldCharType="begin"/>
      </w:r>
      <w:r>
        <w:rPr>
          <w:i w:val="0"/>
          <w:iCs w:val="0"/>
        </w:rPr>
        <w:instrText xml:space="preserve"> PAGEREF _Toc29418 \h </w:instrText>
      </w:r>
      <w:r>
        <w:rPr>
          <w:i w:val="0"/>
          <w:iCs w:val="0"/>
        </w:rPr>
        <w:fldChar w:fldCharType="separate"/>
      </w:r>
      <w:r>
        <w:rPr>
          <w:i w:val="0"/>
          <w:iCs w:val="0"/>
        </w:rPr>
        <w:t>111</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_Toc16804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第6条  材料、工程设备</w:t>
      </w:r>
      <w:r>
        <w:rPr>
          <w:i w:val="0"/>
          <w:iCs w:val="0"/>
        </w:rPr>
        <w:tab/>
      </w:r>
      <w:r>
        <w:rPr>
          <w:i w:val="0"/>
          <w:iCs w:val="0"/>
        </w:rPr>
        <w:fldChar w:fldCharType="begin"/>
      </w:r>
      <w:r>
        <w:rPr>
          <w:i w:val="0"/>
          <w:iCs w:val="0"/>
        </w:rPr>
        <w:instrText xml:space="preserve"> PAGEREF _Toc16804 \h </w:instrText>
      </w:r>
      <w:r>
        <w:rPr>
          <w:i w:val="0"/>
          <w:iCs w:val="0"/>
        </w:rPr>
        <w:fldChar w:fldCharType="separate"/>
      </w:r>
      <w:r>
        <w:rPr>
          <w:i w:val="0"/>
          <w:iCs w:val="0"/>
        </w:rPr>
        <w:t>114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_Toc18412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第7条  施工</w:t>
      </w:r>
      <w:r>
        <w:rPr>
          <w:i w:val="0"/>
          <w:iCs w:val="0"/>
        </w:rPr>
        <w:tab/>
      </w:r>
      <w:r>
        <w:rPr>
          <w:i w:val="0"/>
          <w:iCs w:val="0"/>
        </w:rPr>
        <w:fldChar w:fldCharType="begin"/>
      </w:r>
      <w:r>
        <w:rPr>
          <w:i w:val="0"/>
          <w:iCs w:val="0"/>
        </w:rPr>
        <w:instrText xml:space="preserve"> PAGEREF _Toc18412 \h </w:instrText>
      </w:r>
      <w:r>
        <w:rPr>
          <w:i w:val="0"/>
          <w:iCs w:val="0"/>
        </w:rPr>
        <w:fldChar w:fldCharType="separate"/>
      </w:r>
      <w:r>
        <w:rPr>
          <w:i w:val="0"/>
          <w:iCs w:val="0"/>
        </w:rPr>
        <w:t>120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_Toc19713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第8条  工期和进度</w:t>
      </w:r>
      <w:r>
        <w:rPr>
          <w:i w:val="0"/>
          <w:iCs w:val="0"/>
        </w:rPr>
        <w:tab/>
      </w:r>
      <w:r>
        <w:rPr>
          <w:i w:val="0"/>
          <w:iCs w:val="0"/>
        </w:rPr>
        <w:fldChar w:fldCharType="begin"/>
      </w:r>
      <w:r>
        <w:rPr>
          <w:i w:val="0"/>
          <w:iCs w:val="0"/>
        </w:rPr>
        <w:instrText xml:space="preserve"> PAGEREF _Toc19713 \h </w:instrText>
      </w:r>
      <w:r>
        <w:rPr>
          <w:i w:val="0"/>
          <w:iCs w:val="0"/>
        </w:rPr>
        <w:fldChar w:fldCharType="separate"/>
      </w:r>
      <w:r>
        <w:rPr>
          <w:i w:val="0"/>
          <w:iCs w:val="0"/>
        </w:rPr>
        <w:t>126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第9条  竣工试验</w:t>
      </w:r>
      <w:r>
        <w:rPr>
          <w:i w:val="0"/>
          <w:iCs w:val="0"/>
        </w:rPr>
        <w:tab/>
      </w:r>
      <w:r>
        <w:rPr>
          <w:i w:val="0"/>
          <w:iCs w:val="0"/>
        </w:rPr>
        <w:fldChar w:fldCharType="begin"/>
      </w:r>
      <w:r>
        <w:rPr>
          <w:i w:val="0"/>
          <w:iCs w:val="0"/>
        </w:rPr>
        <w:instrText xml:space="preserve"> PAGEREF _Toc854 \h </w:instrText>
      </w:r>
      <w:r>
        <w:rPr>
          <w:i w:val="0"/>
          <w:iCs w:val="0"/>
        </w:rPr>
        <w:fldChar w:fldCharType="separate"/>
      </w:r>
      <w:r>
        <w:rPr>
          <w:i w:val="0"/>
          <w:iCs w:val="0"/>
        </w:rPr>
        <w:t>131</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_Toc11235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第10条  验收和工程接收</w:t>
      </w:r>
      <w:r>
        <w:rPr>
          <w:i w:val="0"/>
          <w:iCs w:val="0"/>
        </w:rPr>
        <w:tab/>
      </w:r>
      <w:r>
        <w:rPr>
          <w:i w:val="0"/>
          <w:iCs w:val="0"/>
        </w:rPr>
        <w:fldChar w:fldCharType="begin"/>
      </w:r>
      <w:r>
        <w:rPr>
          <w:i w:val="0"/>
          <w:iCs w:val="0"/>
        </w:rPr>
        <w:instrText xml:space="preserve"> PAGEREF _Toc11235 \h </w:instrText>
      </w:r>
      <w:r>
        <w:rPr>
          <w:i w:val="0"/>
          <w:iCs w:val="0"/>
        </w:rPr>
        <w:fldChar w:fldCharType="separate"/>
      </w:r>
      <w:r>
        <w:rPr>
          <w:i w:val="0"/>
          <w:iCs w:val="0"/>
        </w:rPr>
        <w:t>133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_Toc10845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第11条  缺陷责任与保修</w:t>
      </w:r>
      <w:r>
        <w:rPr>
          <w:i w:val="0"/>
          <w:iCs w:val="0"/>
        </w:rPr>
        <w:tab/>
      </w:r>
      <w:r>
        <w:rPr>
          <w:i w:val="0"/>
          <w:iCs w:val="0"/>
        </w:rPr>
        <w:fldChar w:fldCharType="begin"/>
      </w:r>
      <w:r>
        <w:rPr>
          <w:i w:val="0"/>
          <w:iCs w:val="0"/>
        </w:rPr>
        <w:instrText xml:space="preserve"> PAGEREF _Toc10845 \h </w:instrText>
      </w:r>
      <w:r>
        <w:rPr>
          <w:i w:val="0"/>
          <w:iCs w:val="0"/>
        </w:rPr>
        <w:fldChar w:fldCharType="separate"/>
      </w:r>
      <w:r>
        <w:rPr>
          <w:i w:val="0"/>
          <w:iCs w:val="0"/>
        </w:rPr>
        <w:t>136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_Toc30464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第12条  竣工后试验</w:t>
      </w:r>
      <w:r>
        <w:rPr>
          <w:i w:val="0"/>
          <w:iCs w:val="0"/>
        </w:rPr>
        <w:tab/>
      </w:r>
      <w:r>
        <w:rPr>
          <w:i w:val="0"/>
          <w:iCs w:val="0"/>
        </w:rPr>
        <w:fldChar w:fldCharType="begin"/>
      </w:r>
      <w:r>
        <w:rPr>
          <w:i w:val="0"/>
          <w:iCs w:val="0"/>
        </w:rPr>
        <w:instrText xml:space="preserve"> PAGEREF _Toc30464 \h </w:instrText>
      </w:r>
      <w:r>
        <w:rPr>
          <w:i w:val="0"/>
          <w:iCs w:val="0"/>
        </w:rPr>
        <w:fldChar w:fldCharType="separate"/>
      </w:r>
      <w:r>
        <w:rPr>
          <w:i w:val="0"/>
          <w:iCs w:val="0"/>
        </w:rPr>
        <w:t>138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_Toc30147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第13条  变更与调整</w:t>
      </w:r>
      <w:r>
        <w:rPr>
          <w:i w:val="0"/>
          <w:iCs w:val="0"/>
        </w:rPr>
        <w:tab/>
      </w:r>
      <w:r>
        <w:rPr>
          <w:i w:val="0"/>
          <w:iCs w:val="0"/>
        </w:rPr>
        <w:fldChar w:fldCharType="begin"/>
      </w:r>
      <w:r>
        <w:rPr>
          <w:i w:val="0"/>
          <w:iCs w:val="0"/>
        </w:rPr>
        <w:instrText xml:space="preserve"> PAGEREF _Toc30147 \h </w:instrText>
      </w:r>
      <w:r>
        <w:rPr>
          <w:i w:val="0"/>
          <w:iCs w:val="0"/>
        </w:rPr>
        <w:fldChar w:fldCharType="separate"/>
      </w:r>
      <w:r>
        <w:rPr>
          <w:i w:val="0"/>
          <w:iCs w:val="0"/>
        </w:rPr>
        <w:t>139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_Toc31218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第14条  合同价格与支付</w:t>
      </w:r>
      <w:r>
        <w:rPr>
          <w:i w:val="0"/>
          <w:iCs w:val="0"/>
        </w:rPr>
        <w:tab/>
      </w:r>
      <w:r>
        <w:rPr>
          <w:i w:val="0"/>
          <w:iCs w:val="0"/>
        </w:rPr>
        <w:fldChar w:fldCharType="begin"/>
      </w:r>
      <w:r>
        <w:rPr>
          <w:i w:val="0"/>
          <w:iCs w:val="0"/>
        </w:rPr>
        <w:instrText xml:space="preserve"> PAGEREF _Toc31218 \h </w:instrText>
      </w:r>
      <w:r>
        <w:rPr>
          <w:i w:val="0"/>
          <w:iCs w:val="0"/>
        </w:rPr>
        <w:fldChar w:fldCharType="separate"/>
      </w:r>
      <w:r>
        <w:rPr>
          <w:i w:val="0"/>
          <w:iCs w:val="0"/>
        </w:rPr>
        <w:t>144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_Toc1234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第15条  违约</w:t>
      </w:r>
      <w:r>
        <w:rPr>
          <w:i w:val="0"/>
          <w:iCs w:val="0"/>
        </w:rPr>
        <w:tab/>
      </w:r>
      <w:r>
        <w:rPr>
          <w:i w:val="0"/>
          <w:iCs w:val="0"/>
        </w:rPr>
        <w:fldChar w:fldCharType="begin"/>
      </w:r>
      <w:r>
        <w:rPr>
          <w:i w:val="0"/>
          <w:iCs w:val="0"/>
        </w:rPr>
        <w:instrText xml:space="preserve"> PAGEREF _Toc1234 \h </w:instrText>
      </w:r>
      <w:r>
        <w:rPr>
          <w:i w:val="0"/>
          <w:iCs w:val="0"/>
        </w:rPr>
        <w:fldChar w:fldCharType="separate"/>
      </w:r>
      <w:r>
        <w:rPr>
          <w:i w:val="0"/>
          <w:iCs w:val="0"/>
        </w:rPr>
        <w:t>150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_Toc28335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第16条  合同解除</w:t>
      </w:r>
      <w:r>
        <w:rPr>
          <w:i w:val="0"/>
          <w:iCs w:val="0"/>
        </w:rPr>
        <w:tab/>
      </w:r>
      <w:r>
        <w:rPr>
          <w:i w:val="0"/>
          <w:iCs w:val="0"/>
        </w:rPr>
        <w:fldChar w:fldCharType="begin"/>
      </w:r>
      <w:r>
        <w:rPr>
          <w:i w:val="0"/>
          <w:iCs w:val="0"/>
        </w:rPr>
        <w:instrText xml:space="preserve"> PAGEREF _Toc28335 \h </w:instrText>
      </w:r>
      <w:r>
        <w:rPr>
          <w:i w:val="0"/>
          <w:iCs w:val="0"/>
        </w:rPr>
        <w:fldChar w:fldCharType="separate"/>
      </w:r>
      <w:r>
        <w:rPr>
          <w:i w:val="0"/>
          <w:iCs w:val="0"/>
        </w:rPr>
        <w:t>151</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_Toc22098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第17条  不可抗力</w:t>
      </w:r>
      <w:r>
        <w:rPr>
          <w:i w:val="0"/>
          <w:iCs w:val="0"/>
        </w:rPr>
        <w:tab/>
      </w:r>
      <w:r>
        <w:rPr>
          <w:i w:val="0"/>
          <w:iCs w:val="0"/>
        </w:rPr>
        <w:fldChar w:fldCharType="begin"/>
      </w:r>
      <w:r>
        <w:rPr>
          <w:i w:val="0"/>
          <w:iCs w:val="0"/>
        </w:rPr>
        <w:instrText xml:space="preserve"> PAGEREF _Toc22098 \h </w:instrText>
      </w:r>
      <w:r>
        <w:rPr>
          <w:i w:val="0"/>
          <w:iCs w:val="0"/>
        </w:rPr>
        <w:fldChar w:fldCharType="separate"/>
      </w:r>
      <w:r>
        <w:rPr>
          <w:i w:val="0"/>
          <w:iCs w:val="0"/>
        </w:rPr>
        <w:t>155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_Toc18974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第18条  保险</w:t>
      </w:r>
      <w:r>
        <w:rPr>
          <w:i w:val="0"/>
          <w:iCs w:val="0"/>
        </w:rPr>
        <w:tab/>
      </w:r>
      <w:r>
        <w:rPr>
          <w:i w:val="0"/>
          <w:iCs w:val="0"/>
        </w:rPr>
        <w:fldChar w:fldCharType="begin"/>
      </w:r>
      <w:r>
        <w:rPr>
          <w:i w:val="0"/>
          <w:iCs w:val="0"/>
        </w:rPr>
        <w:instrText xml:space="preserve"> PAGEREF _Toc18974 \h </w:instrText>
      </w:r>
      <w:r>
        <w:rPr>
          <w:i w:val="0"/>
          <w:iCs w:val="0"/>
        </w:rPr>
        <w:fldChar w:fldCharType="separate"/>
      </w:r>
      <w:r>
        <w:rPr>
          <w:i w:val="0"/>
          <w:iCs w:val="0"/>
        </w:rPr>
        <w:t>157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_Toc21261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第19条  索赔</w:t>
      </w:r>
      <w:r>
        <w:rPr>
          <w:i w:val="0"/>
          <w:iCs w:val="0"/>
        </w:rPr>
        <w:tab/>
      </w:r>
      <w:r>
        <w:rPr>
          <w:i w:val="0"/>
          <w:iCs w:val="0"/>
        </w:rPr>
        <w:fldChar w:fldCharType="begin"/>
      </w:r>
      <w:r>
        <w:rPr>
          <w:i w:val="0"/>
          <w:iCs w:val="0"/>
        </w:rPr>
        <w:instrText xml:space="preserve"> PAGEREF _Toc21261 \h </w:instrText>
      </w:r>
      <w:r>
        <w:rPr>
          <w:i w:val="0"/>
          <w:iCs w:val="0"/>
        </w:rPr>
        <w:fldChar w:fldCharType="separate"/>
      </w:r>
      <w:r>
        <w:rPr>
          <w:i w:val="0"/>
          <w:iCs w:val="0"/>
        </w:rPr>
        <w:t>158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_Toc2497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第20条  争议解决</w:t>
      </w:r>
      <w:r>
        <w:rPr>
          <w:i w:val="0"/>
          <w:iCs w:val="0"/>
        </w:rPr>
        <w:tab/>
      </w:r>
      <w:r>
        <w:rPr>
          <w:i w:val="0"/>
          <w:iCs w:val="0"/>
        </w:rPr>
        <w:fldChar w:fldCharType="begin"/>
      </w:r>
      <w:r>
        <w:rPr>
          <w:i w:val="0"/>
          <w:iCs w:val="0"/>
        </w:rPr>
        <w:instrText xml:space="preserve"> PAGEREF _Toc2497 \h </w:instrText>
      </w:r>
      <w:r>
        <w:rPr>
          <w:i w:val="0"/>
          <w:iCs w:val="0"/>
        </w:rPr>
        <w:fldChar w:fldCharType="separate"/>
      </w:r>
      <w:r>
        <w:rPr>
          <w:i w:val="0"/>
          <w:iCs w:val="0"/>
        </w:rPr>
        <w:t>160</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_Toc11388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第三部分 专用合同条件</w:t>
      </w:r>
      <w:r>
        <w:rPr>
          <w:i w:val="0"/>
          <w:iCs w:val="0"/>
        </w:rPr>
        <w:tab/>
      </w:r>
      <w:r>
        <w:rPr>
          <w:i w:val="0"/>
          <w:iCs w:val="0"/>
        </w:rPr>
        <w:fldChar w:fldCharType="begin"/>
      </w:r>
      <w:r>
        <w:rPr>
          <w:i w:val="0"/>
          <w:iCs w:val="0"/>
        </w:rPr>
        <w:instrText xml:space="preserve"> PAGEREF _Toc11388 \h </w:instrText>
      </w:r>
      <w:r>
        <w:rPr>
          <w:i w:val="0"/>
          <w:iCs w:val="0"/>
        </w:rPr>
        <w:fldChar w:fldCharType="separate"/>
      </w:r>
      <w:r>
        <w:rPr>
          <w:i w:val="0"/>
          <w:iCs w:val="0"/>
        </w:rPr>
        <w:t>162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_Toc16171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第1条 一般约定</w:t>
      </w:r>
      <w:r>
        <w:rPr>
          <w:i w:val="0"/>
          <w:iCs w:val="0"/>
        </w:rPr>
        <w:tab/>
      </w:r>
      <w:r>
        <w:rPr>
          <w:i w:val="0"/>
          <w:iCs w:val="0"/>
        </w:rPr>
        <w:fldChar w:fldCharType="begin"/>
      </w:r>
      <w:r>
        <w:rPr>
          <w:i w:val="0"/>
          <w:iCs w:val="0"/>
        </w:rPr>
        <w:instrText xml:space="preserve"> PAGEREF _Toc16171 \h </w:instrText>
      </w:r>
      <w:r>
        <w:rPr>
          <w:i w:val="0"/>
          <w:iCs w:val="0"/>
        </w:rPr>
        <w:fldChar w:fldCharType="separate"/>
      </w:r>
      <w:r>
        <w:rPr>
          <w:i w:val="0"/>
          <w:iCs w:val="0"/>
        </w:rPr>
        <w:t>162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_Toc13635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第2条 发包人</w:t>
      </w:r>
      <w:r>
        <w:rPr>
          <w:i w:val="0"/>
          <w:iCs w:val="0"/>
        </w:rPr>
        <w:tab/>
      </w:r>
      <w:r>
        <w:rPr>
          <w:i w:val="0"/>
          <w:iCs w:val="0"/>
        </w:rPr>
        <w:fldChar w:fldCharType="begin"/>
      </w:r>
      <w:r>
        <w:rPr>
          <w:i w:val="0"/>
          <w:iCs w:val="0"/>
        </w:rPr>
        <w:instrText xml:space="preserve"> PAGEREF _Toc13635 \h </w:instrText>
      </w:r>
      <w:r>
        <w:rPr>
          <w:i w:val="0"/>
          <w:iCs w:val="0"/>
        </w:rPr>
        <w:fldChar w:fldCharType="separate"/>
      </w:r>
      <w:r>
        <w:rPr>
          <w:i w:val="0"/>
          <w:iCs w:val="0"/>
        </w:rPr>
        <w:t>165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_Toc11324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第3条 发包人的管理</w:t>
      </w:r>
      <w:r>
        <w:rPr>
          <w:i w:val="0"/>
          <w:iCs w:val="0"/>
        </w:rPr>
        <w:tab/>
      </w:r>
      <w:r>
        <w:rPr>
          <w:i w:val="0"/>
          <w:iCs w:val="0"/>
        </w:rPr>
        <w:fldChar w:fldCharType="begin"/>
      </w:r>
      <w:r>
        <w:rPr>
          <w:i w:val="0"/>
          <w:iCs w:val="0"/>
        </w:rPr>
        <w:instrText xml:space="preserve"> PAGEREF _Toc11324 \h </w:instrText>
      </w:r>
      <w:r>
        <w:rPr>
          <w:i w:val="0"/>
          <w:iCs w:val="0"/>
        </w:rPr>
        <w:fldChar w:fldCharType="separate"/>
      </w:r>
      <w:r>
        <w:rPr>
          <w:i w:val="0"/>
          <w:iCs w:val="0"/>
        </w:rPr>
        <w:t>166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_Toc20609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第4条 承包人</w:t>
      </w:r>
      <w:r>
        <w:rPr>
          <w:i w:val="0"/>
          <w:iCs w:val="0"/>
        </w:rPr>
        <w:tab/>
      </w:r>
      <w:r>
        <w:rPr>
          <w:i w:val="0"/>
          <w:iCs w:val="0"/>
        </w:rPr>
        <w:fldChar w:fldCharType="begin"/>
      </w:r>
      <w:r>
        <w:rPr>
          <w:i w:val="0"/>
          <w:iCs w:val="0"/>
        </w:rPr>
        <w:instrText xml:space="preserve"> PAGEREF _Toc20609 \h </w:instrText>
      </w:r>
      <w:r>
        <w:rPr>
          <w:i w:val="0"/>
          <w:iCs w:val="0"/>
        </w:rPr>
        <w:fldChar w:fldCharType="separate"/>
      </w:r>
      <w:r>
        <w:rPr>
          <w:i w:val="0"/>
          <w:iCs w:val="0"/>
        </w:rPr>
        <w:t>168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_Toc18774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第5条 设计</w:t>
      </w:r>
      <w:r>
        <w:rPr>
          <w:i w:val="0"/>
          <w:iCs w:val="0"/>
        </w:rPr>
        <w:tab/>
      </w:r>
      <w:r>
        <w:rPr>
          <w:i w:val="0"/>
          <w:iCs w:val="0"/>
        </w:rPr>
        <w:fldChar w:fldCharType="begin"/>
      </w:r>
      <w:r>
        <w:rPr>
          <w:i w:val="0"/>
          <w:iCs w:val="0"/>
        </w:rPr>
        <w:instrText xml:space="preserve"> PAGEREF _Toc18774 \h </w:instrText>
      </w:r>
      <w:r>
        <w:rPr>
          <w:i w:val="0"/>
          <w:iCs w:val="0"/>
        </w:rPr>
        <w:fldChar w:fldCharType="separate"/>
      </w:r>
      <w:r>
        <w:rPr>
          <w:i w:val="0"/>
          <w:iCs w:val="0"/>
        </w:rPr>
        <w:t>174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_Toc27225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第6条 材料、工程设备</w:t>
      </w:r>
      <w:r>
        <w:rPr>
          <w:i w:val="0"/>
          <w:iCs w:val="0"/>
        </w:rPr>
        <w:tab/>
      </w:r>
      <w:r>
        <w:rPr>
          <w:i w:val="0"/>
          <w:iCs w:val="0"/>
        </w:rPr>
        <w:fldChar w:fldCharType="begin"/>
      </w:r>
      <w:r>
        <w:rPr>
          <w:i w:val="0"/>
          <w:iCs w:val="0"/>
        </w:rPr>
        <w:instrText xml:space="preserve"> PAGEREF _Toc27225 \h </w:instrText>
      </w:r>
      <w:r>
        <w:rPr>
          <w:i w:val="0"/>
          <w:iCs w:val="0"/>
        </w:rPr>
        <w:fldChar w:fldCharType="separate"/>
      </w:r>
      <w:r>
        <w:rPr>
          <w:i w:val="0"/>
          <w:iCs w:val="0"/>
        </w:rPr>
        <w:t>175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_Toc28535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第7条 施工</w:t>
      </w:r>
      <w:r>
        <w:rPr>
          <w:i w:val="0"/>
          <w:iCs w:val="0"/>
        </w:rPr>
        <w:tab/>
      </w:r>
      <w:r>
        <w:rPr>
          <w:i w:val="0"/>
          <w:iCs w:val="0"/>
        </w:rPr>
        <w:fldChar w:fldCharType="begin"/>
      </w:r>
      <w:r>
        <w:rPr>
          <w:i w:val="0"/>
          <w:iCs w:val="0"/>
        </w:rPr>
        <w:instrText xml:space="preserve"> PAGEREF _Toc28535 \h </w:instrText>
      </w:r>
      <w:r>
        <w:rPr>
          <w:i w:val="0"/>
          <w:iCs w:val="0"/>
        </w:rPr>
        <w:fldChar w:fldCharType="separate"/>
      </w:r>
      <w:r>
        <w:rPr>
          <w:i w:val="0"/>
          <w:iCs w:val="0"/>
        </w:rPr>
        <w:t>178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_Toc18327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第8条 工期和进度</w:t>
      </w:r>
      <w:r>
        <w:rPr>
          <w:i w:val="0"/>
          <w:iCs w:val="0"/>
        </w:rPr>
        <w:tab/>
      </w:r>
      <w:r>
        <w:rPr>
          <w:i w:val="0"/>
          <w:iCs w:val="0"/>
        </w:rPr>
        <w:fldChar w:fldCharType="begin"/>
      </w:r>
      <w:r>
        <w:rPr>
          <w:i w:val="0"/>
          <w:iCs w:val="0"/>
        </w:rPr>
        <w:instrText xml:space="preserve"> PAGEREF _Toc18327 \h </w:instrText>
      </w:r>
      <w:r>
        <w:rPr>
          <w:i w:val="0"/>
          <w:iCs w:val="0"/>
        </w:rPr>
        <w:fldChar w:fldCharType="separate"/>
      </w:r>
      <w:r>
        <w:rPr>
          <w:i w:val="0"/>
          <w:iCs w:val="0"/>
        </w:rPr>
        <w:t>180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_Toc26873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第9条 竣工试验</w:t>
      </w:r>
      <w:r>
        <w:rPr>
          <w:i w:val="0"/>
          <w:iCs w:val="0"/>
        </w:rPr>
        <w:tab/>
      </w:r>
      <w:r>
        <w:rPr>
          <w:i w:val="0"/>
          <w:iCs w:val="0"/>
        </w:rPr>
        <w:fldChar w:fldCharType="begin"/>
      </w:r>
      <w:r>
        <w:rPr>
          <w:i w:val="0"/>
          <w:iCs w:val="0"/>
        </w:rPr>
        <w:instrText xml:space="preserve"> PAGEREF _Toc26873 \h </w:instrText>
      </w:r>
      <w:r>
        <w:rPr>
          <w:i w:val="0"/>
          <w:iCs w:val="0"/>
        </w:rPr>
        <w:fldChar w:fldCharType="separate"/>
      </w:r>
      <w:r>
        <w:rPr>
          <w:i w:val="0"/>
          <w:iCs w:val="0"/>
        </w:rPr>
        <w:t>182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_Toc9985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第10条 验收和工程接收</w:t>
      </w:r>
      <w:r>
        <w:rPr>
          <w:i w:val="0"/>
          <w:iCs w:val="0"/>
        </w:rPr>
        <w:tab/>
      </w:r>
      <w:r>
        <w:rPr>
          <w:i w:val="0"/>
          <w:iCs w:val="0"/>
        </w:rPr>
        <w:fldChar w:fldCharType="begin"/>
      </w:r>
      <w:r>
        <w:rPr>
          <w:i w:val="0"/>
          <w:iCs w:val="0"/>
        </w:rPr>
        <w:instrText xml:space="preserve"> PAGEREF _Toc9985 \h </w:instrText>
      </w:r>
      <w:r>
        <w:rPr>
          <w:i w:val="0"/>
          <w:iCs w:val="0"/>
        </w:rPr>
        <w:fldChar w:fldCharType="separate"/>
      </w:r>
      <w:r>
        <w:rPr>
          <w:i w:val="0"/>
          <w:iCs w:val="0"/>
        </w:rPr>
        <w:t>182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_Toc26642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第11条 缺陷责任与保修</w:t>
      </w:r>
      <w:r>
        <w:rPr>
          <w:i w:val="0"/>
          <w:iCs w:val="0"/>
        </w:rPr>
        <w:tab/>
      </w:r>
      <w:r>
        <w:rPr>
          <w:i w:val="0"/>
          <w:iCs w:val="0"/>
        </w:rPr>
        <w:fldChar w:fldCharType="begin"/>
      </w:r>
      <w:r>
        <w:rPr>
          <w:i w:val="0"/>
          <w:iCs w:val="0"/>
        </w:rPr>
        <w:instrText xml:space="preserve"> PAGEREF _Toc26642 \h </w:instrText>
      </w:r>
      <w:r>
        <w:rPr>
          <w:i w:val="0"/>
          <w:iCs w:val="0"/>
        </w:rPr>
        <w:fldChar w:fldCharType="separate"/>
      </w:r>
      <w:r>
        <w:rPr>
          <w:i w:val="0"/>
          <w:iCs w:val="0"/>
        </w:rPr>
        <w:t>184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_Toc20050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第12条 竣工后试验</w:t>
      </w:r>
      <w:r>
        <w:rPr>
          <w:i w:val="0"/>
          <w:iCs w:val="0"/>
        </w:rPr>
        <w:tab/>
      </w:r>
      <w:r>
        <w:rPr>
          <w:i w:val="0"/>
          <w:iCs w:val="0"/>
        </w:rPr>
        <w:fldChar w:fldCharType="begin"/>
      </w:r>
      <w:r>
        <w:rPr>
          <w:i w:val="0"/>
          <w:iCs w:val="0"/>
        </w:rPr>
        <w:instrText xml:space="preserve"> PAGEREF _Toc20050 \h </w:instrText>
      </w:r>
      <w:r>
        <w:rPr>
          <w:i w:val="0"/>
          <w:iCs w:val="0"/>
        </w:rPr>
        <w:fldChar w:fldCharType="separate"/>
      </w:r>
      <w:r>
        <w:rPr>
          <w:i w:val="0"/>
          <w:iCs w:val="0"/>
        </w:rPr>
        <w:t>184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_Toc3692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第13条 变更与调整</w:t>
      </w:r>
      <w:r>
        <w:rPr>
          <w:i w:val="0"/>
          <w:iCs w:val="0"/>
        </w:rPr>
        <w:tab/>
      </w:r>
      <w:r>
        <w:rPr>
          <w:i w:val="0"/>
          <w:iCs w:val="0"/>
        </w:rPr>
        <w:fldChar w:fldCharType="begin"/>
      </w:r>
      <w:r>
        <w:rPr>
          <w:i w:val="0"/>
          <w:iCs w:val="0"/>
        </w:rPr>
        <w:instrText xml:space="preserve"> PAGEREF _Toc3692 \h </w:instrText>
      </w:r>
      <w:r>
        <w:rPr>
          <w:i w:val="0"/>
          <w:iCs w:val="0"/>
        </w:rPr>
        <w:fldChar w:fldCharType="separate"/>
      </w:r>
      <w:r>
        <w:rPr>
          <w:i w:val="0"/>
          <w:iCs w:val="0"/>
        </w:rPr>
        <w:t>184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_Toc26623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第14条 合同价格与支付</w:t>
      </w:r>
      <w:r>
        <w:rPr>
          <w:i w:val="0"/>
          <w:iCs w:val="0"/>
        </w:rPr>
        <w:tab/>
      </w:r>
      <w:r>
        <w:rPr>
          <w:i w:val="0"/>
          <w:iCs w:val="0"/>
        </w:rPr>
        <w:fldChar w:fldCharType="begin"/>
      </w:r>
      <w:r>
        <w:rPr>
          <w:i w:val="0"/>
          <w:iCs w:val="0"/>
        </w:rPr>
        <w:instrText xml:space="preserve"> PAGEREF _Toc26623 \h </w:instrText>
      </w:r>
      <w:r>
        <w:rPr>
          <w:i w:val="0"/>
          <w:iCs w:val="0"/>
        </w:rPr>
        <w:fldChar w:fldCharType="separate"/>
      </w:r>
      <w:r>
        <w:rPr>
          <w:i w:val="0"/>
          <w:iCs w:val="0"/>
        </w:rPr>
        <w:t>189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_Toc30286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第15条 违约</w:t>
      </w:r>
      <w:r>
        <w:rPr>
          <w:i w:val="0"/>
          <w:iCs w:val="0"/>
        </w:rPr>
        <w:tab/>
      </w:r>
      <w:r>
        <w:rPr>
          <w:i w:val="0"/>
          <w:iCs w:val="0"/>
        </w:rPr>
        <w:fldChar w:fldCharType="begin"/>
      </w:r>
      <w:r>
        <w:rPr>
          <w:i w:val="0"/>
          <w:iCs w:val="0"/>
        </w:rPr>
        <w:instrText xml:space="preserve"> PAGEREF _Toc30286 \h </w:instrText>
      </w:r>
      <w:r>
        <w:rPr>
          <w:i w:val="0"/>
          <w:iCs w:val="0"/>
        </w:rPr>
        <w:fldChar w:fldCharType="separate"/>
      </w:r>
      <w:r>
        <w:rPr>
          <w:i w:val="0"/>
          <w:iCs w:val="0"/>
        </w:rPr>
        <w:t>198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_Toc56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第16条 合同解除</w:t>
      </w:r>
      <w:r>
        <w:rPr>
          <w:i w:val="0"/>
          <w:iCs w:val="0"/>
        </w:rPr>
        <w:tab/>
      </w:r>
      <w:r>
        <w:rPr>
          <w:i w:val="0"/>
          <w:iCs w:val="0"/>
        </w:rPr>
        <w:fldChar w:fldCharType="begin"/>
      </w:r>
      <w:r>
        <w:rPr>
          <w:i w:val="0"/>
          <w:iCs w:val="0"/>
        </w:rPr>
        <w:instrText xml:space="preserve"> PAGEREF _Toc56 \h </w:instrText>
      </w:r>
      <w:r>
        <w:rPr>
          <w:i w:val="0"/>
          <w:iCs w:val="0"/>
        </w:rPr>
        <w:fldChar w:fldCharType="separate"/>
      </w:r>
      <w:r>
        <w:rPr>
          <w:i w:val="0"/>
          <w:iCs w:val="0"/>
        </w:rPr>
        <w:t>204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_Toc29226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第17条 不可抗力</w:t>
      </w:r>
      <w:r>
        <w:rPr>
          <w:i w:val="0"/>
          <w:iCs w:val="0"/>
        </w:rPr>
        <w:tab/>
      </w:r>
      <w:r>
        <w:rPr>
          <w:i w:val="0"/>
          <w:iCs w:val="0"/>
        </w:rPr>
        <w:fldChar w:fldCharType="begin"/>
      </w:r>
      <w:r>
        <w:rPr>
          <w:i w:val="0"/>
          <w:iCs w:val="0"/>
        </w:rPr>
        <w:instrText xml:space="preserve"> PAGEREF _Toc29226 \h </w:instrText>
      </w:r>
      <w:r>
        <w:rPr>
          <w:i w:val="0"/>
          <w:iCs w:val="0"/>
        </w:rPr>
        <w:fldChar w:fldCharType="separate"/>
      </w:r>
      <w:r>
        <w:rPr>
          <w:i w:val="0"/>
          <w:iCs w:val="0"/>
        </w:rPr>
        <w:t>205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_Toc8888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第18条 保险</w:t>
      </w:r>
      <w:r>
        <w:rPr>
          <w:i w:val="0"/>
          <w:iCs w:val="0"/>
        </w:rPr>
        <w:tab/>
      </w:r>
      <w:r>
        <w:rPr>
          <w:i w:val="0"/>
          <w:iCs w:val="0"/>
        </w:rPr>
        <w:fldChar w:fldCharType="begin"/>
      </w:r>
      <w:r>
        <w:rPr>
          <w:i w:val="0"/>
          <w:iCs w:val="0"/>
        </w:rPr>
        <w:instrText xml:space="preserve"> PAGEREF _Toc8888 \h </w:instrText>
      </w:r>
      <w:r>
        <w:rPr>
          <w:i w:val="0"/>
          <w:iCs w:val="0"/>
        </w:rPr>
        <w:fldChar w:fldCharType="separate"/>
      </w:r>
      <w:r>
        <w:rPr>
          <w:i w:val="0"/>
          <w:iCs w:val="0"/>
        </w:rPr>
        <w:t>205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_Toc7569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第19条 索赔</w:t>
      </w:r>
      <w:r>
        <w:rPr>
          <w:i w:val="0"/>
          <w:iCs w:val="0"/>
        </w:rPr>
        <w:tab/>
      </w:r>
      <w:r>
        <w:rPr>
          <w:i w:val="0"/>
          <w:iCs w:val="0"/>
        </w:rPr>
        <w:fldChar w:fldCharType="begin"/>
      </w:r>
      <w:r>
        <w:rPr>
          <w:i w:val="0"/>
          <w:iCs w:val="0"/>
        </w:rPr>
        <w:instrText xml:space="preserve"> PAGEREF _Toc7569 \h </w:instrText>
      </w:r>
      <w:r>
        <w:rPr>
          <w:i w:val="0"/>
          <w:iCs w:val="0"/>
        </w:rPr>
        <w:fldChar w:fldCharType="separate"/>
      </w:r>
      <w:r>
        <w:rPr>
          <w:i w:val="0"/>
          <w:iCs w:val="0"/>
        </w:rPr>
        <w:t>206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_Toc26730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第20条 争议解决</w:t>
      </w:r>
      <w:r>
        <w:rPr>
          <w:i w:val="0"/>
          <w:iCs w:val="0"/>
        </w:rPr>
        <w:tab/>
      </w:r>
      <w:r>
        <w:rPr>
          <w:i w:val="0"/>
          <w:iCs w:val="0"/>
        </w:rPr>
        <w:fldChar w:fldCharType="begin"/>
      </w:r>
      <w:r>
        <w:rPr>
          <w:i w:val="0"/>
          <w:iCs w:val="0"/>
        </w:rPr>
        <w:instrText xml:space="preserve"> PAGEREF _Toc26730 \h </w:instrText>
      </w:r>
      <w:r>
        <w:rPr>
          <w:i w:val="0"/>
          <w:iCs w:val="0"/>
        </w:rPr>
        <w:fldChar w:fldCharType="separate"/>
      </w:r>
      <w:r>
        <w:rPr>
          <w:i w:val="0"/>
          <w:iCs w:val="0"/>
        </w:rPr>
        <w:t>207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_Toc31473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第21条 补充条款</w:t>
      </w:r>
      <w:r>
        <w:rPr>
          <w:i w:val="0"/>
          <w:iCs w:val="0"/>
        </w:rPr>
        <w:tab/>
      </w:r>
      <w:r>
        <w:rPr>
          <w:i w:val="0"/>
          <w:iCs w:val="0"/>
        </w:rPr>
        <w:fldChar w:fldCharType="begin"/>
      </w:r>
      <w:r>
        <w:rPr>
          <w:i w:val="0"/>
          <w:iCs w:val="0"/>
        </w:rPr>
        <w:instrText xml:space="preserve"> PAGEREF _Toc31473 \h </w:instrText>
      </w:r>
      <w:r>
        <w:rPr>
          <w:i w:val="0"/>
          <w:iCs w:val="0"/>
        </w:rPr>
        <w:fldChar w:fldCharType="separate"/>
      </w:r>
      <w:r>
        <w:rPr>
          <w:i w:val="0"/>
          <w:iCs w:val="0"/>
        </w:rPr>
        <w:t>207</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_Toc29463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专用合同条件附件</w:t>
      </w:r>
      <w:r>
        <w:rPr>
          <w:i w:val="0"/>
          <w:iCs w:val="0"/>
        </w:rPr>
        <w:tab/>
      </w:r>
      <w:r>
        <w:rPr>
          <w:i w:val="0"/>
          <w:iCs w:val="0"/>
        </w:rPr>
        <w:fldChar w:fldCharType="begin"/>
      </w:r>
      <w:r>
        <w:rPr>
          <w:i w:val="0"/>
          <w:iCs w:val="0"/>
        </w:rPr>
        <w:instrText xml:space="preserve"> PAGEREF _Toc29463 \h </w:instrText>
      </w:r>
      <w:r>
        <w:rPr>
          <w:i w:val="0"/>
          <w:iCs w:val="0"/>
        </w:rPr>
        <w:fldChar w:fldCharType="separate"/>
      </w:r>
      <w:r>
        <w:rPr>
          <w:i w:val="0"/>
          <w:iCs w:val="0"/>
        </w:rPr>
        <w:t>209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_Toc1415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附件1  《发包人要求》</w:t>
      </w:r>
      <w:r>
        <w:rPr>
          <w:i w:val="0"/>
          <w:iCs w:val="0"/>
        </w:rPr>
        <w:tab/>
      </w:r>
      <w:r>
        <w:rPr>
          <w:i w:val="0"/>
          <w:iCs w:val="0"/>
        </w:rPr>
        <w:fldChar w:fldCharType="begin"/>
      </w:r>
      <w:r>
        <w:rPr>
          <w:i w:val="0"/>
          <w:iCs w:val="0"/>
        </w:rPr>
        <w:instrText xml:space="preserve"> PAGEREF _Toc1415 \h </w:instrText>
      </w:r>
      <w:r>
        <w:rPr>
          <w:i w:val="0"/>
          <w:iCs w:val="0"/>
        </w:rPr>
        <w:fldChar w:fldCharType="separate"/>
      </w:r>
      <w:r>
        <w:rPr>
          <w:i w:val="0"/>
          <w:iCs w:val="0"/>
        </w:rPr>
        <w:t>210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_Toc6595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附件2  发包人供应材料设备一览表</w:t>
      </w:r>
      <w:r>
        <w:rPr>
          <w:i w:val="0"/>
          <w:iCs w:val="0"/>
        </w:rPr>
        <w:tab/>
      </w:r>
      <w:r>
        <w:rPr>
          <w:i w:val="0"/>
          <w:iCs w:val="0"/>
        </w:rPr>
        <w:fldChar w:fldCharType="begin"/>
      </w:r>
      <w:r>
        <w:rPr>
          <w:i w:val="0"/>
          <w:iCs w:val="0"/>
        </w:rPr>
        <w:instrText xml:space="preserve"> PAGEREF _Toc6595 \h </w:instrText>
      </w:r>
      <w:r>
        <w:rPr>
          <w:i w:val="0"/>
          <w:iCs w:val="0"/>
        </w:rPr>
        <w:fldChar w:fldCharType="separate"/>
      </w:r>
      <w:r>
        <w:rPr>
          <w:i w:val="0"/>
          <w:iCs w:val="0"/>
        </w:rPr>
        <w:t>213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_Toc1497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附件3  工程质量保修书</w:t>
      </w:r>
      <w:r>
        <w:rPr>
          <w:i w:val="0"/>
          <w:iCs w:val="0"/>
        </w:rPr>
        <w:tab/>
      </w:r>
      <w:r>
        <w:rPr>
          <w:i w:val="0"/>
          <w:iCs w:val="0"/>
        </w:rPr>
        <w:fldChar w:fldCharType="begin"/>
      </w:r>
      <w:r>
        <w:rPr>
          <w:i w:val="0"/>
          <w:iCs w:val="0"/>
        </w:rPr>
        <w:instrText xml:space="preserve"> PAGEREF _Toc1497 \h </w:instrText>
      </w:r>
      <w:r>
        <w:rPr>
          <w:i w:val="0"/>
          <w:iCs w:val="0"/>
        </w:rPr>
        <w:fldChar w:fldCharType="separate"/>
      </w:r>
      <w:r>
        <w:rPr>
          <w:i w:val="0"/>
          <w:iCs w:val="0"/>
        </w:rPr>
        <w:t>214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_Toc25828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附件4  主要建设工程文件目录</w:t>
      </w:r>
      <w:r>
        <w:rPr>
          <w:i w:val="0"/>
          <w:iCs w:val="0"/>
        </w:rPr>
        <w:tab/>
      </w:r>
      <w:r>
        <w:rPr>
          <w:i w:val="0"/>
          <w:iCs w:val="0"/>
        </w:rPr>
        <w:fldChar w:fldCharType="begin"/>
      </w:r>
      <w:r>
        <w:rPr>
          <w:i w:val="0"/>
          <w:iCs w:val="0"/>
        </w:rPr>
        <w:instrText xml:space="preserve"> PAGEREF _Toc25828 \h </w:instrText>
      </w:r>
      <w:r>
        <w:rPr>
          <w:i w:val="0"/>
          <w:iCs w:val="0"/>
        </w:rPr>
        <w:fldChar w:fldCharType="separate"/>
      </w:r>
      <w:r>
        <w:rPr>
          <w:i w:val="0"/>
          <w:iCs w:val="0"/>
        </w:rPr>
        <w:t>216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_Toc17613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附件5  承包人主要管理人员表</w:t>
      </w:r>
      <w:r>
        <w:rPr>
          <w:i w:val="0"/>
          <w:iCs w:val="0"/>
        </w:rPr>
        <w:tab/>
      </w:r>
      <w:r>
        <w:rPr>
          <w:i w:val="0"/>
          <w:iCs w:val="0"/>
        </w:rPr>
        <w:fldChar w:fldCharType="begin"/>
      </w:r>
      <w:r>
        <w:rPr>
          <w:i w:val="0"/>
          <w:iCs w:val="0"/>
        </w:rPr>
        <w:instrText xml:space="preserve"> PAGEREF _Toc17613 \h </w:instrText>
      </w:r>
      <w:r>
        <w:rPr>
          <w:i w:val="0"/>
          <w:iCs w:val="0"/>
        </w:rPr>
        <w:fldChar w:fldCharType="separate"/>
      </w:r>
      <w:r>
        <w:rPr>
          <w:i w:val="0"/>
          <w:iCs w:val="0"/>
        </w:rPr>
        <w:t>217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_Toc14631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6</w:t>
      </w:r>
      <w:r>
        <w:rPr>
          <w:rFonts w:hint="eastAsia" w:ascii="宋体" w:hAnsi="宋体" w:cs="宋体"/>
          <w:i w:val="0"/>
          <w:iCs w:val="0"/>
          <w:kern w:val="0"/>
          <w:szCs w:val="21"/>
          <w:lang w:bidi="ar"/>
        </w:rPr>
        <w:t xml:space="preserve">  价格指数权重表</w:t>
      </w:r>
      <w:r>
        <w:rPr>
          <w:i w:val="0"/>
          <w:iCs w:val="0"/>
        </w:rPr>
        <w:tab/>
      </w:r>
      <w:r>
        <w:rPr>
          <w:i w:val="0"/>
          <w:iCs w:val="0"/>
        </w:rPr>
        <w:fldChar w:fldCharType="begin"/>
      </w:r>
      <w:r>
        <w:rPr>
          <w:i w:val="0"/>
          <w:iCs w:val="0"/>
        </w:rPr>
        <w:instrText xml:space="preserve"> PAGEREF _Toc14631 \h </w:instrText>
      </w:r>
      <w:r>
        <w:rPr>
          <w:i w:val="0"/>
          <w:iCs w:val="0"/>
        </w:rPr>
        <w:fldChar w:fldCharType="separate"/>
      </w:r>
      <w:r>
        <w:rPr>
          <w:i w:val="0"/>
          <w:iCs w:val="0"/>
        </w:rPr>
        <w:t>218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_Toc15946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7</w:t>
      </w:r>
      <w:r>
        <w:rPr>
          <w:rFonts w:hint="eastAsia" w:ascii="宋体" w:hAnsi="宋体" w:cs="宋体"/>
          <w:i w:val="0"/>
          <w:iCs w:val="0"/>
          <w:kern w:val="0"/>
          <w:szCs w:val="21"/>
          <w:lang w:val="en-US" w:eastAsia="zh-CN" w:bidi="ar"/>
        </w:rPr>
        <w:t xml:space="preserve">  </w:t>
      </w:r>
      <w:r>
        <w:rPr>
          <w:rFonts w:hint="eastAsia" w:ascii="宋体" w:hAnsi="宋体" w:cs="宋体"/>
          <w:i w:val="0"/>
          <w:iCs w:val="0"/>
          <w:kern w:val="0"/>
          <w:szCs w:val="21"/>
          <w:lang w:bidi="ar"/>
        </w:rPr>
        <w:t>专业工程暂估价表</w:t>
      </w:r>
      <w:r>
        <w:rPr>
          <w:i w:val="0"/>
          <w:iCs w:val="0"/>
        </w:rPr>
        <w:tab/>
      </w:r>
      <w:r>
        <w:rPr>
          <w:i w:val="0"/>
          <w:iCs w:val="0"/>
        </w:rPr>
        <w:fldChar w:fldCharType="begin"/>
      </w:r>
      <w:r>
        <w:rPr>
          <w:i w:val="0"/>
          <w:iCs w:val="0"/>
        </w:rPr>
        <w:instrText xml:space="preserve"> PAGEREF _Toc15946 \h </w:instrText>
      </w:r>
      <w:r>
        <w:rPr>
          <w:i w:val="0"/>
          <w:iCs w:val="0"/>
        </w:rPr>
        <w:fldChar w:fldCharType="separate"/>
      </w:r>
      <w:r>
        <w:rPr>
          <w:i w:val="0"/>
          <w:iCs w:val="0"/>
        </w:rPr>
        <w:t>219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_Toc27901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8</w:t>
      </w:r>
      <w:r>
        <w:rPr>
          <w:rFonts w:hint="eastAsia" w:ascii="宋体" w:hAnsi="宋体" w:cs="宋体"/>
          <w:i w:val="0"/>
          <w:iCs w:val="0"/>
          <w:kern w:val="0"/>
          <w:szCs w:val="21"/>
          <w:lang w:val="en-US" w:eastAsia="zh-CN" w:bidi="ar"/>
        </w:rPr>
        <w:t xml:space="preserve">  </w:t>
      </w:r>
      <w:r>
        <w:rPr>
          <w:rFonts w:hint="eastAsia" w:ascii="宋体" w:hAnsi="宋体" w:cs="宋体"/>
          <w:i w:val="0"/>
          <w:iCs w:val="0"/>
          <w:kern w:val="0"/>
          <w:szCs w:val="21"/>
          <w:lang w:bidi="ar"/>
        </w:rPr>
        <w:t>廉洁从业协议</w:t>
      </w:r>
      <w:r>
        <w:rPr>
          <w:i w:val="0"/>
          <w:iCs w:val="0"/>
        </w:rPr>
        <w:tab/>
      </w:r>
      <w:r>
        <w:rPr>
          <w:i w:val="0"/>
          <w:iCs w:val="0"/>
        </w:rPr>
        <w:fldChar w:fldCharType="begin"/>
      </w:r>
      <w:r>
        <w:rPr>
          <w:i w:val="0"/>
          <w:iCs w:val="0"/>
        </w:rPr>
        <w:instrText xml:space="preserve"> PAGEREF _Toc27901 \h </w:instrText>
      </w:r>
      <w:r>
        <w:rPr>
          <w:i w:val="0"/>
          <w:iCs w:val="0"/>
        </w:rPr>
        <w:fldChar w:fldCharType="separate"/>
      </w:r>
      <w:r>
        <w:rPr>
          <w:i w:val="0"/>
          <w:iCs w:val="0"/>
        </w:rPr>
        <w:t>220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_Toc14465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9</w:t>
      </w:r>
      <w:r>
        <w:rPr>
          <w:rFonts w:hint="eastAsia" w:ascii="宋体" w:hAnsi="宋体" w:cs="宋体"/>
          <w:i w:val="0"/>
          <w:iCs w:val="0"/>
          <w:kern w:val="0"/>
          <w:szCs w:val="21"/>
          <w:lang w:val="en-US" w:eastAsia="zh-CN" w:bidi="ar"/>
        </w:rPr>
        <w:t xml:space="preserve">  </w:t>
      </w:r>
      <w:r>
        <w:rPr>
          <w:rFonts w:hint="eastAsia" w:ascii="宋体" w:hAnsi="宋体" w:cs="宋体"/>
          <w:i w:val="0"/>
          <w:iCs w:val="0"/>
          <w:kern w:val="0"/>
          <w:szCs w:val="21"/>
          <w:lang w:bidi="ar"/>
        </w:rPr>
        <w:t>安全管理协议</w:t>
      </w:r>
      <w:r>
        <w:rPr>
          <w:i w:val="0"/>
          <w:iCs w:val="0"/>
        </w:rPr>
        <w:tab/>
      </w:r>
      <w:r>
        <w:rPr>
          <w:i w:val="0"/>
          <w:iCs w:val="0"/>
        </w:rPr>
        <w:fldChar w:fldCharType="begin"/>
      </w:r>
      <w:r>
        <w:rPr>
          <w:i w:val="0"/>
          <w:iCs w:val="0"/>
        </w:rPr>
        <w:instrText xml:space="preserve"> PAGEREF _Toc14465 \h </w:instrText>
      </w:r>
      <w:r>
        <w:rPr>
          <w:i w:val="0"/>
          <w:iCs w:val="0"/>
        </w:rPr>
        <w:fldChar w:fldCharType="separate"/>
      </w:r>
      <w:r>
        <w:rPr>
          <w:i w:val="0"/>
          <w:iCs w:val="0"/>
        </w:rPr>
        <w:t>222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_Toc22861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附件1</w:t>
      </w:r>
      <w:r>
        <w:rPr>
          <w:rFonts w:ascii="宋体" w:hAnsi="宋体" w:cs="宋体"/>
          <w:i w:val="0"/>
          <w:iCs w:val="0"/>
          <w:kern w:val="0"/>
          <w:szCs w:val="21"/>
          <w:lang w:bidi="ar"/>
        </w:rPr>
        <w:t>0</w:t>
      </w:r>
      <w:r>
        <w:rPr>
          <w:rFonts w:hint="eastAsia" w:ascii="宋体" w:hAnsi="宋体" w:cs="宋体"/>
          <w:i w:val="0"/>
          <w:iCs w:val="0"/>
          <w:kern w:val="0"/>
          <w:szCs w:val="21"/>
          <w:lang w:bidi="ar"/>
        </w:rPr>
        <w:t xml:space="preserve"> 保障建筑工人工资支付协议</w:t>
      </w:r>
      <w:r>
        <w:rPr>
          <w:i w:val="0"/>
          <w:iCs w:val="0"/>
        </w:rPr>
        <w:tab/>
      </w:r>
      <w:r>
        <w:rPr>
          <w:i w:val="0"/>
          <w:iCs w:val="0"/>
        </w:rPr>
        <w:fldChar w:fldCharType="begin"/>
      </w:r>
      <w:r>
        <w:rPr>
          <w:i w:val="0"/>
          <w:iCs w:val="0"/>
        </w:rPr>
        <w:instrText xml:space="preserve"> PAGEREF _Toc22861 \h </w:instrText>
      </w:r>
      <w:r>
        <w:rPr>
          <w:i w:val="0"/>
          <w:iCs w:val="0"/>
        </w:rPr>
        <w:fldChar w:fldCharType="separate"/>
      </w:r>
      <w:r>
        <w:rPr>
          <w:i w:val="0"/>
          <w:iCs w:val="0"/>
        </w:rPr>
        <w:t>230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_Toc3660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hint="eastAsia" w:ascii="宋体" w:hAnsi="宋体" w:cs="宋体"/>
          <w:i w:val="0"/>
          <w:iCs w:val="0"/>
          <w:kern w:val="0"/>
          <w:szCs w:val="21"/>
          <w:lang w:val="en-US" w:eastAsia="zh-CN" w:bidi="ar"/>
        </w:rPr>
        <w:t>11</w:t>
      </w:r>
      <w:r>
        <w:rPr>
          <w:rFonts w:hint="eastAsia" w:ascii="宋体" w:hAnsi="宋体" w:cs="宋体"/>
          <w:i w:val="0"/>
          <w:iCs w:val="0"/>
          <w:kern w:val="0"/>
          <w:szCs w:val="21"/>
          <w:lang w:bidi="ar"/>
        </w:rPr>
        <w:t xml:space="preserve"> </w:t>
      </w:r>
      <w:r>
        <w:rPr>
          <w:rFonts w:hint="eastAsia" w:ascii="宋体" w:hAnsi="宋体" w:cs="宋体"/>
          <w:i w:val="0"/>
          <w:iCs w:val="0"/>
          <w:kern w:val="0"/>
          <w:szCs w:val="21"/>
          <w:lang w:eastAsia="zh-CN" w:bidi="ar"/>
        </w:rPr>
        <w:t>履约担保</w:t>
      </w:r>
      <w:r>
        <w:rPr>
          <w:rFonts w:hint="eastAsia" w:ascii="宋体" w:hAnsi="宋体" w:cs="宋体"/>
          <w:i w:val="0"/>
          <w:iCs w:val="0"/>
          <w:kern w:val="0"/>
          <w:szCs w:val="21"/>
          <w:lang w:bidi="ar"/>
        </w:rPr>
        <w:t>（如有）</w:t>
      </w:r>
      <w:r>
        <w:rPr>
          <w:i w:val="0"/>
          <w:iCs w:val="0"/>
        </w:rPr>
        <w:tab/>
      </w:r>
      <w:r>
        <w:rPr>
          <w:i w:val="0"/>
          <w:iCs w:val="0"/>
        </w:rPr>
        <w:fldChar w:fldCharType="begin"/>
      </w:r>
      <w:r>
        <w:rPr>
          <w:i w:val="0"/>
          <w:iCs w:val="0"/>
        </w:rPr>
        <w:instrText xml:space="preserve"> PAGEREF _Toc3660 \h </w:instrText>
      </w:r>
      <w:r>
        <w:rPr>
          <w:i w:val="0"/>
          <w:iCs w:val="0"/>
        </w:rPr>
        <w:fldChar w:fldCharType="separate"/>
      </w:r>
      <w:r>
        <w:rPr>
          <w:i w:val="0"/>
          <w:iCs w:val="0"/>
        </w:rPr>
        <w:t>233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_Toc3473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hint="eastAsia" w:ascii="宋体" w:hAnsi="宋体" w:cs="宋体"/>
          <w:i w:val="0"/>
          <w:iCs w:val="0"/>
          <w:kern w:val="0"/>
          <w:szCs w:val="21"/>
          <w:lang w:val="en-US" w:eastAsia="zh-CN" w:bidi="ar"/>
        </w:rPr>
        <w:t>12</w:t>
      </w:r>
      <w:r>
        <w:rPr>
          <w:rFonts w:hint="eastAsia" w:ascii="宋体" w:hAnsi="宋体" w:cs="宋体"/>
          <w:i w:val="0"/>
          <w:iCs w:val="0"/>
          <w:kern w:val="0"/>
          <w:szCs w:val="21"/>
          <w:lang w:bidi="ar"/>
        </w:rPr>
        <w:t xml:space="preserve"> </w:t>
      </w:r>
      <w:r>
        <w:rPr>
          <w:rFonts w:hint="eastAsia" w:ascii="宋体" w:hAnsi="宋体" w:cs="宋体"/>
          <w:i w:val="0"/>
          <w:iCs w:val="0"/>
          <w:kern w:val="0"/>
          <w:szCs w:val="21"/>
          <w:lang w:eastAsia="zh-CN" w:bidi="ar"/>
        </w:rPr>
        <w:t>质量保证金保函</w:t>
      </w:r>
      <w:r>
        <w:rPr>
          <w:rFonts w:hint="eastAsia" w:ascii="宋体" w:hAnsi="宋体" w:cs="宋体"/>
          <w:i w:val="0"/>
          <w:iCs w:val="0"/>
          <w:kern w:val="0"/>
          <w:szCs w:val="21"/>
          <w:lang w:bidi="ar"/>
        </w:rPr>
        <w:t>（如有）</w:t>
      </w:r>
      <w:r>
        <w:rPr>
          <w:i w:val="0"/>
          <w:iCs w:val="0"/>
        </w:rPr>
        <w:tab/>
      </w:r>
      <w:r>
        <w:rPr>
          <w:i w:val="0"/>
          <w:iCs w:val="0"/>
        </w:rPr>
        <w:fldChar w:fldCharType="begin"/>
      </w:r>
      <w:r>
        <w:rPr>
          <w:i w:val="0"/>
          <w:iCs w:val="0"/>
        </w:rPr>
        <w:instrText xml:space="preserve"> PAGEREF _Toc3473 \h </w:instrText>
      </w:r>
      <w:r>
        <w:rPr>
          <w:i w:val="0"/>
          <w:iCs w:val="0"/>
        </w:rPr>
        <w:fldChar w:fldCharType="separate"/>
      </w:r>
      <w:r>
        <w:rPr>
          <w:i w:val="0"/>
          <w:iCs w:val="0"/>
        </w:rPr>
        <w:t>235</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_Toc26493 </w:instrText>
      </w:r>
      <w:r>
        <w:rPr>
          <w:rFonts w:ascii="宋体" w:hAnsi="宋体"/>
          <w:bCs/>
          <w:i w:val="0"/>
          <w:iCs w:val="0"/>
          <w:szCs w:val="20"/>
          <w:lang w:val="zh-CN"/>
        </w:rPr>
        <w:fldChar w:fldCharType="separate"/>
      </w:r>
      <w:r>
        <w:rPr>
          <w:rFonts w:hint="eastAsia" w:ascii="宋体" w:hAnsi="宋体"/>
          <w:i w:val="0"/>
          <w:iCs w:val="0"/>
        </w:rPr>
        <w:t xml:space="preserve">第五章  </w:t>
      </w:r>
      <w:r>
        <w:rPr>
          <w:rFonts w:hint="eastAsia"/>
          <w:i w:val="0"/>
          <w:iCs w:val="0"/>
        </w:rPr>
        <w:t>工程量清单（如有）</w:t>
      </w:r>
      <w:r>
        <w:rPr>
          <w:i w:val="0"/>
          <w:iCs w:val="0"/>
        </w:rPr>
        <w:tab/>
      </w:r>
      <w:r>
        <w:rPr>
          <w:i w:val="0"/>
          <w:iCs w:val="0"/>
        </w:rPr>
        <w:fldChar w:fldCharType="begin"/>
      </w:r>
      <w:r>
        <w:rPr>
          <w:i w:val="0"/>
          <w:iCs w:val="0"/>
        </w:rPr>
        <w:instrText xml:space="preserve"> PAGEREF _Toc26493 \h </w:instrText>
      </w:r>
      <w:r>
        <w:rPr>
          <w:i w:val="0"/>
          <w:iCs w:val="0"/>
        </w:rPr>
        <w:fldChar w:fldCharType="separate"/>
      </w:r>
      <w:r>
        <w:rPr>
          <w:i w:val="0"/>
          <w:iCs w:val="0"/>
        </w:rPr>
        <w:t>237</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_Toc4571 </w:instrText>
      </w:r>
      <w:r>
        <w:rPr>
          <w:rFonts w:ascii="宋体" w:hAnsi="宋体"/>
          <w:bCs/>
          <w:i w:val="0"/>
          <w:iCs w:val="0"/>
          <w:szCs w:val="20"/>
          <w:lang w:val="zh-CN"/>
        </w:rPr>
        <w:fldChar w:fldCharType="separate"/>
      </w:r>
      <w:r>
        <w:rPr>
          <w:rFonts w:hint="eastAsia" w:ascii="宋体" w:hAnsi="宋体"/>
          <w:i w:val="0"/>
          <w:iCs w:val="0"/>
        </w:rPr>
        <w:t xml:space="preserve">第六章  </w:t>
      </w:r>
      <w:r>
        <w:rPr>
          <w:rFonts w:hint="eastAsia"/>
          <w:i w:val="0"/>
          <w:iCs w:val="0"/>
        </w:rPr>
        <w:t>发包人要求</w:t>
      </w:r>
      <w:r>
        <w:rPr>
          <w:i w:val="0"/>
          <w:iCs w:val="0"/>
        </w:rPr>
        <w:tab/>
      </w:r>
      <w:r>
        <w:rPr>
          <w:i w:val="0"/>
          <w:iCs w:val="0"/>
        </w:rPr>
        <w:fldChar w:fldCharType="begin"/>
      </w:r>
      <w:r>
        <w:rPr>
          <w:i w:val="0"/>
          <w:iCs w:val="0"/>
        </w:rPr>
        <w:instrText xml:space="preserve"> PAGEREF _Toc4571 \h </w:instrText>
      </w:r>
      <w:r>
        <w:rPr>
          <w:i w:val="0"/>
          <w:iCs w:val="0"/>
        </w:rPr>
        <w:fldChar w:fldCharType="separate"/>
      </w:r>
      <w:r>
        <w:rPr>
          <w:i w:val="0"/>
          <w:iCs w:val="0"/>
        </w:rPr>
        <w:t>238</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_Toc27920 </w:instrText>
      </w:r>
      <w:r>
        <w:rPr>
          <w:rFonts w:ascii="宋体" w:hAnsi="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_Toc27920 \h </w:instrText>
      </w:r>
      <w:r>
        <w:rPr>
          <w:i w:val="0"/>
          <w:iCs w:val="0"/>
        </w:rPr>
        <w:fldChar w:fldCharType="separate"/>
      </w:r>
      <w:r>
        <w:rPr>
          <w:i w:val="0"/>
          <w:iCs w:val="0"/>
        </w:rPr>
        <w:t>239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_Toc1145 </w:instrText>
      </w:r>
      <w:r>
        <w:rPr>
          <w:rFonts w:ascii="宋体" w:hAnsi="宋体"/>
          <w:bCs/>
          <w:i w:val="0"/>
          <w:iCs w:val="0"/>
          <w:szCs w:val="20"/>
          <w:lang w:val="zh-CN"/>
        </w:rPr>
        <w:fldChar w:fldCharType="separate"/>
      </w:r>
      <w:r>
        <w:rPr>
          <w:rFonts w:hint="eastAsia" w:ascii="宋体" w:hAnsi="宋体"/>
          <w:i w:val="0"/>
          <w:iCs w:val="0"/>
        </w:rPr>
        <w:t xml:space="preserve">第七章  </w:t>
      </w:r>
      <w:r>
        <w:rPr>
          <w:rFonts w:hint="eastAsia"/>
          <w:i w:val="0"/>
          <w:iCs w:val="0"/>
        </w:rPr>
        <w:t>发包人提供的资料</w:t>
      </w:r>
      <w:r>
        <w:rPr>
          <w:i w:val="0"/>
          <w:iCs w:val="0"/>
        </w:rPr>
        <w:tab/>
      </w:r>
      <w:r>
        <w:rPr>
          <w:i w:val="0"/>
          <w:iCs w:val="0"/>
        </w:rPr>
        <w:fldChar w:fldCharType="begin"/>
      </w:r>
      <w:r>
        <w:rPr>
          <w:i w:val="0"/>
          <w:iCs w:val="0"/>
        </w:rPr>
        <w:instrText xml:space="preserve"> PAGEREF _Toc1145 \h </w:instrText>
      </w:r>
      <w:r>
        <w:rPr>
          <w:i w:val="0"/>
          <w:iCs w:val="0"/>
        </w:rPr>
        <w:fldChar w:fldCharType="separate"/>
      </w:r>
      <w:r>
        <w:rPr>
          <w:i w:val="0"/>
          <w:iCs w:val="0"/>
        </w:rPr>
        <w:t>240</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_Toc23381 </w:instrText>
      </w:r>
      <w:r>
        <w:rPr>
          <w:rFonts w:ascii="宋体" w:hAnsi="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_Toc23381 \h </w:instrText>
      </w:r>
      <w:r>
        <w:rPr>
          <w:i w:val="0"/>
          <w:iCs w:val="0"/>
        </w:rPr>
        <w:fldChar w:fldCharType="separate"/>
      </w:r>
      <w:r>
        <w:rPr>
          <w:i w:val="0"/>
          <w:iCs w:val="0"/>
        </w:rPr>
        <w:t>241</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_Toc30442 </w:instrText>
      </w:r>
      <w:r>
        <w:rPr>
          <w:rFonts w:ascii="宋体" w:hAnsi="宋体"/>
          <w:bCs/>
          <w:i w:val="0"/>
          <w:iCs w:val="0"/>
          <w:szCs w:val="20"/>
          <w:lang w:val="zh-CN"/>
        </w:rPr>
        <w:fldChar w:fldCharType="separate"/>
      </w:r>
      <w:r>
        <w:rPr>
          <w:rFonts w:hint="eastAsia" w:ascii="宋体" w:hAnsi="宋体"/>
          <w:i w:val="0"/>
          <w:iCs w:val="0"/>
        </w:rPr>
        <w:t>第八章  投标文件格式</w:t>
      </w:r>
      <w:r>
        <w:rPr>
          <w:i w:val="0"/>
          <w:iCs w:val="0"/>
        </w:rPr>
        <w:tab/>
      </w:r>
      <w:r>
        <w:rPr>
          <w:i w:val="0"/>
          <w:iCs w:val="0"/>
        </w:rPr>
        <w:fldChar w:fldCharType="begin"/>
      </w:r>
      <w:r>
        <w:rPr>
          <w:i w:val="0"/>
          <w:iCs w:val="0"/>
        </w:rPr>
        <w:instrText xml:space="preserve"> PAGEREF _Toc30442 \h </w:instrText>
      </w:r>
      <w:r>
        <w:rPr>
          <w:i w:val="0"/>
          <w:iCs w:val="0"/>
        </w:rPr>
        <w:fldChar w:fldCharType="separate"/>
      </w:r>
      <w:r>
        <w:rPr>
          <w:i w:val="0"/>
          <w:iCs w:val="0"/>
        </w:rPr>
        <w:t>242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_Toc7517 </w:instrText>
      </w:r>
      <w:r>
        <w:rPr>
          <w:rFonts w:ascii="宋体" w:hAnsi="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_Toc7517 \h </w:instrText>
      </w:r>
      <w:r>
        <w:rPr>
          <w:i w:val="0"/>
          <w:iCs w:val="0"/>
        </w:rPr>
        <w:fldChar w:fldCharType="separate"/>
      </w:r>
      <w:r>
        <w:rPr>
          <w:i w:val="0"/>
          <w:iCs w:val="0"/>
        </w:rPr>
        <w:t>244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_Toc29027 </w:instrText>
      </w:r>
      <w:r>
        <w:rPr>
          <w:rFonts w:ascii="宋体" w:hAnsi="宋体"/>
          <w:bCs/>
          <w:i w:val="0"/>
          <w:iCs w:val="0"/>
          <w:szCs w:val="20"/>
          <w:lang w:val="zh-CN"/>
        </w:rPr>
        <w:fldChar w:fldCharType="separate"/>
      </w:r>
      <w:r>
        <w:rPr>
          <w:rFonts w:hint="eastAsia" w:ascii="宋体" w:hAnsi="宋体"/>
          <w:bCs w:val="0"/>
          <w:i w:val="0"/>
          <w:iCs w:val="0"/>
          <w:szCs w:val="44"/>
        </w:rPr>
        <w:t>二、</w:t>
      </w:r>
      <w:r>
        <w:rPr>
          <w:rFonts w:hint="eastAsia" w:ascii="宋体" w:hAnsi="宋体"/>
          <w:bCs w:val="0"/>
          <w:i w:val="0"/>
          <w:iCs w:val="0"/>
          <w:szCs w:val="44"/>
          <w:lang w:val="en-US" w:eastAsia="zh-CN"/>
        </w:rPr>
        <w:t>报价</w:t>
      </w:r>
      <w:r>
        <w:rPr>
          <w:rFonts w:hint="eastAsia" w:ascii="宋体" w:hAnsi="宋体"/>
          <w:bCs w:val="0"/>
          <w:i w:val="0"/>
          <w:iCs w:val="0"/>
          <w:szCs w:val="44"/>
        </w:rPr>
        <w:t>部分</w:t>
      </w:r>
      <w:r>
        <w:rPr>
          <w:i w:val="0"/>
          <w:iCs w:val="0"/>
        </w:rPr>
        <w:tab/>
      </w:r>
      <w:r>
        <w:rPr>
          <w:i w:val="0"/>
          <w:iCs w:val="0"/>
        </w:rPr>
        <w:fldChar w:fldCharType="begin"/>
      </w:r>
      <w:r>
        <w:rPr>
          <w:i w:val="0"/>
          <w:iCs w:val="0"/>
        </w:rPr>
        <w:instrText xml:space="preserve"> PAGEREF _Toc29027 \h </w:instrText>
      </w:r>
      <w:r>
        <w:rPr>
          <w:i w:val="0"/>
          <w:iCs w:val="0"/>
        </w:rPr>
        <w:fldChar w:fldCharType="separate"/>
      </w:r>
      <w:r>
        <w:rPr>
          <w:i w:val="0"/>
          <w:iCs w:val="0"/>
        </w:rPr>
        <w:t>253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_Toc18017 </w:instrText>
      </w:r>
      <w:r>
        <w:rPr>
          <w:rFonts w:ascii="宋体" w:hAnsi="宋体"/>
          <w:bCs/>
          <w:i w:val="0"/>
          <w:iCs w:val="0"/>
          <w:szCs w:val="20"/>
          <w:lang w:val="zh-CN"/>
        </w:rPr>
        <w:fldChar w:fldCharType="separate"/>
      </w:r>
      <w:r>
        <w:rPr>
          <w:rFonts w:hint="eastAsia" w:ascii="宋体" w:hAnsi="宋体"/>
          <w:bCs w:val="0"/>
          <w:i w:val="0"/>
          <w:iCs w:val="0"/>
          <w:szCs w:val="44"/>
        </w:rPr>
        <w:t>三、商务部分</w:t>
      </w:r>
      <w:r>
        <w:rPr>
          <w:i w:val="0"/>
          <w:iCs w:val="0"/>
        </w:rPr>
        <w:tab/>
      </w:r>
      <w:r>
        <w:rPr>
          <w:i w:val="0"/>
          <w:iCs w:val="0"/>
        </w:rPr>
        <w:fldChar w:fldCharType="begin"/>
      </w:r>
      <w:r>
        <w:rPr>
          <w:i w:val="0"/>
          <w:iCs w:val="0"/>
        </w:rPr>
        <w:instrText xml:space="preserve"> PAGEREF _Toc18017 \h </w:instrText>
      </w:r>
      <w:r>
        <w:rPr>
          <w:i w:val="0"/>
          <w:iCs w:val="0"/>
        </w:rPr>
        <w:fldChar w:fldCharType="separate"/>
      </w:r>
      <w:r>
        <w:rPr>
          <w:i w:val="0"/>
          <w:iCs w:val="0"/>
        </w:rPr>
        <w:t>256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_Toc28868 </w:instrText>
      </w:r>
      <w:r>
        <w:rPr>
          <w:rFonts w:ascii="宋体" w:hAnsi="宋体"/>
          <w:bCs/>
          <w:i w:val="0"/>
          <w:iCs w:val="0"/>
          <w:szCs w:val="20"/>
          <w:lang w:val="zh-CN"/>
        </w:rPr>
        <w:fldChar w:fldCharType="separate"/>
      </w:r>
      <w:r>
        <w:rPr>
          <w:rFonts w:hint="eastAsia" w:ascii="宋体" w:hAnsi="宋体"/>
          <w:bCs w:val="0"/>
          <w:i w:val="0"/>
          <w:iCs w:val="0"/>
          <w:szCs w:val="44"/>
        </w:rPr>
        <w:t>四、技术部分</w:t>
      </w:r>
      <w:r>
        <w:rPr>
          <w:i w:val="0"/>
          <w:iCs w:val="0"/>
        </w:rPr>
        <w:tab/>
      </w:r>
      <w:r>
        <w:rPr>
          <w:i w:val="0"/>
          <w:iCs w:val="0"/>
        </w:rPr>
        <w:fldChar w:fldCharType="begin"/>
      </w:r>
      <w:r>
        <w:rPr>
          <w:i w:val="0"/>
          <w:iCs w:val="0"/>
        </w:rPr>
        <w:instrText xml:space="preserve"> PAGEREF _Toc28868 \h </w:instrText>
      </w:r>
      <w:r>
        <w:rPr>
          <w:i w:val="0"/>
          <w:iCs w:val="0"/>
        </w:rPr>
        <w:fldChar w:fldCharType="separate"/>
      </w:r>
      <w:r>
        <w:rPr>
          <w:i w:val="0"/>
          <w:iCs w:val="0"/>
        </w:rPr>
        <w:t>260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_Toc1938 </w:instrText>
      </w:r>
      <w:r>
        <w:rPr>
          <w:rFonts w:ascii="宋体" w:hAnsi="宋体"/>
          <w:bCs/>
          <w:i w:val="0"/>
          <w:iCs w:val="0"/>
          <w:szCs w:val="20"/>
          <w:lang w:val="zh-CN"/>
        </w:rPr>
        <w:fldChar w:fldCharType="separate"/>
      </w:r>
      <w:r>
        <w:rPr>
          <w:rFonts w:hint="eastAsia" w:ascii="宋体" w:hAnsi="宋体"/>
          <w:bCs w:val="0"/>
          <w:i w:val="0"/>
          <w:iCs w:val="0"/>
          <w:szCs w:val="44"/>
        </w:rPr>
        <w:t>五、资格审查部分</w:t>
      </w:r>
      <w:r>
        <w:rPr>
          <w:i w:val="0"/>
          <w:iCs w:val="0"/>
        </w:rPr>
        <w:tab/>
      </w:r>
      <w:r>
        <w:rPr>
          <w:i w:val="0"/>
          <w:iCs w:val="0"/>
        </w:rPr>
        <w:fldChar w:fldCharType="begin"/>
      </w:r>
      <w:r>
        <w:rPr>
          <w:i w:val="0"/>
          <w:iCs w:val="0"/>
        </w:rPr>
        <w:instrText xml:space="preserve"> PAGEREF _Toc1938 \h </w:instrText>
      </w:r>
      <w:r>
        <w:rPr>
          <w:i w:val="0"/>
          <w:iCs w:val="0"/>
        </w:rPr>
        <w:fldChar w:fldCharType="separate"/>
      </w:r>
      <w:r>
        <w:rPr>
          <w:i w:val="0"/>
          <w:iCs w:val="0"/>
        </w:rPr>
        <w:t>262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_Toc492 </w:instrText>
      </w:r>
      <w:r>
        <w:rPr>
          <w:rFonts w:ascii="宋体" w:hAnsi="宋体"/>
          <w:bCs/>
          <w:i w:val="0"/>
          <w:iCs w:val="0"/>
          <w:szCs w:val="20"/>
          <w:lang w:val="zh-CN"/>
        </w:rPr>
        <w:fldChar w:fldCharType="separate"/>
      </w:r>
      <w:r>
        <w:rPr>
          <w:rFonts w:hint="eastAsia" w:ascii="宋体" w:hAnsi="宋体"/>
          <w:bCs w:val="0"/>
          <w:i w:val="0"/>
          <w:iCs w:val="0"/>
        </w:rPr>
        <w:t>（一）</w:t>
      </w:r>
      <w:r>
        <w:rPr>
          <w:rFonts w:hint="eastAsia" w:ascii="宋体" w:hAnsi="宋体"/>
          <w:i w:val="0"/>
          <w:iCs w:val="0"/>
          <w:snapToGrid w:val="0"/>
          <w:kern w:val="0"/>
          <w:szCs w:val="30"/>
        </w:rPr>
        <w:t>法定代表人身份证明或授权委托书</w:t>
      </w:r>
      <w:r>
        <w:rPr>
          <w:i w:val="0"/>
          <w:iCs w:val="0"/>
        </w:rPr>
        <w:tab/>
      </w:r>
      <w:r>
        <w:rPr>
          <w:i w:val="0"/>
          <w:iCs w:val="0"/>
        </w:rPr>
        <w:fldChar w:fldCharType="begin"/>
      </w:r>
      <w:r>
        <w:rPr>
          <w:i w:val="0"/>
          <w:iCs w:val="0"/>
        </w:rPr>
        <w:instrText xml:space="preserve"> PAGEREF _Toc492 \h </w:instrText>
      </w:r>
      <w:r>
        <w:rPr>
          <w:i w:val="0"/>
          <w:iCs w:val="0"/>
        </w:rPr>
        <w:fldChar w:fldCharType="separate"/>
      </w:r>
      <w:r>
        <w:rPr>
          <w:i w:val="0"/>
          <w:iCs w:val="0"/>
        </w:rPr>
        <w:t>265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_Toc25601 </w:instrText>
      </w:r>
      <w:r>
        <w:rPr>
          <w:rFonts w:ascii="宋体" w:hAnsi="宋体"/>
          <w:bCs/>
          <w:i w:val="0"/>
          <w:iCs w:val="0"/>
          <w:szCs w:val="20"/>
          <w:lang w:val="zh-CN"/>
        </w:rPr>
        <w:fldChar w:fldCharType="separate"/>
      </w:r>
      <w:r>
        <w:rPr>
          <w:rFonts w:hint="eastAsia" w:ascii="宋体" w:hAnsi="宋体"/>
          <w:bCs w:val="0"/>
          <w:i w:val="0"/>
          <w:iCs w:val="0"/>
        </w:rPr>
        <w:t>（二）</w:t>
      </w:r>
      <w:r>
        <w:rPr>
          <w:rFonts w:hint="eastAsia" w:ascii="宋体" w:hAnsi="宋体"/>
          <w:bCs w:val="0"/>
          <w:i w:val="0"/>
          <w:iCs w:val="0"/>
          <w:lang w:eastAsia="zh-CN"/>
        </w:rPr>
        <w:t>共同投标协议</w:t>
      </w:r>
      <w:r>
        <w:rPr>
          <w:rFonts w:hint="eastAsia" w:ascii="宋体" w:hAnsi="宋体"/>
          <w:bCs w:val="0"/>
          <w:i w:val="0"/>
          <w:iCs w:val="0"/>
        </w:rPr>
        <w:t>（如有）</w:t>
      </w:r>
      <w:r>
        <w:rPr>
          <w:i w:val="0"/>
          <w:iCs w:val="0"/>
        </w:rPr>
        <w:tab/>
      </w:r>
      <w:r>
        <w:rPr>
          <w:i w:val="0"/>
          <w:iCs w:val="0"/>
        </w:rPr>
        <w:fldChar w:fldCharType="begin"/>
      </w:r>
      <w:r>
        <w:rPr>
          <w:i w:val="0"/>
          <w:iCs w:val="0"/>
        </w:rPr>
        <w:instrText xml:space="preserve"> PAGEREF _Toc25601 \h </w:instrText>
      </w:r>
      <w:r>
        <w:rPr>
          <w:i w:val="0"/>
          <w:iCs w:val="0"/>
        </w:rPr>
        <w:fldChar w:fldCharType="separate"/>
      </w:r>
      <w:r>
        <w:rPr>
          <w:i w:val="0"/>
          <w:iCs w:val="0"/>
        </w:rPr>
        <w:t>267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_Toc25099 </w:instrText>
      </w:r>
      <w:r>
        <w:rPr>
          <w:rFonts w:ascii="宋体" w:hAnsi="宋体"/>
          <w:bCs/>
          <w:i w:val="0"/>
          <w:iCs w:val="0"/>
          <w:szCs w:val="20"/>
          <w:lang w:val="zh-CN"/>
        </w:rPr>
        <w:fldChar w:fldCharType="separate"/>
      </w:r>
      <w:r>
        <w:rPr>
          <w:rFonts w:ascii="宋体" w:hAnsi="宋体"/>
          <w:i w:val="0"/>
          <w:iCs w:val="0"/>
        </w:rPr>
        <w:t>（</w:t>
      </w:r>
      <w:r>
        <w:rPr>
          <w:rFonts w:hint="eastAsia" w:ascii="宋体" w:hAnsi="宋体"/>
          <w:i w:val="0"/>
          <w:iCs w:val="0"/>
          <w:lang w:val="en-US" w:eastAsia="zh-CN"/>
        </w:rPr>
        <w:t>三</w:t>
      </w:r>
      <w:r>
        <w:rPr>
          <w:rFonts w:ascii="宋体" w:hAnsi="宋体"/>
          <w:i w:val="0"/>
          <w:iCs w:val="0"/>
        </w:rPr>
        <w:t>）</w:t>
      </w:r>
      <w:r>
        <w:rPr>
          <w:rFonts w:hint="eastAsia" w:ascii="宋体" w:hAnsi="宋体"/>
          <w:i w:val="0"/>
          <w:iCs w:val="0"/>
        </w:rPr>
        <w:t>承诺</w:t>
      </w:r>
      <w:r>
        <w:rPr>
          <w:i w:val="0"/>
          <w:iCs w:val="0"/>
        </w:rPr>
        <w:tab/>
      </w:r>
      <w:r>
        <w:rPr>
          <w:i w:val="0"/>
          <w:iCs w:val="0"/>
        </w:rPr>
        <w:fldChar w:fldCharType="begin"/>
      </w:r>
      <w:r>
        <w:rPr>
          <w:i w:val="0"/>
          <w:iCs w:val="0"/>
        </w:rPr>
        <w:instrText xml:space="preserve"> PAGEREF _Toc25099 \h </w:instrText>
      </w:r>
      <w:r>
        <w:rPr>
          <w:i w:val="0"/>
          <w:iCs w:val="0"/>
        </w:rPr>
        <w:fldChar w:fldCharType="separate"/>
      </w:r>
      <w:r>
        <w:rPr>
          <w:i w:val="0"/>
          <w:iCs w:val="0"/>
        </w:rPr>
        <w:t>269</w:t>
      </w:r>
      <w:r>
        <w:rPr>
          <w:i w:val="0"/>
          <w:iCs w:val="0"/>
        </w:rPr>
        <w:fldChar w:fldCharType="end"/>
      </w:r>
      <w:r>
        <w:rPr>
          <w:rFonts w:ascii="宋体" w:hAnsi="宋体"/>
          <w:bCs/>
          <w:i w:val="0"/>
          <w:iCs w:val="0"/>
          <w:szCs w:val="20"/>
          <w:lang w:val="zh-CN"/>
        </w:rPr>
        <w:fldChar w:fldCharType="end"/>
      </w:r>
    </w:p>
    <w:p>
      <w:pPr>
        <w:pStyle w:val="22"/>
        <w:tabs>
          <w:tab w:val="right" w:leader="dot" w:pos="9469"/>
        </w:tabs>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_Toc29696 </w:instrText>
      </w:r>
      <w:r>
        <w:rPr>
          <w:rFonts w:ascii="宋体" w:hAnsi="宋体"/>
          <w:bCs/>
          <w:i w:val="0"/>
          <w:iCs w:val="0"/>
          <w:szCs w:val="20"/>
          <w:lang w:val="zh-CN"/>
        </w:rPr>
        <w:fldChar w:fldCharType="separate"/>
      </w:r>
      <w:r>
        <w:rPr>
          <w:rFonts w:hint="eastAsia" w:ascii="宋体" w:hAnsi="宋体"/>
          <w:i w:val="0"/>
          <w:iCs w:val="0"/>
        </w:rPr>
        <w:t>（</w:t>
      </w:r>
      <w:r>
        <w:rPr>
          <w:rFonts w:hint="eastAsia" w:ascii="宋体" w:hAnsi="宋体"/>
          <w:i w:val="0"/>
          <w:iCs w:val="0"/>
          <w:lang w:val="en-US" w:eastAsia="zh-CN"/>
        </w:rPr>
        <w:t>四</w:t>
      </w:r>
      <w:r>
        <w:rPr>
          <w:rFonts w:hint="eastAsia" w:ascii="宋体" w:hAnsi="宋体"/>
          <w:i w:val="0"/>
          <w:iCs w:val="0"/>
        </w:rPr>
        <w:t>）其他资料</w:t>
      </w:r>
      <w:r>
        <w:rPr>
          <w:i w:val="0"/>
          <w:iCs w:val="0"/>
        </w:rPr>
        <w:tab/>
      </w:r>
      <w:r>
        <w:rPr>
          <w:i w:val="0"/>
          <w:iCs w:val="0"/>
        </w:rPr>
        <w:fldChar w:fldCharType="begin"/>
      </w:r>
      <w:r>
        <w:rPr>
          <w:i w:val="0"/>
          <w:iCs w:val="0"/>
        </w:rPr>
        <w:instrText xml:space="preserve"> PAGEREF _Toc29696 \h </w:instrText>
      </w:r>
      <w:r>
        <w:rPr>
          <w:i w:val="0"/>
          <w:iCs w:val="0"/>
        </w:rPr>
        <w:fldChar w:fldCharType="separate"/>
      </w:r>
      <w:r>
        <w:rPr>
          <w:i w:val="0"/>
          <w:iCs w:val="0"/>
        </w:rPr>
        <w:t>272</w:t>
      </w:r>
      <w:r>
        <w:rPr>
          <w:i w:val="0"/>
          <w:iCs w:val="0"/>
        </w:rPr>
        <w:fldChar w:fldCharType="end"/>
      </w:r>
      <w:r>
        <w:rPr>
          <w:rFonts w:ascii="宋体" w:hAnsi="宋体"/>
          <w:bCs/>
          <w:i w:val="0"/>
          <w:iCs w:val="0"/>
          <w:szCs w:val="20"/>
          <w:lang w:val="zh-CN"/>
        </w:rPr>
        <w:fldChar w:fldCharType="end"/>
      </w:r>
    </w:p>
    <w:p>
      <w:pPr>
        <w:rPr>
          <w:rFonts w:ascii="宋体" w:hAnsi="宋体"/>
        </w:rPr>
      </w:pPr>
      <w:r>
        <w:rPr>
          <w:rFonts w:ascii="宋体" w:hAnsi="宋体"/>
          <w:bCs/>
          <w:i w:val="0"/>
          <w:iCs w:val="0"/>
          <w:szCs w:val="20"/>
          <w:lang w:val="zh-CN"/>
        </w:rPr>
        <w:fldChar w:fldCharType="end"/>
      </w:r>
    </w:p>
    <w:bookmarkEnd w:id="0"/>
    <w:p>
      <w:pPr>
        <w:spacing w:line="20" w:lineRule="exact"/>
        <w:rPr>
          <w:rFonts w:ascii="宋体" w:hAnsi="宋体"/>
        </w:rPr>
      </w:pPr>
      <w:bookmarkStart w:id="7" w:name="_Toc430530414"/>
    </w:p>
    <w:p>
      <w:pPr>
        <w:spacing w:line="20" w:lineRule="exact"/>
        <w:jc w:val="left"/>
        <w:rPr>
          <w:rFonts w:ascii="宋体" w:hAnsi="宋体"/>
        </w:rPr>
        <w:sectPr>
          <w:footerReference r:id="rId8" w:type="default"/>
          <w:pgSz w:w="11907" w:h="16840"/>
          <w:pgMar w:top="1304" w:right="1134" w:bottom="1304" w:left="1304" w:header="851" w:footer="992" w:gutter="0"/>
          <w:pgNumType w:fmt="numberInDash" w:start="1"/>
          <w:cols w:space="720" w:num="1"/>
          <w:docGrid w:linePitch="312" w:charSpace="0"/>
        </w:sectPr>
      </w:pPr>
    </w:p>
    <w:bookmarkEnd w:id="7"/>
    <w:p>
      <w:pPr>
        <w:spacing w:line="360" w:lineRule="auto"/>
        <w:rPr>
          <w:rFonts w:ascii="宋体" w:hAnsi="宋体"/>
        </w:rPr>
      </w:pPr>
    </w:p>
    <w:p>
      <w:pPr>
        <w:pStyle w:val="3"/>
        <w:spacing w:before="0" w:after="0" w:line="480" w:lineRule="auto"/>
        <w:jc w:val="center"/>
        <w:rPr>
          <w:rFonts w:ascii="宋体" w:hAnsi="宋体"/>
          <w:sz w:val="52"/>
          <w:szCs w:val="52"/>
        </w:rPr>
      </w:pPr>
      <w:bookmarkStart w:id="8" w:name="_Toc20882"/>
      <w:bookmarkStart w:id="9" w:name="_Toc15671"/>
      <w:bookmarkStart w:id="10" w:name="_Toc5770"/>
      <w:bookmarkStart w:id="11" w:name="_Toc509218690"/>
      <w:r>
        <w:rPr>
          <w:rFonts w:hint="eastAsia" w:ascii="宋体" w:hAnsi="宋体"/>
          <w:sz w:val="52"/>
          <w:szCs w:val="52"/>
        </w:rPr>
        <w:t>第 一 卷</w:t>
      </w:r>
      <w:bookmarkEnd w:id="8"/>
      <w:bookmarkEnd w:id="9"/>
      <w:bookmarkEnd w:id="10"/>
      <w:bookmarkEnd w:id="11"/>
    </w:p>
    <w:p>
      <w:pPr>
        <w:spacing w:line="200" w:lineRule="exact"/>
        <w:rPr>
          <w:rFonts w:ascii="宋体" w:hAnsi="宋体"/>
        </w:rPr>
      </w:pPr>
      <w:r>
        <w:rPr>
          <w:rFonts w:ascii="宋体" w:hAnsi="宋体"/>
        </w:rPr>
        <w:br w:type="page"/>
      </w:r>
    </w:p>
    <w:p>
      <w:pPr>
        <w:pStyle w:val="3"/>
        <w:spacing w:line="360" w:lineRule="auto"/>
        <w:jc w:val="center"/>
        <w:rPr>
          <w:rFonts w:ascii="宋体" w:hAnsi="宋体"/>
          <w:snapToGrid w:val="0"/>
          <w:kern w:val="0"/>
        </w:rPr>
      </w:pPr>
      <w:bookmarkStart w:id="12" w:name="_Toc19234"/>
      <w:bookmarkStart w:id="13" w:name="_Toc287620666"/>
      <w:bookmarkStart w:id="14" w:name="_Toc13052"/>
      <w:bookmarkStart w:id="15" w:name="_Toc430530415"/>
      <w:bookmarkStart w:id="16" w:name="_Toc277082535"/>
      <w:bookmarkStart w:id="17" w:name="_Toc287607727"/>
      <w:bookmarkStart w:id="18" w:name="_Toc509218691"/>
      <w:bookmarkStart w:id="19" w:name="_Toc224103298"/>
      <w:bookmarkStart w:id="20" w:name="_Toc7066"/>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2"/>
      <w:bookmarkEnd w:id="13"/>
      <w:bookmarkEnd w:id="14"/>
      <w:bookmarkEnd w:id="15"/>
      <w:bookmarkEnd w:id="16"/>
      <w:bookmarkEnd w:id="17"/>
      <w:bookmarkEnd w:id="18"/>
      <w:bookmarkEnd w:id="19"/>
      <w:bookmarkEnd w:id="20"/>
    </w:p>
    <w:p>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pPr>
        <w:pStyle w:val="4"/>
        <w:spacing w:before="100" w:after="100" w:line="460" w:lineRule="exact"/>
        <w:rPr>
          <w:rFonts w:ascii="宋体" w:hAnsi="宋体"/>
          <w:snapToGrid w:val="0"/>
          <w:sz w:val="28"/>
          <w:szCs w:val="28"/>
        </w:rPr>
      </w:pPr>
      <w:bookmarkStart w:id="21" w:name="_Toc430530416"/>
      <w:bookmarkStart w:id="22" w:name="_Toc277082536"/>
      <w:bookmarkStart w:id="23" w:name="_Toc287607728"/>
      <w:bookmarkStart w:id="24" w:name="_Toc224103299"/>
      <w:bookmarkStart w:id="25" w:name="_Toc200359427"/>
      <w:bookmarkStart w:id="26" w:name="_Toc287620667"/>
      <w:bookmarkStart w:id="27" w:name="_Toc17991"/>
      <w:bookmarkStart w:id="28" w:name="_Toc3627"/>
      <w:bookmarkStart w:id="29" w:name="_Toc509218692"/>
      <w:bookmarkStart w:id="30" w:name="_Toc200359238"/>
      <w:bookmarkStart w:id="31" w:name="_Toc30356"/>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1"/>
      <w:bookmarkEnd w:id="22"/>
      <w:bookmarkEnd w:id="23"/>
      <w:bookmarkEnd w:id="24"/>
      <w:bookmarkEnd w:id="25"/>
      <w:bookmarkEnd w:id="26"/>
      <w:bookmarkEnd w:id="27"/>
      <w:bookmarkEnd w:id="28"/>
      <w:bookmarkEnd w:id="29"/>
      <w:bookmarkEnd w:id="30"/>
      <w:bookmarkEnd w:id="31"/>
    </w:p>
    <w:p>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rPr>
        <w:t>（项目审批</w:t>
      </w:r>
      <w:r>
        <w:rPr>
          <w:rFonts w:hint="eastAsia" w:ascii="宋体" w:hAnsi="宋体"/>
          <w:snapToGrid w:val="0"/>
          <w:kern w:val="0"/>
          <w:szCs w:val="21"/>
          <w:lang w:val="en-US" w:eastAsia="zh-CN"/>
        </w:rPr>
        <w:t>或</w:t>
      </w:r>
      <w:r>
        <w:rPr>
          <w:rFonts w:ascii="宋体" w:hAnsi="宋体"/>
          <w:snapToGrid w:val="0"/>
          <w:kern w:val="0"/>
          <w:szCs w:val="21"/>
        </w:rPr>
        <w:t>核准机关名称）以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rPr>
        <w:t>该项目的工程总承包</w:t>
      </w:r>
      <w:r>
        <w:rPr>
          <w:rFonts w:ascii="宋体" w:hAnsi="宋体"/>
          <w:snapToGrid w:val="0"/>
          <w:kern w:val="0"/>
          <w:position w:val="-2"/>
          <w:szCs w:val="21"/>
        </w:rPr>
        <w:t>进行公开招标。</w:t>
      </w:r>
    </w:p>
    <w:p>
      <w:pPr>
        <w:pStyle w:val="4"/>
        <w:spacing w:before="100" w:after="100" w:line="460" w:lineRule="exact"/>
        <w:rPr>
          <w:rFonts w:ascii="宋体" w:hAnsi="宋体"/>
          <w:snapToGrid w:val="0"/>
          <w:sz w:val="28"/>
          <w:szCs w:val="28"/>
        </w:rPr>
      </w:pPr>
      <w:bookmarkStart w:id="32" w:name="_Toc287620668"/>
      <w:bookmarkStart w:id="33" w:name="_Toc430530417"/>
      <w:bookmarkStart w:id="34" w:name="_Toc200359239"/>
      <w:bookmarkStart w:id="35" w:name="_Toc22064"/>
      <w:bookmarkStart w:id="36" w:name="_Toc224103300"/>
      <w:bookmarkStart w:id="37" w:name="_Toc9931"/>
      <w:bookmarkStart w:id="38" w:name="_Toc509218693"/>
      <w:bookmarkStart w:id="39" w:name="_Toc277082537"/>
      <w:bookmarkStart w:id="40" w:name="_Toc287607729"/>
      <w:bookmarkStart w:id="41" w:name="_Toc200359428"/>
      <w:bookmarkStart w:id="42" w:name="_Toc18624"/>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32"/>
      <w:bookmarkEnd w:id="33"/>
      <w:bookmarkEnd w:id="34"/>
      <w:bookmarkEnd w:id="35"/>
      <w:bookmarkEnd w:id="36"/>
      <w:bookmarkEnd w:id="37"/>
      <w:bookmarkEnd w:id="38"/>
      <w:bookmarkEnd w:id="39"/>
      <w:bookmarkEnd w:id="40"/>
      <w:bookmarkEnd w:id="41"/>
      <w:bookmarkEnd w:id="42"/>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[提示：项目</w:t>
      </w:r>
      <w:r>
        <w:rPr>
          <w:rFonts w:hint="eastAsia" w:ascii="宋体" w:hAnsi="宋体"/>
          <w:i/>
          <w:snapToGrid w:val="0"/>
          <w:kern w:val="0"/>
          <w:szCs w:val="21"/>
          <w:lang w:val="en-US" w:eastAsia="zh-CN"/>
        </w:rPr>
        <w:t>概况与</w:t>
      </w:r>
      <w:r>
        <w:rPr>
          <w:rFonts w:hint="eastAsia" w:ascii="宋体" w:hAnsi="宋体"/>
          <w:i/>
          <w:snapToGrid w:val="0"/>
          <w:kern w:val="0"/>
          <w:szCs w:val="21"/>
        </w:rPr>
        <w:t>建设规模应体现与业绩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对应的参数，包括但不限于：建筑面积、高度、长度、道路等级等。]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i/>
          <w:snapToGrid w:val="0"/>
          <w:kern w:val="0"/>
          <w:szCs w:val="21"/>
        </w:rPr>
        <w:t>[提示：采用工程总承包方式的政府投资项目，原则上应当在初步设计审批完成后进行工程总承包项目发包。</w:t>
      </w:r>
      <w:r>
        <w:rPr>
          <w:rFonts w:ascii="宋体" w:hAnsi="宋体"/>
          <w:i/>
          <w:szCs w:val="21"/>
        </w:rPr>
        <w:t>招标范围应准确明了，</w:t>
      </w:r>
      <w:r>
        <w:rPr>
          <w:rFonts w:hint="eastAsia" w:ascii="宋体" w:hAnsi="宋体"/>
          <w:i/>
          <w:szCs w:val="21"/>
        </w:rPr>
        <w:t>按照项目审批、核准文件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u w:val="single"/>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43" w:name="_Toc31842"/>
      <w:bookmarkStart w:id="44" w:name="_Toc14202"/>
      <w:bookmarkStart w:id="45" w:name="_Toc13072"/>
      <w:r>
        <w:rPr>
          <w:rFonts w:hint="default"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default" w:ascii="宋体" w:hAnsi="宋体"/>
          <w:snapToGrid w:val="0"/>
          <w:sz w:val="28"/>
          <w:szCs w:val="28"/>
          <w:lang w:val="en-US" w:eastAsia="zh-CN"/>
        </w:rPr>
        <w:t>政府采购工程</w:t>
      </w:r>
      <w:bookmarkEnd w:id="43"/>
      <w:bookmarkEnd w:id="44"/>
      <w:bookmarkEnd w:id="45"/>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hint="eastAsia" w:ascii="宋体" w:hAnsi="宋体"/>
          <w:i/>
          <w:iCs/>
          <w:snapToGrid w:val="0"/>
          <w:kern w:val="0"/>
          <w:szCs w:val="21"/>
          <w:highlight w:val="none"/>
          <w:u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highlight w:val="none"/>
        </w:rPr>
      </w:pP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60" w:lineRule="exact"/>
        <w:rPr>
          <w:rFonts w:ascii="宋体" w:hAnsi="宋体"/>
          <w:snapToGrid w:val="0"/>
          <w:sz w:val="28"/>
          <w:szCs w:val="28"/>
        </w:rPr>
      </w:pPr>
      <w:bookmarkStart w:id="46" w:name="_Toc430530418"/>
      <w:bookmarkStart w:id="47" w:name="_Toc287620669"/>
      <w:bookmarkStart w:id="48" w:name="_Toc200359429"/>
      <w:bookmarkStart w:id="49" w:name="_Toc287607730"/>
      <w:bookmarkStart w:id="50" w:name="_Toc11817"/>
      <w:bookmarkStart w:id="51" w:name="_Toc224103301"/>
      <w:bookmarkStart w:id="52" w:name="_Toc200359240"/>
      <w:bookmarkStart w:id="53" w:name="_Toc28632"/>
      <w:bookmarkStart w:id="54" w:name="_Toc22976"/>
      <w:bookmarkStart w:id="55" w:name="_Toc509218694"/>
      <w:bookmarkStart w:id="56" w:name="_Toc277082538"/>
      <w:r>
        <w:rPr>
          <w:rFonts w:hint="eastAsia" w:ascii="宋体" w:hAnsi="宋体"/>
          <w:snapToGrid w:val="0"/>
          <w:sz w:val="28"/>
          <w:szCs w:val="28"/>
          <w:lang w:val="en-US" w:eastAsia="zh-CN"/>
        </w:rPr>
        <w:t>4</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投标人资格要求</w:t>
      </w:r>
      <w:bookmarkEnd w:id="46"/>
      <w:bookmarkEnd w:id="47"/>
      <w:bookmarkEnd w:id="48"/>
      <w:bookmarkEnd w:id="49"/>
      <w:bookmarkEnd w:id="50"/>
      <w:bookmarkEnd w:id="51"/>
      <w:bookmarkEnd w:id="52"/>
      <w:bookmarkEnd w:id="53"/>
      <w:bookmarkEnd w:id="54"/>
      <w:bookmarkEnd w:id="55"/>
      <w:bookmarkEnd w:id="56"/>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lang w:eastAsia="zh-CN"/>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u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设备、资金等方面具有相应的实施能力，详见招标文件第二章投标人须知前附表第1.4.1</w:t>
      </w:r>
      <w:r>
        <w:rPr>
          <w:rFonts w:hint="eastAsia" w:ascii="宋体" w:hAnsi="宋体"/>
          <w:snapToGrid w:val="0"/>
          <w:kern w:val="0"/>
          <w:szCs w:val="21"/>
          <w:lang w:val="en-US" w:eastAsia="zh-CN"/>
        </w:rPr>
        <w:t>项</w:t>
      </w:r>
      <w:r>
        <w:rPr>
          <w:rFonts w:hint="eastAsia" w:ascii="宋体" w:hAnsi="宋体"/>
          <w:snapToGrid w:val="0"/>
          <w:kern w:val="0"/>
          <w:szCs w:val="21"/>
        </w:rPr>
        <w:t>内容。</w:t>
      </w:r>
    </w:p>
    <w:p>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本次招标</w:t>
      </w:r>
      <w:r>
        <w:rPr>
          <w:rFonts w:hint="eastAsia" w:ascii="宋体" w:hAnsi="宋体"/>
          <w:snapToGrid w:val="0"/>
          <w:kern w:val="0"/>
          <w:szCs w:val="21"/>
        </w:rPr>
        <w:t>□接受□不接受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60" w:lineRule="exact"/>
        <w:rPr>
          <w:rFonts w:ascii="宋体" w:hAnsi="宋体"/>
          <w:snapToGrid w:val="0"/>
          <w:sz w:val="28"/>
          <w:szCs w:val="28"/>
        </w:rPr>
      </w:pPr>
      <w:bookmarkStart w:id="57" w:name="_Toc287607731"/>
      <w:bookmarkStart w:id="58" w:name="_Toc200359430"/>
      <w:bookmarkStart w:id="59" w:name="_Toc200359241"/>
      <w:bookmarkStart w:id="60" w:name="_Toc287620670"/>
      <w:bookmarkStart w:id="61" w:name="_Toc3316"/>
      <w:bookmarkStart w:id="62" w:name="_Toc509218695"/>
      <w:bookmarkStart w:id="63" w:name="_Toc17508"/>
      <w:bookmarkStart w:id="64" w:name="_Toc224103302"/>
      <w:bookmarkStart w:id="65" w:name="_Toc277082539"/>
      <w:bookmarkStart w:id="66" w:name="_Toc430530419"/>
      <w:bookmarkStart w:id="67" w:name="_Toc4460"/>
      <w:r>
        <w:rPr>
          <w:rFonts w:hint="eastAsia" w:ascii="宋体" w:hAnsi="宋体"/>
          <w:snapToGrid w:val="0"/>
          <w:sz w:val="28"/>
          <w:szCs w:val="28"/>
          <w:lang w:val="en-US" w:eastAsia="zh-CN"/>
        </w:rPr>
        <w:t>5</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招标文件的获取</w:t>
      </w:r>
      <w:bookmarkEnd w:id="57"/>
      <w:bookmarkEnd w:id="58"/>
      <w:bookmarkEnd w:id="59"/>
      <w:bookmarkEnd w:id="60"/>
      <w:bookmarkEnd w:id="61"/>
      <w:bookmarkEnd w:id="62"/>
      <w:bookmarkEnd w:id="63"/>
      <w:bookmarkEnd w:id="64"/>
      <w:bookmarkEnd w:id="65"/>
      <w:bookmarkEnd w:id="66"/>
      <w:bookmarkEnd w:id="67"/>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 xml:space="preserve">.1 </w:t>
      </w:r>
      <w:r>
        <w:rPr>
          <w:rFonts w:hint="eastAsia" w:ascii="宋体" w:hAnsi="宋体"/>
          <w:snapToGrid w:val="0"/>
          <w:kern w:val="0"/>
          <w:szCs w:val="21"/>
          <w:lang w:val="en-US" w:eastAsia="zh-CN"/>
        </w:rPr>
        <w:t xml:space="preserve">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t>
      </w:r>
      <w:r>
        <w:rPr>
          <w:rFonts w:hint="eastAsia" w:ascii="宋体" w:hAnsi="宋体"/>
          <w:i/>
          <w:szCs w:val="21"/>
        </w:rPr>
        <w:t>[提示：下载</w:t>
      </w:r>
      <w:r>
        <w:rPr>
          <w:rFonts w:hint="eastAsia" w:ascii="宋体" w:hAnsi="宋体"/>
          <w:i/>
          <w:szCs w:val="21"/>
          <w:lang w:val="en-US" w:eastAsia="zh-CN"/>
        </w:rPr>
        <w:t>网站</w:t>
      </w:r>
      <w:r>
        <w:rPr>
          <w:rFonts w:hint="eastAsia" w:ascii="宋体" w:hAnsi="宋体"/>
          <w:i/>
          <w:szCs w:val="21"/>
        </w:rPr>
        <w:t>采用其他</w:t>
      </w:r>
      <w:r>
        <w:rPr>
          <w:rFonts w:hint="eastAsia" w:ascii="宋体" w:hAnsi="宋体"/>
          <w:i/>
          <w:szCs w:val="21"/>
          <w:lang w:val="en-US" w:eastAsia="zh-CN"/>
        </w:rPr>
        <w:t>网站</w:t>
      </w:r>
      <w:r>
        <w:rPr>
          <w:rFonts w:hint="eastAsia" w:ascii="宋体" w:hAnsi="宋体"/>
          <w:i/>
          <w:szCs w:val="21"/>
        </w:rPr>
        <w:t>的应注明</w:t>
      </w:r>
      <w:r>
        <w:rPr>
          <w:rFonts w:hint="eastAsia" w:ascii="宋体" w:hAnsi="宋体"/>
          <w:i/>
          <w:szCs w:val="21"/>
          <w:lang w:eastAsia="zh-CN"/>
        </w:rPr>
        <w:t>。</w:t>
      </w:r>
      <w:r>
        <w:rPr>
          <w:rFonts w:hint="eastAsia" w:ascii="宋体" w:hAnsi="宋体"/>
          <w:i/>
          <w:szCs w:val="21"/>
        </w:rPr>
        <w:t>]</w:t>
      </w:r>
      <w:r>
        <w:rPr>
          <w:rFonts w:ascii="宋体" w:hAnsi="宋体"/>
          <w:snapToGrid w:val="0"/>
          <w:kern w:val="0"/>
          <w:szCs w:val="21"/>
        </w:rPr>
        <w:t>下载招标文件、工程量清单</w:t>
      </w:r>
      <w:r>
        <w:rPr>
          <w:rFonts w:hint="eastAsia" w:ascii="宋体" w:hAnsi="宋体"/>
          <w:snapToGrid w:val="0"/>
          <w:kern w:val="0"/>
          <w:szCs w:val="21"/>
        </w:rPr>
        <w:t>（如有）</w:t>
      </w:r>
      <w:r>
        <w:rPr>
          <w:rFonts w:ascii="宋体" w:hAnsi="宋体"/>
          <w:snapToGrid w:val="0"/>
          <w:kern w:val="0"/>
          <w:szCs w:val="21"/>
        </w:rPr>
        <w:t>、电子图纸等资料。参与投标的投标人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pPr>
        <w:tabs>
          <w:tab w:val="left" w:pos="2420"/>
          <w:tab w:val="left" w:pos="5445"/>
        </w:tabs>
        <w:autoSpaceDE w:val="0"/>
        <w:autoSpaceDN w:val="0"/>
        <w:adjustRightInd w:val="0"/>
        <w:snapToGrid w:val="0"/>
        <w:spacing w:line="450" w:lineRule="exact"/>
        <w:ind w:firstLine="420"/>
      </w:pPr>
      <w:r>
        <w:rPr>
          <w:rFonts w:hint="eastAsia"/>
          <w:lang w:val="en-US" w:eastAsia="zh-CN"/>
        </w:rPr>
        <w:t>5</w:t>
      </w:r>
      <w:r>
        <w:rPr>
          <w:rFonts w:hint="eastAsia"/>
        </w:rPr>
        <w:t xml:space="preserve">.2 </w:t>
      </w:r>
      <w:r>
        <w:t xml:space="preserve"> </w:t>
      </w:r>
      <w:r>
        <w:rPr>
          <w:rFonts w:hint="eastAsia"/>
        </w:rPr>
        <w:t>投标人可在</w:t>
      </w:r>
      <w:r>
        <w:rPr>
          <w:rFonts w:hint="eastAsia" w:ascii="宋体" w:hAnsi="宋体"/>
          <w:snapToGrid w:val="0"/>
          <w:kern w:val="0"/>
          <w:szCs w:val="21"/>
        </w:rPr>
        <w:t>附件招标公告规定的时限内在</w:t>
      </w:r>
      <w:r>
        <w:rPr>
          <w:rFonts w:hint="eastAsia"/>
          <w:u w:val="single"/>
        </w:rPr>
        <w:t>重庆市公共资源交易网</w:t>
      </w:r>
      <w:r>
        <w:rPr>
          <w:rFonts w:hint="eastAsia"/>
        </w:rPr>
        <w:t>本项目招标公告网页下方“我要提问”栏提出疑问。</w:t>
      </w:r>
    </w:p>
    <w:p>
      <w:pPr>
        <w:tabs>
          <w:tab w:val="left" w:pos="2420"/>
          <w:tab w:val="left" w:pos="5445"/>
        </w:tabs>
        <w:autoSpaceDE w:val="0"/>
        <w:autoSpaceDN w:val="0"/>
        <w:adjustRightInd w:val="0"/>
        <w:snapToGrid w:val="0"/>
        <w:spacing w:line="450" w:lineRule="exact"/>
        <w:ind w:firstLine="420"/>
      </w:pPr>
      <w:r>
        <w:rPr>
          <w:rFonts w:hint="eastAsia"/>
          <w:lang w:val="en-US" w:eastAsia="zh-CN"/>
        </w:rPr>
        <w:t>5</w:t>
      </w:r>
      <w:r>
        <w:rPr>
          <w:rFonts w:hint="eastAsia"/>
        </w:rPr>
        <w:t xml:space="preserve">.3 </w:t>
      </w:r>
      <w:r>
        <w:t xml:space="preserve"> </w:t>
      </w:r>
      <w:r>
        <w:rPr>
          <w:rFonts w:hint="eastAsia"/>
        </w:rPr>
        <w:t>招标人应</w:t>
      </w:r>
      <w:r>
        <w:rPr>
          <w:rFonts w:hint="eastAsia" w:ascii="宋体" w:hAnsi="宋体"/>
          <w:snapToGrid w:val="0"/>
          <w:kern w:val="0"/>
          <w:szCs w:val="21"/>
        </w:rPr>
        <w:t>在附件招标公告规定的时限内</w:t>
      </w:r>
      <w:r>
        <w:rPr>
          <w:rFonts w:hint="eastAsia"/>
        </w:rPr>
        <w:t>在</w:t>
      </w:r>
      <w:r>
        <w:rPr>
          <w:rFonts w:hint="eastAsia"/>
          <w:u w:val="single"/>
        </w:rPr>
        <w:t>重庆市公共资源交易网</w:t>
      </w:r>
      <w:r>
        <w:rPr>
          <w:rFonts w:hint="eastAsia"/>
        </w:rPr>
        <w:t>发布澄清或修改。</w:t>
      </w:r>
    </w:p>
    <w:p>
      <w:pPr>
        <w:pStyle w:val="4"/>
        <w:spacing w:before="100" w:after="100" w:line="460" w:lineRule="exact"/>
        <w:rPr>
          <w:rFonts w:ascii="宋体" w:hAnsi="宋体"/>
          <w:snapToGrid w:val="0"/>
          <w:sz w:val="28"/>
          <w:szCs w:val="28"/>
        </w:rPr>
      </w:pPr>
      <w:bookmarkStart w:id="68" w:name="_Toc200359242"/>
      <w:bookmarkStart w:id="69" w:name="_Toc430530420"/>
      <w:bookmarkStart w:id="70" w:name="_Toc224103303"/>
      <w:bookmarkStart w:id="71" w:name="_Toc277082540"/>
      <w:bookmarkStart w:id="72" w:name="_Toc509218696"/>
      <w:bookmarkStart w:id="73" w:name="_Toc287620671"/>
      <w:bookmarkStart w:id="74" w:name="_Toc287607732"/>
      <w:bookmarkStart w:id="75" w:name="_Toc25803"/>
      <w:bookmarkStart w:id="76" w:name="_Toc31137"/>
      <w:bookmarkStart w:id="77" w:name="_Toc200359431"/>
      <w:bookmarkStart w:id="78" w:name="_Toc3280"/>
      <w:r>
        <w:rPr>
          <w:rFonts w:hint="eastAsia" w:ascii="宋体" w:hAnsi="宋体"/>
          <w:snapToGrid w:val="0"/>
          <w:sz w:val="28"/>
          <w:szCs w:val="28"/>
          <w:lang w:val="en-US" w:eastAsia="zh-CN"/>
        </w:rPr>
        <w:t>6</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投标文件的递交</w:t>
      </w:r>
      <w:bookmarkEnd w:id="68"/>
      <w:bookmarkEnd w:id="69"/>
      <w:bookmarkEnd w:id="70"/>
      <w:bookmarkEnd w:id="71"/>
      <w:bookmarkEnd w:id="72"/>
      <w:bookmarkEnd w:id="73"/>
      <w:bookmarkEnd w:id="74"/>
      <w:bookmarkEnd w:id="75"/>
      <w:bookmarkEnd w:id="76"/>
      <w:bookmarkEnd w:id="77"/>
      <w:bookmarkEnd w:id="78"/>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未按要求加密的电子投标文件，将无法上传至重庆市电子招投标系统，逾期未完成投标文件上传的，视为撤回投标文件。</w:t>
      </w:r>
    </w:p>
    <w:p>
      <w:pPr>
        <w:pStyle w:val="4"/>
        <w:spacing w:before="100" w:after="100" w:line="460" w:lineRule="exact"/>
        <w:rPr>
          <w:rFonts w:ascii="宋体" w:hAnsi="宋体"/>
          <w:snapToGrid w:val="0"/>
          <w:sz w:val="28"/>
          <w:szCs w:val="28"/>
        </w:rPr>
      </w:pPr>
      <w:bookmarkStart w:id="79" w:name="_Toc13832"/>
      <w:bookmarkStart w:id="80" w:name="_Toc224103304"/>
      <w:bookmarkStart w:id="81" w:name="_Toc200359243"/>
      <w:bookmarkStart w:id="82" w:name="_Toc509218697"/>
      <w:bookmarkStart w:id="83" w:name="_Toc277082541"/>
      <w:bookmarkStart w:id="84" w:name="_Toc287620672"/>
      <w:bookmarkStart w:id="85" w:name="_Toc430530421"/>
      <w:bookmarkStart w:id="86" w:name="_Toc15954"/>
      <w:bookmarkStart w:id="87" w:name="_Toc11599"/>
      <w:bookmarkStart w:id="88" w:name="_Toc287607733"/>
      <w:bookmarkStart w:id="89" w:name="_Toc200359432"/>
      <w:r>
        <w:rPr>
          <w:rFonts w:hint="eastAsia" w:ascii="宋体" w:hAnsi="宋体"/>
          <w:snapToGrid w:val="0"/>
          <w:sz w:val="28"/>
          <w:szCs w:val="28"/>
          <w:lang w:val="en-US" w:eastAsia="zh-CN"/>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发布公告的媒介</w:t>
      </w:r>
      <w:bookmarkEnd w:id="79"/>
      <w:bookmarkEnd w:id="80"/>
      <w:bookmarkEnd w:id="81"/>
      <w:bookmarkEnd w:id="82"/>
      <w:bookmarkEnd w:id="83"/>
      <w:bookmarkEnd w:id="84"/>
      <w:bookmarkEnd w:id="85"/>
      <w:bookmarkEnd w:id="86"/>
      <w:bookmarkEnd w:id="87"/>
      <w:bookmarkEnd w:id="88"/>
      <w:bookmarkEnd w:id="89"/>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pPr>
        <w:autoSpaceDE w:val="0"/>
        <w:autoSpaceDN w:val="0"/>
        <w:adjustRightInd w:val="0"/>
        <w:snapToGrid w:val="0"/>
        <w:spacing w:line="450" w:lineRule="exact"/>
        <w:ind w:firstLine="420" w:firstLineChars="200"/>
      </w:pPr>
      <w:r>
        <w:rPr>
          <w:rFonts w:hint="eastAsia" w:ascii="宋体" w:hAnsi="宋体"/>
          <w:i/>
          <w:szCs w:val="21"/>
        </w:rPr>
        <w:t>[提示：依法必须招标项目的招标公告，必须在重庆市公共资源交易监督网发布。]</w:t>
      </w:r>
    </w:p>
    <w:p>
      <w:pPr>
        <w:pStyle w:val="4"/>
        <w:spacing w:before="100" w:after="100" w:line="460" w:lineRule="exact"/>
        <w:rPr>
          <w:rFonts w:ascii="宋体" w:hAnsi="宋体"/>
          <w:snapToGrid w:val="0"/>
          <w:sz w:val="28"/>
          <w:szCs w:val="28"/>
        </w:rPr>
      </w:pPr>
      <w:bookmarkStart w:id="90" w:name="_Toc20028"/>
      <w:bookmarkStart w:id="91" w:name="_Toc224103305"/>
      <w:bookmarkStart w:id="92" w:name="_Toc13964"/>
      <w:bookmarkStart w:id="93" w:name="_Toc509218698"/>
      <w:bookmarkStart w:id="94" w:name="_Toc287607734"/>
      <w:bookmarkStart w:id="95" w:name="_Toc17709"/>
      <w:bookmarkStart w:id="96" w:name="_Toc430530422"/>
      <w:bookmarkStart w:id="97" w:name="_Toc277082542"/>
      <w:bookmarkStart w:id="98" w:name="_Toc287620673"/>
      <w:r>
        <w:rPr>
          <w:rFonts w:hint="eastAsia" w:ascii="宋体" w:hAnsi="宋体"/>
          <w:snapToGrid w:val="0"/>
          <w:sz w:val="28"/>
          <w:szCs w:val="28"/>
          <w:lang w:val="en-US" w:eastAsia="zh-CN"/>
        </w:rPr>
        <w:t>8</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90"/>
      <w:bookmarkEnd w:id="91"/>
      <w:bookmarkEnd w:id="92"/>
      <w:bookmarkEnd w:id="93"/>
      <w:bookmarkEnd w:id="94"/>
      <w:bookmarkEnd w:id="95"/>
      <w:bookmarkEnd w:id="96"/>
      <w:bookmarkEnd w:id="97"/>
      <w:bookmarkEnd w:id="98"/>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40" w:lineRule="exact"/>
        <w:ind w:firstLine="3906" w:firstLineChars="1860"/>
        <w:jc w:val="righ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99" w:name="_Toc224103306"/>
      <w:bookmarkStart w:id="100" w:name="_Toc287620674"/>
      <w:bookmarkStart w:id="101" w:name="_Toc287607735"/>
      <w:bookmarkStart w:id="102" w:name="_Toc430530423"/>
    </w:p>
    <w:p>
      <w:pPr>
        <w:pStyle w:val="3"/>
        <w:spacing w:line="360" w:lineRule="auto"/>
        <w:jc w:val="center"/>
        <w:rPr>
          <w:rFonts w:ascii="宋体" w:hAnsi="宋体"/>
          <w:snapToGrid w:val="0"/>
        </w:rPr>
      </w:pPr>
      <w:bookmarkStart w:id="103" w:name="_Toc24407"/>
      <w:bookmarkStart w:id="104" w:name="_Toc509218699"/>
      <w:bookmarkStart w:id="105" w:name="_Toc2850"/>
      <w:bookmarkStart w:id="106" w:name="_Toc4776"/>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99"/>
      <w:bookmarkEnd w:id="100"/>
      <w:bookmarkEnd w:id="101"/>
      <w:bookmarkEnd w:id="102"/>
      <w:bookmarkEnd w:id="103"/>
      <w:bookmarkEnd w:id="104"/>
      <w:bookmarkEnd w:id="105"/>
      <w:bookmarkEnd w:id="106"/>
    </w:p>
    <w:p>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pPr>
        <w:pStyle w:val="4"/>
        <w:spacing w:before="100" w:after="100" w:line="450" w:lineRule="exact"/>
        <w:rPr>
          <w:rFonts w:ascii="宋体" w:hAnsi="宋体"/>
          <w:snapToGrid w:val="0"/>
          <w:sz w:val="28"/>
          <w:szCs w:val="28"/>
        </w:rPr>
      </w:pPr>
      <w:bookmarkStart w:id="107" w:name="_Toc30287"/>
      <w:bookmarkStart w:id="108" w:name="_Toc25507"/>
      <w:bookmarkStart w:id="109" w:name="_Toc277082543"/>
      <w:bookmarkStart w:id="110" w:name="_Toc224103307"/>
      <w:bookmarkStart w:id="111" w:name="_Toc6412"/>
      <w:bookmarkStart w:id="112" w:name="_Toc287607736"/>
      <w:bookmarkStart w:id="113" w:name="_Toc287620675"/>
      <w:bookmarkStart w:id="114" w:name="_Toc430530424"/>
      <w:bookmarkStart w:id="115" w:name="_Toc509218700"/>
      <w:r>
        <w:rPr>
          <w:rFonts w:ascii="宋体" w:hAnsi="宋体"/>
          <w:snapToGrid w:val="0"/>
          <w:sz w:val="28"/>
          <w:szCs w:val="28"/>
        </w:rPr>
        <w:t>1.  招标条件</w:t>
      </w:r>
      <w:bookmarkEnd w:id="107"/>
      <w:bookmarkEnd w:id="108"/>
      <w:bookmarkEnd w:id="109"/>
      <w:bookmarkEnd w:id="110"/>
      <w:bookmarkEnd w:id="111"/>
      <w:bookmarkEnd w:id="112"/>
      <w:bookmarkEnd w:id="113"/>
      <w:bookmarkEnd w:id="114"/>
      <w:bookmarkEnd w:id="115"/>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rPr>
        <w:t>（项目审批</w:t>
      </w:r>
      <w:r>
        <w:rPr>
          <w:rFonts w:hint="eastAsia" w:ascii="宋体" w:hAnsi="宋体"/>
          <w:snapToGrid w:val="0"/>
          <w:kern w:val="0"/>
          <w:szCs w:val="21"/>
          <w:lang w:val="en-US" w:eastAsia="zh-CN"/>
        </w:rPr>
        <w:t>或</w:t>
      </w:r>
      <w:r>
        <w:rPr>
          <w:rFonts w:ascii="宋体" w:hAnsi="宋体"/>
          <w:snapToGrid w:val="0"/>
          <w:kern w:val="0"/>
          <w:szCs w:val="21"/>
        </w:rPr>
        <w:t>核准机关名称）以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w:t>
      </w:r>
      <w:r>
        <w:rPr>
          <w:rFonts w:hint="eastAsia" w:ascii="宋体" w:hAnsi="宋体"/>
          <w:snapToGrid w:val="0"/>
          <w:kern w:val="0"/>
          <w:szCs w:val="21"/>
          <w:lang w:val="en-US" w:eastAsia="zh-CN"/>
        </w:rPr>
        <w:t>项目</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rPr>
        <w:t>该项目的工程总承包</w:t>
      </w:r>
      <w:r>
        <w:rPr>
          <w:rFonts w:ascii="宋体" w:hAnsi="宋体"/>
          <w:snapToGrid w:val="0"/>
          <w:kern w:val="0"/>
          <w:szCs w:val="21"/>
        </w:rPr>
        <w:t>投标。</w:t>
      </w:r>
    </w:p>
    <w:p>
      <w:pPr>
        <w:pStyle w:val="4"/>
        <w:spacing w:before="100" w:after="100" w:line="450" w:lineRule="exact"/>
        <w:rPr>
          <w:rFonts w:ascii="宋体" w:hAnsi="宋体"/>
          <w:snapToGrid w:val="0"/>
          <w:sz w:val="28"/>
          <w:szCs w:val="28"/>
        </w:rPr>
      </w:pPr>
      <w:bookmarkStart w:id="116" w:name="_Toc277082544"/>
      <w:bookmarkStart w:id="117" w:name="_Toc509218701"/>
      <w:bookmarkStart w:id="118" w:name="_Toc30285"/>
      <w:bookmarkStart w:id="119" w:name="_Toc430530425"/>
      <w:bookmarkStart w:id="120" w:name="_Toc1301"/>
      <w:bookmarkStart w:id="121" w:name="_Toc287607737"/>
      <w:bookmarkStart w:id="122" w:name="_Toc224103308"/>
      <w:bookmarkStart w:id="123" w:name="_Toc27955"/>
      <w:bookmarkStart w:id="124" w:name="_Toc287620676"/>
      <w:r>
        <w:rPr>
          <w:rFonts w:ascii="宋体" w:hAnsi="宋体"/>
          <w:snapToGrid w:val="0"/>
          <w:sz w:val="28"/>
          <w:szCs w:val="28"/>
        </w:rPr>
        <w:t>2.  项目概况与招标范围</w:t>
      </w:r>
      <w:bookmarkEnd w:id="116"/>
      <w:bookmarkEnd w:id="117"/>
      <w:bookmarkEnd w:id="118"/>
      <w:bookmarkEnd w:id="119"/>
      <w:bookmarkEnd w:id="120"/>
      <w:bookmarkEnd w:id="121"/>
      <w:bookmarkEnd w:id="122"/>
      <w:bookmarkEnd w:id="123"/>
      <w:bookmarkEnd w:id="124"/>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[提示：项目</w:t>
      </w:r>
      <w:r>
        <w:rPr>
          <w:rFonts w:hint="eastAsia" w:ascii="宋体" w:hAnsi="宋体"/>
          <w:i/>
          <w:snapToGrid w:val="0"/>
          <w:kern w:val="0"/>
          <w:szCs w:val="21"/>
          <w:lang w:val="en-US" w:eastAsia="zh-CN"/>
        </w:rPr>
        <w:t>概况与</w:t>
      </w:r>
      <w:r>
        <w:rPr>
          <w:rFonts w:hint="eastAsia" w:ascii="宋体" w:hAnsi="宋体"/>
          <w:i/>
          <w:snapToGrid w:val="0"/>
          <w:kern w:val="0"/>
          <w:szCs w:val="21"/>
        </w:rPr>
        <w:t>建设规模应体现与业绩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对应的参数，包括但不限于：建筑面积、高度、长度、道路等级等。]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i/>
          <w:snapToGrid w:val="0"/>
          <w:kern w:val="0"/>
          <w:szCs w:val="21"/>
        </w:rPr>
        <w:t>[提示：采用工程总承包方式的政府投资项目，原则上应当在初步设计审批完成后进行工程总承包项目发包。</w:t>
      </w:r>
      <w:r>
        <w:rPr>
          <w:rFonts w:ascii="宋体" w:hAnsi="宋体"/>
          <w:i/>
          <w:szCs w:val="21"/>
        </w:rPr>
        <w:t>招标范围应准确明了，</w:t>
      </w:r>
      <w:r>
        <w:rPr>
          <w:rFonts w:hint="eastAsia" w:ascii="宋体" w:hAnsi="宋体"/>
          <w:i/>
          <w:szCs w:val="21"/>
        </w:rPr>
        <w:t>按照项目审批、核准文件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pacing w:line="460" w:lineRule="exact"/>
        <w:ind w:firstLine="840" w:firstLineChars="400"/>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u w:val="single"/>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125" w:name="_Toc8376"/>
      <w:bookmarkStart w:id="126" w:name="_Toc1670"/>
      <w:r>
        <w:rPr>
          <w:rFonts w:hint="default"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default" w:ascii="宋体" w:hAnsi="宋体"/>
          <w:snapToGrid w:val="0"/>
          <w:sz w:val="28"/>
          <w:szCs w:val="28"/>
          <w:lang w:val="en-US" w:eastAsia="zh-CN"/>
        </w:rPr>
        <w:t>政府采购工程</w:t>
      </w:r>
      <w:bookmarkEnd w:id="125"/>
      <w:bookmarkEnd w:id="126"/>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hint="eastAsia" w:ascii="宋体" w:hAnsi="宋体"/>
          <w:i/>
          <w:iCs/>
          <w:snapToGrid w:val="0"/>
          <w:kern w:val="0"/>
          <w:szCs w:val="21"/>
          <w:highlight w:val="none"/>
          <w:u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highlight w:val="none"/>
        </w:rPr>
      </w:pP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50" w:lineRule="exact"/>
        <w:rPr>
          <w:rFonts w:ascii="宋体" w:hAnsi="宋体"/>
          <w:snapToGrid w:val="0"/>
          <w:sz w:val="28"/>
          <w:szCs w:val="28"/>
        </w:rPr>
      </w:pPr>
      <w:bookmarkStart w:id="127" w:name="_Toc509218702"/>
      <w:bookmarkStart w:id="128" w:name="_Toc10268"/>
      <w:bookmarkStart w:id="129" w:name="_Toc14651"/>
      <w:bookmarkStart w:id="130" w:name="_Toc224103309"/>
      <w:bookmarkStart w:id="131" w:name="_Toc287620677"/>
      <w:bookmarkStart w:id="132" w:name="_Toc287607738"/>
      <w:bookmarkStart w:id="133" w:name="_Toc277082545"/>
      <w:bookmarkStart w:id="134" w:name="_Toc2845"/>
      <w:bookmarkStart w:id="135" w:name="_Toc430530426"/>
      <w:r>
        <w:rPr>
          <w:rFonts w:hint="eastAsia" w:ascii="宋体" w:hAnsi="宋体"/>
          <w:snapToGrid w:val="0"/>
          <w:sz w:val="28"/>
          <w:szCs w:val="28"/>
          <w:lang w:val="en-US" w:eastAsia="zh-CN"/>
        </w:rPr>
        <w:t>4</w:t>
      </w:r>
      <w:r>
        <w:rPr>
          <w:rFonts w:ascii="宋体" w:hAnsi="宋体"/>
          <w:snapToGrid w:val="0"/>
          <w:sz w:val="28"/>
          <w:szCs w:val="28"/>
        </w:rPr>
        <w:t>.  投标人资格要求</w:t>
      </w:r>
      <w:bookmarkEnd w:id="127"/>
      <w:bookmarkEnd w:id="128"/>
      <w:bookmarkEnd w:id="129"/>
      <w:bookmarkEnd w:id="130"/>
      <w:bookmarkEnd w:id="131"/>
      <w:bookmarkEnd w:id="132"/>
      <w:bookmarkEnd w:id="133"/>
      <w:bookmarkEnd w:id="134"/>
      <w:bookmarkEnd w:id="135"/>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设备、资金等方面具有相应的实施能力，详见招标文件第二章投标人须知前附表第1.4.1</w:t>
      </w:r>
      <w:r>
        <w:rPr>
          <w:rFonts w:hint="eastAsia" w:ascii="宋体" w:hAnsi="宋体"/>
          <w:snapToGrid w:val="0"/>
          <w:kern w:val="0"/>
          <w:szCs w:val="21"/>
          <w:lang w:val="en-US" w:eastAsia="zh-CN"/>
        </w:rPr>
        <w:t>项</w:t>
      </w:r>
      <w:r>
        <w:rPr>
          <w:rFonts w:hint="eastAsia" w:ascii="宋体" w:hAnsi="宋体"/>
          <w:snapToGrid w:val="0"/>
          <w:kern w:val="0"/>
          <w:szCs w:val="21"/>
        </w:rPr>
        <w:t>内容。</w:t>
      </w:r>
    </w:p>
    <w:p>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你单位</w:t>
      </w:r>
      <w:r>
        <w:rPr>
          <w:rFonts w:hint="eastAsia" w:ascii="宋体" w:hAnsi="宋体"/>
          <w:snapToGrid w:val="0"/>
          <w:kern w:val="0"/>
          <w:szCs w:val="21"/>
        </w:rPr>
        <w:t>□可以□不可以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50" w:lineRule="exact"/>
        <w:rPr>
          <w:rFonts w:ascii="宋体" w:hAnsi="宋体"/>
          <w:snapToGrid w:val="0"/>
          <w:sz w:val="28"/>
          <w:szCs w:val="28"/>
        </w:rPr>
      </w:pPr>
      <w:bookmarkStart w:id="136" w:name="_Toc287607739"/>
      <w:bookmarkStart w:id="137" w:name="_Toc430530427"/>
      <w:bookmarkStart w:id="138" w:name="_Toc9188"/>
      <w:bookmarkStart w:id="139" w:name="_Toc277082546"/>
      <w:bookmarkStart w:id="140" w:name="_Toc11118"/>
      <w:bookmarkStart w:id="141" w:name="_Toc509218703"/>
      <w:bookmarkStart w:id="142" w:name="_Toc1037"/>
      <w:bookmarkStart w:id="143" w:name="_Toc224103310"/>
      <w:bookmarkStart w:id="144" w:name="_Toc287620678"/>
      <w:r>
        <w:rPr>
          <w:rFonts w:hint="eastAsia" w:ascii="宋体" w:hAnsi="宋体"/>
          <w:snapToGrid w:val="0"/>
          <w:sz w:val="28"/>
          <w:szCs w:val="28"/>
          <w:lang w:val="en-US" w:eastAsia="zh-CN"/>
        </w:rPr>
        <w:t>5</w:t>
      </w:r>
      <w:r>
        <w:rPr>
          <w:rFonts w:ascii="宋体" w:hAnsi="宋体"/>
          <w:snapToGrid w:val="0"/>
          <w:sz w:val="28"/>
          <w:szCs w:val="28"/>
        </w:rPr>
        <w:t>.  招标文件的获取</w:t>
      </w:r>
      <w:bookmarkEnd w:id="136"/>
      <w:bookmarkEnd w:id="137"/>
      <w:bookmarkEnd w:id="138"/>
      <w:bookmarkEnd w:id="139"/>
      <w:bookmarkEnd w:id="140"/>
      <w:bookmarkEnd w:id="141"/>
      <w:bookmarkEnd w:id="142"/>
      <w:bookmarkEnd w:id="143"/>
      <w:bookmarkEnd w:id="144"/>
    </w:p>
    <w:p>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45" w:name="_Toc277082547"/>
      <w:bookmarkStart w:id="146" w:name="_Toc287607740"/>
      <w:bookmarkStart w:id="147" w:name="_Toc224103311"/>
      <w:bookmarkStart w:id="148" w:name="_Toc287620679"/>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w:t>
      </w:r>
      <w:r>
        <w:rPr>
          <w:rFonts w:ascii="宋体" w:hAnsi="宋体"/>
          <w:snapToGrid w:val="0"/>
          <w:kern w:val="0"/>
          <w:szCs w:val="21"/>
        </w:rPr>
        <w:t>电子招投标，</w:t>
      </w:r>
      <w:r>
        <w:rPr>
          <w:rFonts w:hint="eastAsia" w:ascii="宋体" w:hAnsi="宋体"/>
          <w:snapToGrid w:val="0"/>
          <w:kern w:val="0"/>
          <w:szCs w:val="21"/>
        </w:rPr>
        <w:t>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w:t>
      </w:r>
      <w:r>
        <w:rPr>
          <w:rFonts w:hint="eastAsia" w:ascii="宋体" w:hAnsi="宋体"/>
          <w:snapToGrid w:val="0"/>
          <w:kern w:val="0"/>
          <w:szCs w:val="21"/>
        </w:rPr>
        <w:t>（如有）</w:t>
      </w:r>
      <w:r>
        <w:rPr>
          <w:rFonts w:ascii="宋体" w:hAnsi="宋体"/>
          <w:snapToGrid w:val="0"/>
          <w:kern w:val="0"/>
          <w:szCs w:val="21"/>
        </w:rPr>
        <w:t>、图纸、澄清、修改、补充通知、最高限价通知等全部招标资料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pPr>
        <w:tabs>
          <w:tab w:val="left" w:pos="2420"/>
          <w:tab w:val="left" w:pos="5445"/>
        </w:tabs>
        <w:autoSpaceDE w:val="0"/>
        <w:autoSpaceDN w:val="0"/>
        <w:adjustRightInd w:val="0"/>
        <w:snapToGrid w:val="0"/>
        <w:spacing w:line="450" w:lineRule="exact"/>
        <w:ind w:firstLine="420"/>
      </w:pPr>
      <w:r>
        <w:rPr>
          <w:rFonts w:hint="eastAsia"/>
          <w:lang w:val="en-US" w:eastAsia="zh-CN"/>
        </w:rPr>
        <w:t>5</w:t>
      </w:r>
      <w:r>
        <w:rPr>
          <w:rFonts w:hint="eastAsia"/>
        </w:rPr>
        <w:t>.</w:t>
      </w:r>
      <w:r>
        <w:t>2</w:t>
      </w:r>
      <w:r>
        <w:rPr>
          <w:rFonts w:hint="eastAsia"/>
        </w:rPr>
        <w:t xml:space="preserve"> </w:t>
      </w:r>
      <w:r>
        <w:t xml:space="preserve"> </w:t>
      </w:r>
      <w:r>
        <w:rPr>
          <w:rFonts w:hint="eastAsia"/>
        </w:rPr>
        <w:t>投标人</w:t>
      </w:r>
      <w:r>
        <w:rPr>
          <w:rFonts w:hint="eastAsia" w:ascii="宋体" w:hAnsi="宋体"/>
          <w:snapToGrid w:val="0"/>
          <w:kern w:val="0"/>
          <w:szCs w:val="21"/>
        </w:rPr>
        <w:t>可在附件投标邀请书规定的时限内</w:t>
      </w:r>
      <w:r>
        <w:rPr>
          <w:rFonts w:hint="eastAsia"/>
        </w:rPr>
        <w:t>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对本</w:t>
      </w:r>
      <w:r>
        <w:t>项目招标文件</w:t>
      </w:r>
      <w:r>
        <w:rPr>
          <w:rFonts w:hint="eastAsia"/>
        </w:rPr>
        <w:t>提出疑问。</w:t>
      </w:r>
    </w:p>
    <w:p>
      <w:pPr>
        <w:tabs>
          <w:tab w:val="left" w:pos="2420"/>
          <w:tab w:val="left" w:pos="5445"/>
        </w:tabs>
        <w:autoSpaceDE w:val="0"/>
        <w:autoSpaceDN w:val="0"/>
        <w:adjustRightInd w:val="0"/>
        <w:snapToGrid w:val="0"/>
        <w:spacing w:line="450" w:lineRule="exact"/>
        <w:ind w:firstLine="420"/>
      </w:pPr>
      <w:r>
        <w:rPr>
          <w:rFonts w:hint="eastAsia"/>
          <w:lang w:val="en-US" w:eastAsia="zh-CN"/>
        </w:rPr>
        <w:t>5</w:t>
      </w:r>
      <w:r>
        <w:rPr>
          <w:rFonts w:hint="eastAsia"/>
        </w:rPr>
        <w:t>.</w:t>
      </w:r>
      <w:r>
        <w:t>3</w:t>
      </w:r>
      <w:r>
        <w:rPr>
          <w:rFonts w:hint="eastAsia"/>
        </w:rPr>
        <w:t xml:space="preserve"> </w:t>
      </w:r>
      <w:r>
        <w:t xml:space="preserve"> </w:t>
      </w:r>
      <w:r>
        <w:rPr>
          <w:rFonts w:hint="eastAsia"/>
        </w:rPr>
        <w:t>招标人应</w:t>
      </w:r>
      <w:r>
        <w:rPr>
          <w:rFonts w:hint="eastAsia" w:ascii="宋体" w:hAnsi="宋体"/>
          <w:snapToGrid w:val="0"/>
          <w:kern w:val="0"/>
          <w:szCs w:val="21"/>
        </w:rPr>
        <w:t>在附件投标邀请书规定的时限内</w:t>
      </w:r>
      <w:r>
        <w:rPr>
          <w:rFonts w:hint="eastAsia"/>
        </w:rPr>
        <w:t>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发布澄清或修改。</w:t>
      </w:r>
    </w:p>
    <w:p>
      <w:pPr>
        <w:pStyle w:val="4"/>
        <w:spacing w:before="100" w:after="100" w:line="450" w:lineRule="exact"/>
        <w:rPr>
          <w:rFonts w:ascii="宋体" w:hAnsi="宋体"/>
          <w:snapToGrid w:val="0"/>
          <w:sz w:val="28"/>
          <w:szCs w:val="28"/>
        </w:rPr>
      </w:pPr>
      <w:bookmarkStart w:id="149" w:name="_Toc22226"/>
      <w:bookmarkStart w:id="150" w:name="_Toc509218704"/>
      <w:bookmarkStart w:id="151" w:name="_Toc430530428"/>
      <w:bookmarkStart w:id="152" w:name="_Toc32021"/>
      <w:bookmarkStart w:id="153" w:name="_Toc25290"/>
      <w:r>
        <w:rPr>
          <w:rFonts w:hint="eastAsia" w:ascii="宋体" w:hAnsi="宋体"/>
          <w:snapToGrid w:val="0"/>
          <w:sz w:val="28"/>
          <w:szCs w:val="28"/>
          <w:lang w:val="en-US" w:eastAsia="zh-CN"/>
        </w:rPr>
        <w:t>6</w:t>
      </w:r>
      <w:r>
        <w:rPr>
          <w:rFonts w:ascii="宋体" w:hAnsi="宋体"/>
          <w:snapToGrid w:val="0"/>
          <w:sz w:val="28"/>
          <w:szCs w:val="28"/>
        </w:rPr>
        <w:t>.  投标文件的递交</w:t>
      </w:r>
      <w:bookmarkEnd w:id="145"/>
      <w:bookmarkEnd w:id="146"/>
      <w:bookmarkEnd w:id="147"/>
      <w:bookmarkEnd w:id="148"/>
      <w:bookmarkEnd w:id="149"/>
      <w:bookmarkEnd w:id="150"/>
      <w:bookmarkEnd w:id="151"/>
      <w:bookmarkEnd w:id="152"/>
      <w:bookmarkEnd w:id="153"/>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未按要求加密的电子投标文件，将无法上传至重庆市电子招投标系统，逾期未完成投标文件上传的，视为撤回投标文件。</w:t>
      </w:r>
    </w:p>
    <w:p>
      <w:pPr>
        <w:pStyle w:val="4"/>
        <w:spacing w:before="100" w:after="100" w:line="450" w:lineRule="exact"/>
        <w:rPr>
          <w:rFonts w:ascii="宋体" w:hAnsi="宋体"/>
          <w:snapToGrid w:val="0"/>
          <w:sz w:val="28"/>
          <w:szCs w:val="28"/>
        </w:rPr>
      </w:pPr>
      <w:bookmarkStart w:id="154" w:name="_Toc19295"/>
      <w:bookmarkStart w:id="155" w:name="_Toc509218705"/>
      <w:bookmarkStart w:id="156" w:name="_Toc287620680"/>
      <w:bookmarkStart w:id="157" w:name="_Toc277082548"/>
      <w:bookmarkStart w:id="158" w:name="_Toc430530429"/>
      <w:bookmarkStart w:id="159" w:name="_Toc3914"/>
      <w:bookmarkStart w:id="160" w:name="_Toc224103312"/>
      <w:bookmarkStart w:id="161" w:name="_Toc287607741"/>
      <w:bookmarkStart w:id="162" w:name="_Toc28839"/>
      <w:r>
        <w:rPr>
          <w:rFonts w:hint="eastAsia" w:ascii="宋体" w:hAnsi="宋体"/>
          <w:snapToGrid w:val="0"/>
          <w:sz w:val="28"/>
          <w:szCs w:val="28"/>
          <w:lang w:val="en-US" w:eastAsia="zh-CN"/>
        </w:rPr>
        <w:t>7</w:t>
      </w:r>
      <w:r>
        <w:rPr>
          <w:rFonts w:ascii="宋体" w:hAnsi="宋体"/>
          <w:snapToGrid w:val="0"/>
          <w:sz w:val="28"/>
          <w:szCs w:val="28"/>
        </w:rPr>
        <w:t>.  确认</w:t>
      </w:r>
      <w:bookmarkEnd w:id="154"/>
      <w:bookmarkEnd w:id="155"/>
      <w:bookmarkEnd w:id="156"/>
      <w:bookmarkEnd w:id="157"/>
      <w:bookmarkEnd w:id="158"/>
      <w:bookmarkEnd w:id="159"/>
      <w:bookmarkEnd w:id="160"/>
      <w:bookmarkEnd w:id="161"/>
      <w:bookmarkEnd w:id="162"/>
    </w:p>
    <w:p>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pStyle w:val="4"/>
        <w:spacing w:before="100" w:after="100" w:line="450" w:lineRule="exact"/>
        <w:rPr>
          <w:rFonts w:ascii="宋体" w:hAnsi="宋体"/>
          <w:snapToGrid w:val="0"/>
          <w:sz w:val="28"/>
          <w:szCs w:val="28"/>
        </w:rPr>
      </w:pPr>
      <w:bookmarkStart w:id="163" w:name="_Toc23746"/>
      <w:bookmarkStart w:id="164" w:name="_Toc430530430"/>
      <w:bookmarkStart w:id="165" w:name="_Toc287607742"/>
      <w:bookmarkStart w:id="166" w:name="_Toc224103313"/>
      <w:bookmarkStart w:id="167" w:name="_Toc23273"/>
      <w:bookmarkStart w:id="168" w:name="_Toc277082549"/>
      <w:bookmarkStart w:id="169" w:name="_Toc509218706"/>
      <w:bookmarkStart w:id="170" w:name="_Toc17819"/>
      <w:bookmarkStart w:id="171" w:name="_Toc287620681"/>
      <w:r>
        <w:rPr>
          <w:rFonts w:hint="eastAsia" w:ascii="宋体" w:hAnsi="宋体"/>
          <w:snapToGrid w:val="0"/>
          <w:sz w:val="28"/>
          <w:szCs w:val="28"/>
          <w:lang w:val="en-US" w:eastAsia="zh-CN"/>
        </w:rPr>
        <w:t>8</w:t>
      </w:r>
      <w:r>
        <w:rPr>
          <w:rFonts w:ascii="宋体" w:hAnsi="宋体"/>
          <w:snapToGrid w:val="0"/>
          <w:sz w:val="28"/>
          <w:szCs w:val="28"/>
        </w:rPr>
        <w:t>.  联系方式</w:t>
      </w:r>
      <w:bookmarkEnd w:id="163"/>
      <w:bookmarkEnd w:id="164"/>
      <w:bookmarkEnd w:id="165"/>
      <w:bookmarkEnd w:id="166"/>
      <w:bookmarkEnd w:id="167"/>
      <w:bookmarkEnd w:id="168"/>
      <w:bookmarkEnd w:id="169"/>
      <w:bookmarkEnd w:id="170"/>
      <w:bookmarkEnd w:id="171"/>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jc w:val="right"/>
        <w:rPr>
          <w:rFonts w:ascii="宋体" w:hAnsi="宋体"/>
          <w:snapToGrid w:val="0"/>
          <w:kern w:val="0"/>
          <w:szCs w:val="21"/>
          <w:u w:val="single"/>
        </w:rPr>
      </w:pPr>
    </w:p>
    <w:p>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pPr>
        <w:pStyle w:val="3"/>
        <w:spacing w:line="360" w:lineRule="auto"/>
        <w:rPr>
          <w:rFonts w:ascii="宋体" w:hAnsi="宋体"/>
          <w:snapToGrid w:val="0"/>
          <w:kern w:val="0"/>
        </w:rPr>
      </w:pPr>
      <w:bookmarkStart w:id="172" w:name="_Toc27223"/>
      <w:bookmarkStart w:id="173" w:name="_Toc224103314"/>
      <w:bookmarkStart w:id="174" w:name="_Toc23394"/>
      <w:bookmarkStart w:id="175" w:name="_Toc430530431"/>
      <w:bookmarkStart w:id="176" w:name="_Toc509218707"/>
      <w:bookmarkStart w:id="177" w:name="_Toc287607743"/>
      <w:bookmarkStart w:id="178" w:name="_Toc3979"/>
      <w:bookmarkStart w:id="179" w:name="_Toc277082550"/>
      <w:bookmarkStart w:id="180" w:name="_Toc287620682"/>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72"/>
      <w:bookmarkEnd w:id="173"/>
      <w:bookmarkEnd w:id="174"/>
      <w:bookmarkEnd w:id="175"/>
      <w:bookmarkEnd w:id="176"/>
      <w:bookmarkEnd w:id="177"/>
      <w:bookmarkEnd w:id="178"/>
      <w:bookmarkEnd w:id="179"/>
      <w:bookmarkEnd w:id="180"/>
    </w:p>
    <w:p>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pPr>
        <w:tabs>
          <w:tab w:val="left" w:pos="2420"/>
          <w:tab w:val="left" w:pos="5445"/>
        </w:tabs>
        <w:autoSpaceDE w:val="0"/>
        <w:autoSpaceDN w:val="0"/>
        <w:adjustRightInd w:val="0"/>
        <w:snapToGrid w:val="0"/>
        <w:spacing w:line="460" w:lineRule="exact"/>
        <w:ind w:firstLine="420"/>
        <w:rPr>
          <w:rFonts w:ascii="宋体" w:hAnsi="宋体"/>
          <w:snapToGrid w:val="0"/>
          <w:kern w:val="0"/>
          <w:szCs w:val="21"/>
        </w:rPr>
      </w:pPr>
      <w:r>
        <w:rPr>
          <w:rFonts w:ascii="宋体" w:hAnsi="宋体"/>
          <w:snapToGrid w:val="0"/>
          <w:kern w:val="0"/>
          <w:szCs w:val="21"/>
        </w:rPr>
        <w:t>本招标项目采用</w:t>
      </w:r>
      <w:r>
        <w:rPr>
          <w:rFonts w:hint="eastAsia" w:ascii="宋体" w:hAnsi="宋体"/>
          <w:snapToGrid w:val="0"/>
          <w:kern w:val="0"/>
          <w:szCs w:val="21"/>
        </w:rPr>
        <w:t>全流程</w:t>
      </w:r>
      <w:r>
        <w:rPr>
          <w:rFonts w:ascii="宋体" w:hAnsi="宋体"/>
          <w:snapToGrid w:val="0"/>
          <w:kern w:val="0"/>
          <w:szCs w:val="21"/>
        </w:rPr>
        <w:t>电子招投标，</w:t>
      </w:r>
      <w:r>
        <w:rPr>
          <w:rFonts w:hint="eastAsia" w:ascii="宋体" w:hAnsi="宋体"/>
          <w:snapToGrid w:val="0"/>
          <w:kern w:val="0"/>
          <w:szCs w:val="21"/>
        </w:rPr>
        <w:t>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w:t>
      </w:r>
      <w:r>
        <w:rPr>
          <w:rFonts w:hint="eastAsia" w:ascii="宋体" w:hAnsi="宋体"/>
          <w:snapToGrid w:val="0"/>
          <w:kern w:val="0"/>
          <w:szCs w:val="21"/>
        </w:rPr>
        <w:t>（如有）</w:t>
      </w:r>
      <w:r>
        <w:rPr>
          <w:rFonts w:ascii="宋体" w:hAnsi="宋体"/>
          <w:snapToGrid w:val="0"/>
          <w:kern w:val="0"/>
          <w:szCs w:val="21"/>
        </w:rPr>
        <w:t>、图纸、澄清、修改、补充通知、最高限价通知等全部招标资料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未按要求加密的电子投标文件，将无法上传至重庆市电子招投标系统，逾期未完成投标文件上传的，视为撤回投标文件。</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81" w:name="_Toc224103315"/>
      <w:bookmarkStart w:id="182" w:name="_Toc287607744"/>
      <w:bookmarkStart w:id="183" w:name="_Toc430530432"/>
      <w:bookmarkStart w:id="184" w:name="_Toc287620683"/>
    </w:p>
    <w:p>
      <w:pPr>
        <w:pStyle w:val="3"/>
        <w:spacing w:line="360" w:lineRule="auto"/>
        <w:jc w:val="center"/>
        <w:rPr>
          <w:rFonts w:ascii="宋体" w:hAnsi="宋体"/>
          <w:bCs w:val="0"/>
          <w:snapToGrid w:val="0"/>
          <w:kern w:val="0"/>
        </w:rPr>
      </w:pPr>
      <w:r>
        <w:rPr>
          <w:rFonts w:ascii="宋体" w:hAnsi="宋体"/>
          <w:bCs w:val="0"/>
          <w:snapToGrid w:val="0"/>
          <w:kern w:val="0"/>
        </w:rPr>
        <w:br w:type="page"/>
      </w:r>
      <w:bookmarkStart w:id="185" w:name="_Toc19092"/>
      <w:bookmarkStart w:id="186" w:name="_Toc12574"/>
      <w:bookmarkStart w:id="187" w:name="_Toc4096"/>
      <w:r>
        <w:rPr>
          <w:rFonts w:ascii="宋体" w:hAnsi="宋体"/>
          <w:snapToGrid w:val="0"/>
          <w:kern w:val="0"/>
        </w:rPr>
        <w:t>第二章  投标人须知</w:t>
      </w:r>
      <w:bookmarkEnd w:id="181"/>
      <w:bookmarkEnd w:id="182"/>
      <w:bookmarkEnd w:id="183"/>
      <w:bookmarkEnd w:id="184"/>
      <w:bookmarkEnd w:id="185"/>
      <w:bookmarkEnd w:id="186"/>
      <w:bookmarkEnd w:id="187"/>
      <w:bookmarkStart w:id="188" w:name="_Toc277082551"/>
      <w:bookmarkStart w:id="189" w:name="_Toc287620684"/>
      <w:bookmarkStart w:id="190" w:name="_Toc430530433"/>
      <w:bookmarkStart w:id="191" w:name="_Toc287607745"/>
      <w:bookmarkStart w:id="192" w:name="_Toc224103316"/>
    </w:p>
    <w:p>
      <w:pPr>
        <w:pStyle w:val="4"/>
        <w:spacing w:before="100" w:after="100" w:line="360" w:lineRule="auto"/>
        <w:rPr>
          <w:rFonts w:ascii="宋体" w:hAnsi="宋体"/>
        </w:rPr>
      </w:pPr>
      <w:bookmarkStart w:id="193" w:name="_Toc509218708"/>
      <w:bookmarkStart w:id="194" w:name="_Toc7474"/>
      <w:bookmarkStart w:id="195" w:name="_Toc6973"/>
      <w:bookmarkStart w:id="196" w:name="_Toc7807"/>
      <w:r>
        <w:rPr>
          <w:rFonts w:hint="eastAsia" w:ascii="宋体" w:hAnsi="宋体"/>
        </w:rPr>
        <w:t>投标人须知前附表</w:t>
      </w:r>
      <w:bookmarkEnd w:id="188"/>
      <w:bookmarkEnd w:id="189"/>
      <w:bookmarkEnd w:id="190"/>
      <w:bookmarkEnd w:id="191"/>
      <w:bookmarkEnd w:id="192"/>
      <w:bookmarkEnd w:id="193"/>
      <w:bookmarkEnd w:id="194"/>
      <w:bookmarkEnd w:id="195"/>
      <w:bookmarkEnd w:id="196"/>
    </w:p>
    <w:p>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pPr>
              <w:snapToGrid w:val="0"/>
              <w:spacing w:line="400" w:lineRule="exact"/>
              <w:jc w:val="center"/>
              <w:rPr>
                <w:rFonts w:ascii="宋体" w:hAnsi="宋体"/>
                <w:b/>
                <w:kern w:val="0"/>
                <w:szCs w:val="21"/>
              </w:rPr>
            </w:pPr>
            <w:r>
              <w:rPr>
                <w:rFonts w:ascii="宋体" w:hAnsi="宋体"/>
                <w:b/>
                <w:kern w:val="0"/>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pPr>
              <w:snapToGrid w:val="0"/>
              <w:spacing w:line="400" w:lineRule="exact"/>
              <w:rPr>
                <w:rFonts w:hint="default" w:ascii="宋体" w:hAnsi="宋体"/>
                <w:kern w:val="0"/>
                <w:szCs w:val="21"/>
                <w:u w:val="single"/>
              </w:rPr>
            </w:pPr>
            <w:r>
              <w:rPr>
                <w:rFonts w:ascii="宋体" w:hAnsi="宋体"/>
                <w:kern w:val="0"/>
                <w:szCs w:val="21"/>
              </w:rPr>
              <w:t>名称：</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pPr>
              <w:snapToGrid w:val="0"/>
              <w:spacing w:line="400" w:lineRule="exact"/>
              <w:rPr>
                <w:rFonts w:ascii="宋体" w:hAnsi="宋体"/>
                <w:kern w:val="0"/>
                <w:szCs w:val="21"/>
              </w:rPr>
            </w:pPr>
            <w:r>
              <w:rPr>
                <w:rFonts w:ascii="宋体" w:hAnsi="宋体"/>
                <w:kern w:val="0"/>
                <w:szCs w:val="21"/>
              </w:rPr>
              <w:t>名称：</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项目名称</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建设地点</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建设规模</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资金来源</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出资比例</w:t>
            </w:r>
          </w:p>
        </w:tc>
        <w:tc>
          <w:tcPr>
            <w:tcW w:w="6490" w:type="dxa"/>
            <w:vAlign w:val="center"/>
          </w:tcPr>
          <w:p>
            <w:pPr>
              <w:snapToGrid w:val="0"/>
              <w:spacing w:line="400" w:lineRule="exact"/>
              <w:ind w:firstLine="420" w:firstLineChars="200"/>
              <w:jc w:val="left"/>
              <w:rPr>
                <w:rFonts w:ascii="宋体" w:hAnsi="宋体"/>
                <w:szCs w:val="21"/>
              </w:rPr>
            </w:pPr>
            <w:r>
              <w:rPr>
                <w:rFonts w:hint="eastAsia" w:ascii="宋体" w:hAnsi="宋体"/>
                <w:szCs w:val="21"/>
                <w:u w:val="singl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pPr>
              <w:snapToGrid w:val="0"/>
              <w:spacing w:line="400" w:lineRule="exact"/>
              <w:ind w:firstLine="420" w:firstLineChars="200"/>
              <w:jc w:val="left"/>
              <w:rPr>
                <w:rFonts w:ascii="宋体" w:hAnsi="宋体"/>
                <w:szCs w:val="21"/>
              </w:rPr>
            </w:pPr>
            <w:r>
              <w:rPr>
                <w:rFonts w:hint="eastAsia" w:ascii="宋体" w:hAnsi="宋体"/>
                <w:szCs w:val="21"/>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u w:val="single"/>
              </w:rPr>
              <w:t xml:space="preserve">         </w:t>
            </w:r>
          </w:p>
          <w:p>
            <w:pPr>
              <w:snapToGrid w:val="0"/>
              <w:spacing w:line="400" w:lineRule="exact"/>
              <w:ind w:firstLine="420" w:firstLineChars="200"/>
              <w:rPr>
                <w:rFonts w:ascii="宋体" w:hAnsi="宋体"/>
                <w:i/>
                <w:szCs w:val="21"/>
              </w:rPr>
            </w:pPr>
            <w:r>
              <w:rPr>
                <w:rFonts w:hint="eastAsia" w:ascii="宋体" w:hAnsi="宋体"/>
                <w:i/>
                <w:snapToGrid w:val="0"/>
                <w:kern w:val="0"/>
                <w:szCs w:val="21"/>
              </w:rPr>
              <w:t>[提示：与招标公告保持一致</w:t>
            </w:r>
            <w:r>
              <w:rPr>
                <w:rFonts w:hint="eastAsia" w:ascii="宋体" w:hAnsi="宋体"/>
                <w:i/>
                <w:szCs w:val="21"/>
              </w:rPr>
              <w:t>。</w:t>
            </w:r>
            <w:r>
              <w:rPr>
                <w:rFonts w:hint="eastAsia" w:ascii="宋体" w:hAnsi="宋体"/>
                <w:i/>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计划工期</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质量</w:t>
            </w:r>
            <w:r>
              <w:rPr>
                <w:rFonts w:hint="eastAsia" w:ascii="宋体" w:hAnsi="宋体"/>
                <w:kern w:val="0"/>
                <w:szCs w:val="21"/>
              </w:rPr>
              <w:t>标准</w:t>
            </w:r>
          </w:p>
        </w:tc>
        <w:tc>
          <w:tcPr>
            <w:tcW w:w="6490" w:type="dxa"/>
            <w:vAlign w:val="center"/>
          </w:tcPr>
          <w:p>
            <w:pPr>
              <w:snapToGrid w:val="0"/>
              <w:spacing w:line="400" w:lineRule="exact"/>
              <w:ind w:firstLine="420" w:firstLineChars="200"/>
              <w:rPr>
                <w:rFonts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）设计要求的质量标准：</w:t>
            </w:r>
            <w:r>
              <w:rPr>
                <w:rFonts w:hint="eastAsia" w:ascii="宋体" w:hAnsi="宋体"/>
                <w:szCs w:val="21"/>
                <w:u w:val="single"/>
              </w:rPr>
              <w:t xml:space="preserve">           </w:t>
            </w:r>
          </w:p>
          <w:p>
            <w:pPr>
              <w:snapToGrid w:val="0"/>
              <w:spacing w:line="400" w:lineRule="exact"/>
              <w:ind w:firstLine="420" w:firstLineChars="200"/>
              <w:rPr>
                <w:rFonts w:ascii="宋体" w:hAnsi="宋体"/>
                <w:szCs w:val="21"/>
                <w:u w:val="single"/>
              </w:rPr>
            </w:pPr>
            <w:r>
              <w:rPr>
                <w:rFonts w:hint="eastAsia" w:ascii="宋体" w:hAnsi="宋体"/>
                <w:snapToGrid w:val="0"/>
                <w:kern w:val="0"/>
                <w:szCs w:val="21"/>
              </w:rPr>
              <w:t>□</w:t>
            </w:r>
            <w:r>
              <w:rPr>
                <w:rFonts w:hint="eastAsia" w:ascii="宋体" w:hAnsi="宋体"/>
                <w:szCs w:val="21"/>
              </w:rPr>
              <w:t>（2）专业设备材料的质量标准：</w:t>
            </w:r>
            <w:r>
              <w:rPr>
                <w:rFonts w:hint="eastAsia" w:ascii="宋体" w:hAnsi="宋体"/>
                <w:szCs w:val="21"/>
                <w:u w:val="single"/>
              </w:rPr>
              <w:t xml:space="preserve">           </w:t>
            </w:r>
          </w:p>
          <w:p>
            <w:pPr>
              <w:snapToGrid w:val="0"/>
              <w:spacing w:line="400" w:lineRule="exact"/>
              <w:ind w:firstLine="420" w:firstLineChars="200"/>
              <w:rPr>
                <w:rFonts w:ascii="宋体" w:hAnsi="宋体"/>
                <w:szCs w:val="21"/>
              </w:rPr>
            </w:pPr>
            <w:r>
              <w:rPr>
                <w:rFonts w:hint="eastAsia" w:ascii="宋体" w:hAnsi="宋体"/>
                <w:szCs w:val="21"/>
              </w:rPr>
              <w:t>（3）施工要求的质量标准：符合强制性质量标准，</w:t>
            </w:r>
            <w:r>
              <w:rPr>
                <w:rFonts w:hint="eastAsia" w:ascii="宋体" w:hAnsi="宋体" w:cs="宋体"/>
                <w:kern w:val="0"/>
                <w:szCs w:val="21"/>
                <w:u w:val="single"/>
                <w:lang w:bidi="ar"/>
              </w:rPr>
              <w:t>符合国家和重庆市现行有关施工质量验收规范要求，并达到合格标准</w:t>
            </w:r>
            <w:r>
              <w:rPr>
                <w:rFonts w:ascii="宋体" w:hAnsi="宋体"/>
                <w:szCs w:val="21"/>
              </w:rPr>
              <w:t>。</w:t>
            </w:r>
          </w:p>
          <w:p>
            <w:pPr>
              <w:snapToGrid w:val="0"/>
              <w:spacing w:line="400" w:lineRule="exact"/>
              <w:ind w:firstLine="420" w:firstLineChars="200"/>
              <w:rPr>
                <w:rFonts w:ascii="宋体" w:hAnsi="宋体"/>
                <w:szCs w:val="21"/>
              </w:rPr>
            </w:pPr>
            <w:r>
              <w:rPr>
                <w:rFonts w:hint="eastAsia" w:ascii="宋体" w:hAnsi="宋体"/>
                <w:i/>
                <w:szCs w:val="21"/>
              </w:rPr>
              <w:t>[提示：根据项目实际情况确定合理的质量标准。]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r>
              <w:rPr>
                <w:rFonts w:ascii="宋体" w:hAnsi="宋体"/>
                <w:kern w:val="0"/>
                <w:szCs w:val="21"/>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r>
              <w:rPr>
                <w:rFonts w:ascii="宋体" w:hAnsi="宋体"/>
                <w:kern w:val="0"/>
                <w:szCs w:val="21"/>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r>
              <w:rPr>
                <w:rFonts w:ascii="宋体" w:hAnsi="宋体"/>
                <w:kern w:val="0"/>
                <w:szCs w:val="21"/>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r>
              <w:rPr>
                <w:rFonts w:ascii="宋体" w:hAnsi="宋体"/>
                <w:kern w:val="0"/>
                <w:szCs w:val="21"/>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p>
            <w:pPr>
              <w:keepNext w:val="0"/>
              <w:keepLines w:val="0"/>
              <w:pageBreakBefore w:val="0"/>
              <w:widowControl w:val="0"/>
              <w:kinsoku/>
              <w:wordWrap/>
              <w:overflowPunct/>
              <w:topLinePunct w:val="0"/>
              <w:bidi w:val="0"/>
              <w:snapToGrid w:val="0"/>
              <w:spacing w:line="400" w:lineRule="exact"/>
              <w:jc w:val="center"/>
              <w:textAlignment w:val="auto"/>
              <w:rPr>
                <w:rFonts w:ascii="宋体" w:hAnsi="宋体"/>
                <w:kern w:val="0"/>
                <w:szCs w:val="21"/>
              </w:rPr>
            </w:pPr>
          </w:p>
        </w:tc>
        <w:tc>
          <w:tcPr>
            <w:tcW w:w="649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w:t>
            </w:r>
            <w:r>
              <w:rPr>
                <w:rFonts w:hint="eastAsia" w:ascii="宋体" w:hAnsi="宋体"/>
                <w:i/>
                <w:szCs w:val="21"/>
                <w:lang w:val="en-US" w:eastAsia="zh-CN"/>
              </w:rPr>
              <w:t>4</w:t>
            </w:r>
            <w:r>
              <w:rPr>
                <w:rFonts w:hint="eastAsia" w:ascii="宋体" w:hAnsi="宋体"/>
                <w:i/>
                <w:szCs w:val="21"/>
              </w:rPr>
              <w:t>、</w:t>
            </w:r>
            <w:r>
              <w:rPr>
                <w:rFonts w:hint="eastAsia" w:ascii="宋体" w:hAnsi="宋体"/>
                <w:i/>
                <w:szCs w:val="21"/>
                <w:lang w:val="en-US" w:eastAsia="zh-CN"/>
              </w:rPr>
              <w:t>5</w:t>
            </w:r>
            <w:r>
              <w:rPr>
                <w:rFonts w:hint="eastAsia" w:ascii="宋体" w:hAnsi="宋体"/>
                <w:i/>
                <w:szCs w:val="21"/>
              </w:rPr>
              <w:t>、</w:t>
            </w:r>
            <w:r>
              <w:rPr>
                <w:rFonts w:hint="eastAsia" w:ascii="宋体" w:hAnsi="宋体"/>
                <w:i/>
                <w:szCs w:val="21"/>
                <w:lang w:val="en-US" w:eastAsia="zh-CN"/>
              </w:rPr>
              <w:t>6</w:t>
            </w:r>
            <w:r>
              <w:rPr>
                <w:rFonts w:hint="eastAsia" w:ascii="宋体" w:hAnsi="宋体"/>
                <w:i/>
                <w:szCs w:val="21"/>
              </w:rPr>
              <w:t>项必须具备；</w:t>
            </w:r>
            <w:r>
              <w:rPr>
                <w:rFonts w:ascii="宋体" w:hAnsi="宋体"/>
                <w:i/>
                <w:szCs w:val="21"/>
              </w:rPr>
              <w:t>第2</w:t>
            </w:r>
            <w:r>
              <w:rPr>
                <w:rFonts w:hint="eastAsia" w:ascii="宋体" w:hAnsi="宋体"/>
                <w:i/>
                <w:szCs w:val="21"/>
              </w:rPr>
              <w:t>、3</w:t>
            </w:r>
            <w:r>
              <w:rPr>
                <w:rFonts w:ascii="宋体" w:hAnsi="宋体"/>
                <w:i/>
                <w:szCs w:val="21"/>
              </w:rPr>
              <w:t>项由招标人根据项目情况选设</w:t>
            </w:r>
            <w:r>
              <w:rPr>
                <w:rFonts w:hint="eastAsia" w:ascii="宋体" w:hAnsi="宋体"/>
                <w:i/>
                <w:szCs w:val="21"/>
              </w:rPr>
              <w:t>。</w:t>
            </w:r>
            <w:r>
              <w:rPr>
                <w:rFonts w:ascii="宋体" w:hAnsi="宋体"/>
                <w:i/>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bookmarkStart w:id="197" w:name="OLE_LINK1"/>
            <w:r>
              <w:rPr>
                <w:rFonts w:ascii="宋体" w:hAnsi="宋体"/>
                <w:szCs w:val="21"/>
              </w:rPr>
              <w:t>本工程招标实行资格后审，投标人应</w:t>
            </w:r>
            <w:bookmarkStart w:id="198" w:name="一是"/>
            <w:bookmarkEnd w:id="198"/>
            <w:r>
              <w:rPr>
                <w:rFonts w:ascii="宋体" w:hAnsi="宋体"/>
                <w:szCs w:val="21"/>
              </w:rPr>
              <w:t>具备以下资格条件：</w:t>
            </w:r>
          </w:p>
          <w:bookmarkEnd w:id="197"/>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szCs w:val="21"/>
              </w:rPr>
            </w:pPr>
            <w:r>
              <w:rPr>
                <w:rFonts w:ascii="宋体" w:hAnsi="宋体"/>
                <w:b/>
                <w:szCs w:val="21"/>
              </w:rPr>
              <w:t>1.资质条件、</w:t>
            </w:r>
            <w:r>
              <w:rPr>
                <w:rFonts w:hint="eastAsia" w:ascii="宋体" w:hAnsi="宋体"/>
                <w:b/>
                <w:szCs w:val="21"/>
                <w:lang w:eastAsia="zh-CN"/>
              </w:rPr>
              <w:t>独立法人资格</w:t>
            </w:r>
            <w:r>
              <w:rPr>
                <w:rFonts w:ascii="宋体" w:hAnsi="宋体"/>
                <w:b/>
                <w:szCs w:val="21"/>
              </w:rPr>
              <w:t>及安全生产条件</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iCs/>
                <w:szCs w:val="21"/>
              </w:rPr>
            </w:pPr>
            <w:r>
              <w:rPr>
                <w:rFonts w:ascii="宋体" w:hAnsi="宋体"/>
                <w:i/>
                <w:iCs/>
                <w:szCs w:val="21"/>
              </w:rPr>
              <w:t>[</w:t>
            </w:r>
            <w:r>
              <w:rPr>
                <w:rFonts w:hint="eastAsia" w:ascii="宋体" w:hAnsi="宋体"/>
                <w:i/>
                <w:iCs/>
                <w:szCs w:val="21"/>
              </w:rPr>
              <w:t>提示：</w:t>
            </w:r>
            <w:r>
              <w:rPr>
                <w:rFonts w:ascii="宋体" w:hAnsi="宋体"/>
                <w:i/>
                <w:iCs/>
                <w:szCs w:val="21"/>
              </w:rPr>
              <w:t>资质</w:t>
            </w:r>
            <w:r>
              <w:rPr>
                <w:rFonts w:hint="eastAsia" w:ascii="宋体" w:hAnsi="宋体"/>
                <w:i/>
                <w:iCs/>
                <w:szCs w:val="21"/>
                <w:lang w:val="en-US" w:eastAsia="zh-CN"/>
              </w:rPr>
              <w:t>的</w:t>
            </w:r>
            <w:r>
              <w:rPr>
                <w:rFonts w:ascii="宋体" w:hAnsi="宋体"/>
                <w:i/>
                <w:iCs/>
                <w:szCs w:val="21"/>
              </w:rPr>
              <w:t>设置按照</w:t>
            </w:r>
            <w:r>
              <w:rPr>
                <w:rFonts w:hint="eastAsia" w:ascii="宋体" w:hAnsi="宋体"/>
                <w:i/>
                <w:iCs/>
                <w:szCs w:val="21"/>
                <w:lang w:val="en-US" w:eastAsia="zh-CN"/>
              </w:rPr>
              <w:t>住房城乡建设行业主管部门相关</w:t>
            </w:r>
            <w:r>
              <w:rPr>
                <w:rFonts w:ascii="宋体" w:hAnsi="宋体"/>
                <w:i/>
                <w:iCs/>
                <w:szCs w:val="21"/>
              </w:rPr>
              <w:t>规定执行。</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i/>
                <w:szCs w:val="21"/>
              </w:rPr>
              <w:t>工程总承包项目应设定与工程规模相适应的工程设计资质和施工资质。施工资质应设定相应的施工总承包资质，不得再设置施工总承包资质已涵盖的任何专业承包资质。工程总承包项目中有设定的资质不能涵盖的工作内容的，应当允许分包。]</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u w:val="single"/>
              </w:rPr>
            </w:pPr>
            <w:r>
              <w:rPr>
                <w:rFonts w:ascii="宋体" w:hAnsi="宋体"/>
                <w:szCs w:val="21"/>
              </w:rPr>
              <w:t>（1）</w:t>
            </w:r>
            <w:r>
              <w:rPr>
                <w:rFonts w:hint="eastAsia" w:ascii="宋体" w:hAnsi="宋体"/>
                <w:szCs w:val="21"/>
              </w:rPr>
              <w:t>同时</w:t>
            </w:r>
            <w:r>
              <w:rPr>
                <w:rFonts w:ascii="宋体" w:hAnsi="宋体"/>
                <w:szCs w:val="21"/>
              </w:rPr>
              <w:t>具备建设行政主管部门颁发的有效的</w:t>
            </w:r>
            <w:r>
              <w:rPr>
                <w:rFonts w:hint="eastAsia" w:ascii="宋体" w:hAnsi="宋体"/>
                <w:szCs w:val="21"/>
              </w:rPr>
              <w:t>以下资质</w:t>
            </w:r>
            <w:r>
              <w:rPr>
                <w:rFonts w:ascii="宋体" w:hAnsi="宋体"/>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u w:val="single"/>
              </w:rPr>
            </w:pPr>
            <w:r>
              <w:rPr>
                <w:rFonts w:hint="eastAsia" w:ascii="宋体" w:hAnsi="宋体"/>
                <w:szCs w:val="21"/>
              </w:rPr>
              <w:t>设计资质：</w:t>
            </w:r>
            <w:r>
              <w:rPr>
                <w:rFonts w:hint="eastAsia" w:ascii="宋体" w:hAnsi="宋体"/>
                <w:szCs w:val="21"/>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u w:val="single"/>
              </w:rPr>
            </w:pPr>
            <w:r>
              <w:rPr>
                <w:rFonts w:hint="eastAsia" w:ascii="宋体" w:hAnsi="宋体"/>
                <w:szCs w:val="21"/>
              </w:rPr>
              <w:t>施工资质：</w:t>
            </w:r>
            <w:r>
              <w:rPr>
                <w:rFonts w:hint="eastAsia" w:ascii="宋体" w:hAnsi="宋体"/>
                <w:szCs w:val="21"/>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default" w:ascii="宋体" w:hAnsi="宋体"/>
                <w:szCs w:val="21"/>
                <w:lang w:val="en-US"/>
              </w:rPr>
              <w:t>提供</w:t>
            </w:r>
            <w:r>
              <w:rPr>
                <w:rFonts w:hint="eastAsia" w:ascii="宋体" w:hAnsi="宋体"/>
                <w:szCs w:val="21"/>
                <w:lang w:val="en-US" w:eastAsia="zh-CN"/>
              </w:rPr>
              <w:t>：</w:t>
            </w:r>
            <w:r>
              <w:rPr>
                <w:rFonts w:hint="eastAsia" w:ascii="宋体" w:hAnsi="宋体"/>
                <w:szCs w:val="21"/>
              </w:rPr>
              <w:t>有效的资质证书</w:t>
            </w:r>
            <w:r>
              <w:rPr>
                <w:rFonts w:ascii="宋体" w:hAnsi="宋体"/>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bCs/>
                <w:szCs w:val="21"/>
              </w:rPr>
              <w:t>□</w:t>
            </w:r>
            <w:r>
              <w:rPr>
                <w:rFonts w:hint="eastAsia" w:ascii="宋体" w:hAnsi="宋体"/>
                <w:szCs w:val="21"/>
              </w:rPr>
              <w:t>联合体投标的，</w:t>
            </w:r>
            <w:r>
              <w:rPr>
                <w:rFonts w:hint="eastAsia" w:ascii="宋体" w:hAnsi="宋体"/>
                <w:lang w:val="en-US" w:eastAsia="zh-CN"/>
              </w:rPr>
              <w:t>须提供共同投标协议，并</w:t>
            </w:r>
            <w:r>
              <w:rPr>
                <w:rFonts w:hint="eastAsia" w:ascii="宋体" w:hAnsi="宋体"/>
              </w:rPr>
              <w:t>按</w:t>
            </w:r>
            <w:r>
              <w:rPr>
                <w:rFonts w:hint="eastAsia" w:ascii="宋体" w:hAnsi="宋体"/>
                <w:lang w:val="en-US" w:eastAsia="zh-CN"/>
              </w:rPr>
              <w:t>共同投标协议</w:t>
            </w:r>
            <w:r>
              <w:rPr>
                <w:rFonts w:hint="eastAsia" w:ascii="宋体" w:hAnsi="宋体"/>
              </w:rPr>
              <w:t>约定的分工提供。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ascii="宋体" w:hAnsi="宋体"/>
                <w:szCs w:val="21"/>
              </w:rPr>
              <w:t>（2）具备</w:t>
            </w:r>
            <w:r>
              <w:rPr>
                <w:rFonts w:hint="eastAsia" w:ascii="宋体" w:hAnsi="宋体"/>
                <w:szCs w:val="21"/>
                <w:lang w:val="en-US" w:eastAsia="zh-CN"/>
              </w:rPr>
              <w:t>独立法人资格</w:t>
            </w:r>
            <w:r>
              <w:rPr>
                <w:rFonts w:ascii="宋体" w:hAnsi="宋体"/>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ascii="宋体" w:hAnsi="宋体"/>
                <w:szCs w:val="21"/>
              </w:rPr>
              <w:t>提供</w:t>
            </w:r>
            <w:r>
              <w:rPr>
                <w:rFonts w:hint="eastAsia" w:ascii="宋体" w:hAnsi="宋体"/>
                <w:szCs w:val="21"/>
                <w:lang w:eastAsia="zh-CN"/>
              </w:rPr>
              <w:t>：</w:t>
            </w:r>
            <w:r>
              <w:rPr>
                <w:rFonts w:ascii="宋体" w:hAnsi="宋体"/>
                <w:szCs w:val="21"/>
              </w:rPr>
              <w:t>有效的营业执照。</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bCs/>
                <w:szCs w:val="21"/>
              </w:rPr>
              <w:t>□</w:t>
            </w:r>
            <w:r>
              <w:rPr>
                <w:rFonts w:hint="eastAsia" w:ascii="宋体" w:hAnsi="宋体"/>
                <w:szCs w:val="21"/>
              </w:rPr>
              <w:t>联合体投标的，联合体各方均</w:t>
            </w:r>
            <w:r>
              <w:rPr>
                <w:rFonts w:hint="eastAsia" w:ascii="宋体" w:hAnsi="宋体"/>
                <w:szCs w:val="21"/>
                <w:lang w:val="en-US" w:eastAsia="zh-CN"/>
              </w:rPr>
              <w:t>须满足并</w:t>
            </w:r>
            <w:r>
              <w:rPr>
                <w:rFonts w:hint="eastAsia" w:ascii="宋体" w:hAnsi="宋体"/>
                <w:szCs w:val="21"/>
              </w:rPr>
              <w:t>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pPr>
            <w:r>
              <w:rPr>
                <w:rFonts w:hint="eastAsia"/>
              </w:rPr>
              <w:t>注：不得将投标人营业执照记载的经营范围作为评审因素。</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负责人、拟</w:t>
            </w:r>
            <w:r>
              <w:rPr>
                <w:rFonts w:hint="eastAsia" w:ascii="宋体" w:hAnsi="宋体"/>
                <w:szCs w:val="21"/>
                <w:lang w:val="en-US" w:eastAsia="zh-CN"/>
              </w:rPr>
              <w:t>派</w:t>
            </w:r>
            <w:r>
              <w:rPr>
                <w:rFonts w:hint="eastAsia" w:ascii="宋体" w:hAnsi="宋体"/>
                <w:szCs w:val="21"/>
              </w:rPr>
              <w:t>施工负责人</w:t>
            </w:r>
            <w:r>
              <w:rPr>
                <w:rFonts w:ascii="宋体" w:hAnsi="宋体"/>
                <w:szCs w:val="21"/>
              </w:rPr>
              <w:t>具备相应的由建设行政主管部门颁发的有效的安全生产考核合格证书</w:t>
            </w:r>
            <w:r>
              <w:rPr>
                <w:rFonts w:hint="eastAsia" w:ascii="宋体" w:hAnsi="宋体"/>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有效的安全生产许可证</w:t>
            </w:r>
            <w:r>
              <w:rPr>
                <w:rFonts w:ascii="宋体" w:hAnsi="宋体"/>
                <w:szCs w:val="21"/>
              </w:rPr>
              <w:t>及安全生产考核合格证书。</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bCs/>
                <w:szCs w:val="21"/>
              </w:rPr>
              <w:t>□</w:t>
            </w:r>
            <w:r>
              <w:rPr>
                <w:rFonts w:hint="eastAsia" w:ascii="宋体" w:hAnsi="宋体"/>
                <w:szCs w:val="21"/>
              </w:rPr>
              <w:t>联合体投标的，</w:t>
            </w:r>
            <w:r>
              <w:rPr>
                <w:rFonts w:hint="eastAsia" w:ascii="宋体" w:hAnsi="宋体"/>
                <w:lang w:val="en-US" w:eastAsia="zh-CN"/>
              </w:rPr>
              <w:t>根据共同投标协议承担施工任务的</w:t>
            </w:r>
            <w:r>
              <w:rPr>
                <w:rFonts w:hint="eastAsia" w:ascii="宋体" w:hAnsi="宋体"/>
              </w:rPr>
              <w:t>联合体</w:t>
            </w:r>
            <w:r>
              <w:rPr>
                <w:rFonts w:hint="eastAsia" w:ascii="宋体" w:hAnsi="宋体"/>
                <w:lang w:val="en-US" w:eastAsia="zh-CN"/>
              </w:rPr>
              <w:t>成员</w:t>
            </w:r>
            <w:r>
              <w:rPr>
                <w:rFonts w:hint="eastAsia" w:ascii="宋体" w:hAnsi="宋体"/>
              </w:rPr>
              <w:t>均</w:t>
            </w:r>
            <w:r>
              <w:rPr>
                <w:rFonts w:hint="eastAsia" w:ascii="宋体" w:hAnsi="宋体"/>
                <w:lang w:val="en-US" w:eastAsia="zh-CN"/>
              </w:rPr>
              <w:t>须满足并提供</w:t>
            </w:r>
            <w:r>
              <w:rPr>
                <w:rFonts w:hint="eastAsia" w:ascii="宋体" w:hAnsi="宋体"/>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szCs w:val="21"/>
              </w:rPr>
            </w:pPr>
            <w:r>
              <w:rPr>
                <w:rFonts w:hint="eastAsia" w:ascii="宋体" w:hAnsi="宋体"/>
                <w:b/>
                <w:szCs w:val="21"/>
              </w:rPr>
              <w:t>□</w:t>
            </w:r>
            <w:r>
              <w:rPr>
                <w:rFonts w:ascii="宋体" w:hAnsi="宋体"/>
                <w:b/>
                <w:szCs w:val="21"/>
              </w:rPr>
              <w:t>2.财务要求</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kern w:val="0"/>
                <w:szCs w:val="21"/>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Cs w:val="21"/>
                <w:u w:val="single"/>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w:t>
            </w:r>
            <w:r>
              <w:rPr>
                <w:rFonts w:hint="eastAsia" w:ascii="宋体" w:hAnsi="宋体"/>
                <w:kern w:val="0"/>
                <w:szCs w:val="21"/>
                <w:lang w:val="en-US" w:eastAsia="zh-CN"/>
              </w:rPr>
              <w:t>各</w:t>
            </w:r>
            <w:r>
              <w:rPr>
                <w:rFonts w:hint="eastAsia" w:ascii="宋体" w:hAnsi="宋体"/>
                <w:kern w:val="0"/>
                <w:szCs w:val="21"/>
              </w:rPr>
              <w:t>年度财务状况不亏损。</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方式二</w:t>
            </w:r>
          </w:p>
          <w:p>
            <w:pPr>
              <w:keepNext w:val="0"/>
              <w:keepLines w:val="0"/>
              <w:pageBreakBefore w:val="0"/>
              <w:widowControl w:val="0"/>
              <w:kinsoku/>
              <w:wordWrap/>
              <w:overflowPunct/>
              <w:topLinePunct w:val="0"/>
              <w:bidi w:val="0"/>
              <w:snapToGrid w:val="0"/>
              <w:spacing w:line="400" w:lineRule="exact"/>
              <w:ind w:left="0" w:leftChars="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keepNext w:val="0"/>
              <w:keepLines w:val="0"/>
              <w:pageBreakBefore w:val="0"/>
              <w:widowControl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r>
              <w:rPr>
                <w:rFonts w:hint="eastAsia" w:ascii="宋体" w:hAnsi="宋体" w:eastAsia="宋体" w:cs="宋体"/>
                <w:kern w:val="0"/>
                <w:szCs w:val="21"/>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kern w:val="0"/>
                <w:szCs w:val="21"/>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rPr>
              <w:t>会计师事务所或审计机构出具的合法有效的财务审计报告及财务报表，财务报表须至少包括现金流量表、资产负债表、利润表。</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kern w:val="0"/>
                <w:szCs w:val="21"/>
              </w:rPr>
            </w:pPr>
            <w:r>
              <w:rPr>
                <w:rFonts w:hint="eastAsia" w:ascii="宋体" w:hAnsi="宋体"/>
                <w:bCs/>
                <w:szCs w:val="21"/>
              </w:rPr>
              <w:t>□</w:t>
            </w:r>
            <w:r>
              <w:rPr>
                <w:rFonts w:hint="eastAsia" w:ascii="宋体" w:hAnsi="宋体"/>
                <w:kern w:val="0"/>
                <w:szCs w:val="21"/>
              </w:rPr>
              <w:t>联合体投标的，联合体各方均</w:t>
            </w:r>
            <w:r>
              <w:rPr>
                <w:rFonts w:hint="eastAsia" w:ascii="宋体" w:hAnsi="宋体"/>
                <w:kern w:val="0"/>
                <w:szCs w:val="21"/>
                <w:lang w:val="en-US" w:eastAsia="zh-CN"/>
              </w:rPr>
              <w:t>须</w:t>
            </w:r>
            <w:r>
              <w:rPr>
                <w:rFonts w:hint="eastAsia" w:ascii="宋体" w:hAnsi="宋体"/>
                <w:kern w:val="0"/>
                <w:szCs w:val="21"/>
              </w:rPr>
              <w:t>满足</w:t>
            </w:r>
            <w:r>
              <w:rPr>
                <w:rFonts w:hint="eastAsia" w:ascii="宋体" w:hAnsi="宋体"/>
                <w:kern w:val="0"/>
                <w:szCs w:val="21"/>
                <w:lang w:val="en-US" w:eastAsia="zh-CN"/>
              </w:rPr>
              <w:t>并提供</w:t>
            </w:r>
            <w:r>
              <w:rPr>
                <w:rFonts w:hint="eastAsia" w:ascii="宋体" w:hAnsi="宋体"/>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szCs w:val="21"/>
              </w:rPr>
            </w:pPr>
            <w:r>
              <w:rPr>
                <w:rFonts w:hint="eastAsia" w:ascii="宋体" w:hAnsi="宋体"/>
                <w:b/>
                <w:szCs w:val="21"/>
              </w:rPr>
              <w:t>□</w:t>
            </w:r>
            <w:r>
              <w:rPr>
                <w:rFonts w:ascii="宋体" w:hAnsi="宋体"/>
                <w:b/>
                <w:szCs w:val="21"/>
              </w:rPr>
              <w:t>3.业绩要求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bCs/>
                <w:szCs w:val="21"/>
                <w:lang w:val="en-US" w:eastAsia="zh-CN"/>
              </w:rPr>
            </w:pPr>
            <w:r>
              <w:rPr>
                <w:rFonts w:hint="eastAsia" w:ascii="宋体" w:hAnsi="宋体"/>
                <w:bCs/>
                <w:szCs w:val="21"/>
                <w:lang w:val="en-US" w:eastAsia="zh-CN"/>
              </w:rPr>
              <w:t>3.1设计业绩要求</w:t>
            </w:r>
            <w:r>
              <w:rPr>
                <w:rFonts w:hint="eastAsia" w:ascii="宋体" w:hAnsi="宋体"/>
                <w:i/>
                <w:szCs w:val="21"/>
              </w:rPr>
              <w:t>[提示：</w:t>
            </w:r>
            <w:r>
              <w:rPr>
                <w:rFonts w:hint="eastAsia" w:ascii="宋体" w:hAnsi="宋体"/>
                <w:i/>
                <w:szCs w:val="21"/>
                <w:highlight w:val="none"/>
                <w:lang w:val="en-US" w:eastAsia="zh-CN"/>
              </w:rPr>
              <w:t>设置的业绩指标不得超过本项目对应指标。</w:t>
            </w:r>
            <w:r>
              <w:rPr>
                <w:rFonts w:hint="eastAsia" w:ascii="宋体" w:hAnsi="宋体"/>
                <w:i/>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kern w:val="0"/>
                <w:szCs w:val="21"/>
                <w:lang w:val="en-US" w:eastAsia="zh-CN"/>
              </w:rPr>
              <w:t>投标人自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至投标截止日止（以施工图</w:t>
            </w:r>
            <w:r>
              <w:rPr>
                <w:rFonts w:hint="eastAsia" w:ascii="宋体" w:hAnsi="宋体"/>
                <w:szCs w:val="21"/>
                <w:lang w:val="en-US" w:eastAsia="zh-CN"/>
              </w:rPr>
              <w:t>通过备案或批复或</w:t>
            </w:r>
            <w:r>
              <w:rPr>
                <w:rFonts w:hint="eastAsia" w:ascii="宋体" w:hAnsi="宋体"/>
                <w:szCs w:val="21"/>
              </w:rPr>
              <w:t>审查时间为准）</w:t>
            </w:r>
            <w:r>
              <w:rPr>
                <w:rFonts w:hint="eastAsia" w:ascii="宋体" w:hAnsi="宋体"/>
                <w:szCs w:val="21"/>
                <w:lang w:eastAsia="zh-CN"/>
              </w:rPr>
              <w:t>，</w:t>
            </w:r>
            <w:r>
              <w:rPr>
                <w:rFonts w:hint="eastAsia" w:ascii="宋体" w:hAnsi="宋体"/>
                <w:szCs w:val="21"/>
                <w:lang w:val="en-US" w:eastAsia="zh-CN"/>
              </w:rPr>
              <w:t>完成过1个</w:t>
            </w:r>
            <w:r>
              <w:rPr>
                <w:rFonts w:hint="eastAsia" w:ascii="宋体" w:hAnsi="宋体"/>
                <w:szCs w:val="21"/>
                <w:u w:val="single"/>
                <w:lang w:val="en-US" w:eastAsia="zh-CN"/>
              </w:rPr>
              <w:t xml:space="preserve">             </w:t>
            </w:r>
            <w:r>
              <w:rPr>
                <w:rFonts w:hint="eastAsia" w:ascii="宋体" w:hAnsi="宋体"/>
                <w:szCs w:val="21"/>
                <w:u w:val="none"/>
                <w:lang w:val="en-US" w:eastAsia="zh-CN"/>
              </w:rPr>
              <w:t>施工图设计业绩</w:t>
            </w:r>
            <w:r>
              <w:rPr>
                <w:rFonts w:hint="eastAsia" w:ascii="宋体" w:hAnsi="宋体"/>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default" w:ascii="宋体" w:hAnsi="宋体"/>
                <w:bCs/>
                <w:szCs w:val="21"/>
                <w:lang w:val="en-US" w:eastAsia="zh-CN"/>
              </w:rPr>
            </w:pPr>
            <w:r>
              <w:rPr>
                <w:rFonts w:hint="eastAsia" w:ascii="宋体" w:hAnsi="宋体"/>
                <w:bCs/>
                <w:szCs w:val="21"/>
                <w:lang w:val="en-US" w:eastAsia="zh-CN"/>
              </w:rPr>
              <w:t>3.2施工业绩要求</w:t>
            </w:r>
            <w:r>
              <w:rPr>
                <w:rFonts w:hint="eastAsia" w:ascii="宋体" w:hAnsi="宋体"/>
                <w:i/>
                <w:szCs w:val="21"/>
              </w:rPr>
              <w:t>[提示：</w:t>
            </w:r>
            <w:r>
              <w:rPr>
                <w:rFonts w:hint="eastAsia" w:ascii="宋体" w:hAnsi="宋体"/>
                <w:i/>
                <w:szCs w:val="21"/>
                <w:highlight w:val="none"/>
                <w:lang w:val="en-US" w:eastAsia="zh-CN"/>
              </w:rPr>
              <w:t>设置的业绩指标不得超过本项目对应指标。</w:t>
            </w:r>
            <w:r>
              <w:rPr>
                <w:rFonts w:hint="eastAsia" w:ascii="宋体" w:hAnsi="宋体"/>
                <w:i/>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rPr>
            </w:pPr>
            <w:r>
              <w:rPr>
                <w:rFonts w:hint="eastAsia" w:ascii="宋体" w:hAnsi="宋体"/>
                <w:kern w:val="0"/>
                <w:szCs w:val="21"/>
                <w:lang w:val="en-US" w:eastAsia="zh-CN"/>
              </w:rPr>
              <w:t>投标人自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至投标截止日止（以竣工时间为准）</w:t>
            </w:r>
            <w:r>
              <w:rPr>
                <w:rFonts w:hint="eastAsia" w:ascii="宋体" w:hAnsi="宋体"/>
                <w:szCs w:val="21"/>
                <w:lang w:eastAsia="zh-CN"/>
              </w:rPr>
              <w:t>，</w:t>
            </w:r>
            <w:r>
              <w:rPr>
                <w:rFonts w:hint="eastAsia" w:ascii="宋体" w:hAnsi="宋体"/>
                <w:szCs w:val="21"/>
                <w:lang w:val="en-US" w:eastAsia="zh-CN"/>
              </w:rPr>
              <w:t>完成过1个</w:t>
            </w:r>
            <w:r>
              <w:rPr>
                <w:rFonts w:hint="eastAsia" w:ascii="宋体" w:hAnsi="宋体"/>
                <w:szCs w:val="21"/>
                <w:u w:val="single"/>
                <w:lang w:val="en-US" w:eastAsia="zh-CN"/>
              </w:rPr>
              <w:t xml:space="preserve">            </w:t>
            </w:r>
            <w:r>
              <w:rPr>
                <w:rFonts w:hint="eastAsia" w:ascii="宋体" w:hAnsi="宋体"/>
                <w:szCs w:val="21"/>
                <w:u w:val="none"/>
                <w:lang w:val="en-US" w:eastAsia="zh-CN"/>
              </w:rPr>
              <w:t>施工业绩</w:t>
            </w:r>
            <w:r>
              <w:rPr>
                <w:rFonts w:hint="eastAsia" w:ascii="宋体" w:hAnsi="宋体"/>
                <w:szCs w:val="21"/>
              </w:rPr>
              <w:t>。</w:t>
            </w:r>
          </w:p>
          <w:p>
            <w:pPr>
              <w:autoSpaceDE w:val="0"/>
              <w:autoSpaceDN w:val="0"/>
              <w:adjustRightInd w:val="0"/>
              <w:snapToGrid w:val="0"/>
              <w:spacing w:line="400" w:lineRule="exact"/>
              <w:ind w:firstLine="420" w:firstLineChars="200"/>
              <w:rPr>
                <w:rFonts w:hint="eastAsia"/>
                <w:highlight w:val="none"/>
              </w:rPr>
            </w:pPr>
            <w:r>
              <w:rPr>
                <w:rFonts w:hint="eastAsia" w:ascii="宋体" w:hAnsi="宋体"/>
                <w:szCs w:val="21"/>
                <w:highlight w:val="none"/>
                <w:lang w:val="en-US" w:eastAsia="zh-CN"/>
              </w:rPr>
              <w:t>提供：设计业绩提供该业绩的</w:t>
            </w:r>
            <w:r>
              <w:rPr>
                <w:rFonts w:hint="eastAsia" w:ascii="宋体" w:hAnsi="宋体"/>
                <w:szCs w:val="21"/>
                <w:highlight w:val="none"/>
              </w:rPr>
              <w:t>合同协议书</w:t>
            </w:r>
            <w:r>
              <w:rPr>
                <w:rFonts w:hint="eastAsia" w:ascii="宋体" w:hAnsi="宋体"/>
                <w:szCs w:val="21"/>
                <w:highlight w:val="none"/>
                <w:lang w:eastAsia="zh-CN"/>
              </w:rPr>
              <w:t>、</w:t>
            </w:r>
            <w:r>
              <w:rPr>
                <w:rFonts w:hint="eastAsia" w:ascii="宋体" w:hAnsi="宋体"/>
                <w:szCs w:val="21"/>
                <w:highlight w:val="none"/>
              </w:rPr>
              <w:t>施工图</w:t>
            </w:r>
            <w:r>
              <w:rPr>
                <w:rFonts w:hint="eastAsia" w:ascii="宋体" w:hAnsi="宋体"/>
                <w:szCs w:val="21"/>
                <w:highlight w:val="none"/>
                <w:lang w:val="en-US" w:eastAsia="zh-CN"/>
              </w:rPr>
              <w:t>通过备案或批复或</w:t>
            </w:r>
            <w:r>
              <w:rPr>
                <w:rFonts w:hint="eastAsia" w:ascii="宋体" w:hAnsi="宋体"/>
                <w:szCs w:val="21"/>
                <w:highlight w:val="none"/>
              </w:rPr>
              <w:t>审查</w:t>
            </w:r>
            <w:r>
              <w:rPr>
                <w:rFonts w:hint="eastAsia" w:ascii="宋体" w:hAnsi="宋体"/>
                <w:szCs w:val="21"/>
                <w:highlight w:val="none"/>
                <w:lang w:val="en-US" w:eastAsia="zh-CN"/>
              </w:rPr>
              <w:t>的</w:t>
            </w:r>
            <w:r>
              <w:rPr>
                <w:rFonts w:hint="eastAsia" w:ascii="宋体" w:hAnsi="宋体"/>
                <w:szCs w:val="21"/>
                <w:highlight w:val="none"/>
              </w:rPr>
              <w:t>证明材料</w:t>
            </w:r>
            <w:r>
              <w:rPr>
                <w:rFonts w:hint="eastAsia" w:ascii="宋体" w:hAnsi="宋体"/>
                <w:szCs w:val="21"/>
                <w:highlight w:val="none"/>
                <w:lang w:eastAsia="zh-CN"/>
              </w:rPr>
              <w:t>；</w:t>
            </w:r>
            <w:r>
              <w:rPr>
                <w:rFonts w:hint="eastAsia" w:ascii="宋体" w:hAnsi="宋体" w:cs="宋体"/>
                <w:color w:val="auto"/>
                <w:kern w:val="0"/>
                <w:szCs w:val="21"/>
                <w:highlight w:val="none"/>
                <w:lang w:val="en-US" w:eastAsia="zh-CN"/>
              </w:rPr>
              <w:t>工程总承包业绩和施工业绩提供</w:t>
            </w:r>
            <w:r>
              <w:rPr>
                <w:rFonts w:hint="eastAsia" w:ascii="宋体" w:hAnsi="宋体"/>
                <w:szCs w:val="21"/>
                <w:highlight w:val="none"/>
              </w:rPr>
              <w:t>该业绩的合同协议书</w:t>
            </w:r>
            <w:r>
              <w:rPr>
                <w:rFonts w:hint="eastAsia" w:ascii="宋体" w:hAnsi="宋体"/>
                <w:szCs w:val="21"/>
                <w:highlight w:val="none"/>
                <w:lang w:eastAsia="zh-CN"/>
              </w:rPr>
              <w:t>、</w:t>
            </w:r>
            <w:r>
              <w:rPr>
                <w:rFonts w:hint="eastAsia" w:ascii="宋体" w:hAnsi="宋体"/>
                <w:szCs w:val="21"/>
                <w:highlight w:val="none"/>
                <w:lang w:val="en-US" w:eastAsia="zh-CN"/>
              </w:rPr>
              <w:t>竣工验收合格的证明材料。</w:t>
            </w:r>
            <w:r>
              <w:rPr>
                <w:rFonts w:hint="eastAsia" w:ascii="宋体" w:hAnsi="宋体" w:eastAsia="宋体" w:cs="宋体"/>
                <w:color w:val="auto"/>
                <w:kern w:val="0"/>
                <w:szCs w:val="21"/>
                <w:highlight w:val="none"/>
              </w:rPr>
              <w:t>若提供的上述业绩证明材料不能体现</w:t>
            </w:r>
            <w:r>
              <w:rPr>
                <w:rFonts w:hint="eastAsia" w:ascii="宋体" w:hAnsi="宋体" w:eastAsia="宋体" w:cs="宋体"/>
                <w:color w:val="auto"/>
                <w:kern w:val="0"/>
                <w:szCs w:val="21"/>
                <w:highlight w:val="none"/>
                <w:lang w:val="en-US" w:eastAsia="zh-CN"/>
              </w:rPr>
              <w:t>上述业绩指标</w:t>
            </w:r>
            <w:r>
              <w:rPr>
                <w:rFonts w:hint="eastAsia" w:ascii="宋体" w:hAnsi="宋体" w:eastAsia="宋体" w:cs="宋体"/>
                <w:color w:val="auto"/>
                <w:kern w:val="0"/>
                <w:szCs w:val="21"/>
                <w:highlight w:val="none"/>
              </w:rPr>
              <w:t>的</w:t>
            </w:r>
            <w:r>
              <w:rPr>
                <w:rFonts w:hint="eastAsia" w:ascii="宋体" w:hAnsi="宋体"/>
                <w:szCs w:val="21"/>
                <w:highlight w:val="none"/>
              </w:rPr>
              <w:t>，应补充提供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ascii="宋体" w:hAnsi="宋体"/>
                <w:szCs w:val="21"/>
                <w:highlight w:val="none"/>
              </w:rPr>
            </w:pPr>
            <w:r>
              <w:rPr>
                <w:rFonts w:hint="eastAsia"/>
                <w:highlight w:val="none"/>
              </w:rPr>
              <w:t>□联合体投标的，按</w:t>
            </w:r>
            <w:r>
              <w:rPr>
                <w:rFonts w:hint="eastAsia"/>
                <w:highlight w:val="none"/>
                <w:lang w:val="en-US" w:eastAsia="zh-CN"/>
              </w:rPr>
              <w:t>共同投标协议</w:t>
            </w:r>
            <w:r>
              <w:rPr>
                <w:rFonts w:hint="eastAsia"/>
                <w:highlight w:val="none"/>
              </w:rPr>
              <w:t>约定的分工</w:t>
            </w:r>
            <w:r>
              <w:rPr>
                <w:rFonts w:hint="eastAsia"/>
                <w:highlight w:val="none"/>
                <w:lang w:val="en-US" w:eastAsia="zh-CN"/>
              </w:rPr>
              <w:t>提供</w:t>
            </w:r>
            <w:r>
              <w:rPr>
                <w:rFonts w:hint="eastAsia" w:ascii="宋体" w:hAnsi="宋体"/>
                <w:szCs w:val="21"/>
                <w:highlight w:val="none"/>
              </w:rPr>
              <w:t>。</w:t>
            </w:r>
          </w:p>
          <w:p>
            <w:pPr>
              <w:autoSpaceDE w:val="0"/>
              <w:autoSpaceDN w:val="0"/>
              <w:adjustRightInd w:val="0"/>
              <w:snapToGrid w:val="0"/>
              <w:spacing w:line="400" w:lineRule="exact"/>
              <w:ind w:firstLine="415" w:firstLineChars="198"/>
              <w:rPr>
                <w:rFonts w:ascii="宋体" w:hAnsi="宋体"/>
                <w:szCs w:val="21"/>
                <w:highlight w:val="none"/>
              </w:rPr>
            </w:pPr>
            <w:r>
              <w:rPr>
                <w:rFonts w:hint="eastAsia" w:ascii="宋体" w:hAnsi="宋体"/>
                <w:szCs w:val="21"/>
                <w:highlight w:val="none"/>
              </w:rPr>
              <w:t>注：（1）当上述</w:t>
            </w:r>
            <w:r>
              <w:rPr>
                <w:rFonts w:hint="eastAsia" w:ascii="宋体" w:hAnsi="宋体"/>
                <w:szCs w:val="21"/>
                <w:highlight w:val="none"/>
                <w:lang w:val="en-US" w:eastAsia="zh-CN"/>
              </w:rPr>
              <w:t>业绩证明材料中</w:t>
            </w:r>
            <w:r>
              <w:rPr>
                <w:rFonts w:hint="eastAsia" w:ascii="宋体" w:hAnsi="宋体"/>
                <w:szCs w:val="21"/>
                <w:highlight w:val="none"/>
              </w:rPr>
              <w:t>针对同一指标存在不一致时</w:t>
            </w:r>
            <w:r>
              <w:rPr>
                <w:rFonts w:hint="eastAsia" w:ascii="宋体" w:hAnsi="宋体"/>
                <w:szCs w:val="21"/>
                <w:highlight w:val="none"/>
                <w:lang w:eastAsia="zh-CN"/>
              </w:rPr>
              <w:t>，</w:t>
            </w:r>
            <w:r>
              <w:rPr>
                <w:rFonts w:hint="eastAsia" w:ascii="宋体" w:hAnsi="宋体"/>
                <w:szCs w:val="21"/>
                <w:highlight w:val="none"/>
                <w:lang w:val="en-US" w:eastAsia="zh-CN"/>
              </w:rPr>
              <w:t>设计业绩</w:t>
            </w:r>
            <w:r>
              <w:rPr>
                <w:rFonts w:hint="eastAsia" w:ascii="宋体" w:hAnsi="宋体"/>
                <w:szCs w:val="21"/>
                <w:highlight w:val="none"/>
              </w:rPr>
              <w:t>以施工图</w:t>
            </w:r>
            <w:r>
              <w:rPr>
                <w:rFonts w:hint="eastAsia" w:ascii="宋体" w:hAnsi="宋体"/>
                <w:szCs w:val="21"/>
                <w:highlight w:val="none"/>
                <w:lang w:val="en-US" w:eastAsia="zh-CN"/>
              </w:rPr>
              <w:t>通过备案或批复或</w:t>
            </w:r>
            <w:r>
              <w:rPr>
                <w:rFonts w:hint="eastAsia" w:ascii="宋体" w:hAnsi="宋体"/>
                <w:szCs w:val="21"/>
                <w:highlight w:val="none"/>
              </w:rPr>
              <w:t>审查</w:t>
            </w:r>
            <w:r>
              <w:rPr>
                <w:rFonts w:hint="eastAsia" w:ascii="宋体" w:hAnsi="宋体"/>
                <w:szCs w:val="21"/>
                <w:highlight w:val="none"/>
                <w:lang w:val="en-US" w:eastAsia="zh-CN"/>
              </w:rPr>
              <w:t>的</w:t>
            </w:r>
            <w:r>
              <w:rPr>
                <w:rFonts w:hint="eastAsia" w:ascii="宋体" w:hAnsi="宋体"/>
                <w:szCs w:val="21"/>
                <w:highlight w:val="none"/>
              </w:rPr>
              <w:t>证明材料为准</w:t>
            </w:r>
            <w:r>
              <w:rPr>
                <w:rFonts w:hint="eastAsia" w:ascii="宋体" w:hAnsi="宋体"/>
                <w:szCs w:val="21"/>
                <w:highlight w:val="none"/>
                <w:lang w:eastAsia="zh-CN"/>
              </w:rPr>
              <w:t>，</w:t>
            </w:r>
            <w:r>
              <w:rPr>
                <w:rFonts w:hint="eastAsia" w:ascii="宋体" w:hAnsi="宋体" w:cs="宋体"/>
                <w:color w:val="auto"/>
                <w:kern w:val="0"/>
                <w:szCs w:val="21"/>
                <w:highlight w:val="none"/>
                <w:lang w:val="en-US" w:eastAsia="zh-CN"/>
              </w:rPr>
              <w:t>工程总承包业绩和施工业绩</w:t>
            </w:r>
            <w:r>
              <w:rPr>
                <w:rFonts w:hint="eastAsia" w:ascii="宋体" w:hAnsi="宋体"/>
                <w:szCs w:val="21"/>
                <w:highlight w:val="none"/>
              </w:rPr>
              <w:t>以工程竣工验收合格的证明材料为准</w:t>
            </w:r>
            <w:r>
              <w:rPr>
                <w:rFonts w:hint="eastAsia" w:ascii="宋体" w:hAnsi="宋体"/>
                <w:szCs w:val="21"/>
                <w:highlight w:val="none"/>
                <w:lang w:eastAsia="zh-CN"/>
              </w:rPr>
              <w:t>。</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highlight w:val="none"/>
              </w:rPr>
            </w:pPr>
            <w:r>
              <w:rPr>
                <w:rFonts w:hint="eastAsia" w:ascii="宋体" w:hAnsi="宋体" w:eastAsia="宋体" w:cs="宋体"/>
                <w:highlight w:val="none"/>
              </w:rPr>
              <w:t>（2）已取消施工图</w:t>
            </w:r>
            <w:r>
              <w:rPr>
                <w:rFonts w:hint="eastAsia" w:ascii="宋体" w:hAnsi="宋体" w:eastAsia="宋体" w:cs="宋体"/>
                <w:highlight w:val="none"/>
                <w:lang w:val="en-US" w:eastAsia="zh-CN"/>
              </w:rPr>
              <w:t>备案</w:t>
            </w:r>
            <w:r>
              <w:rPr>
                <w:rFonts w:hint="eastAsia"/>
                <w:highlight w:val="none"/>
                <w:lang w:val="en-US" w:eastAsia="zh-CN"/>
              </w:rPr>
              <w:t>、批复、</w:t>
            </w:r>
            <w:r>
              <w:rPr>
                <w:rFonts w:hint="eastAsia"/>
                <w:highlight w:val="none"/>
              </w:rPr>
              <w:t>审查的地区，应提供业绩所在地行业主管部门取消施工图</w:t>
            </w:r>
            <w:r>
              <w:rPr>
                <w:rFonts w:hint="eastAsia"/>
                <w:highlight w:val="none"/>
                <w:lang w:val="en-US" w:eastAsia="zh-CN"/>
              </w:rPr>
              <w:t>备案、批复、</w:t>
            </w:r>
            <w:r>
              <w:rPr>
                <w:rFonts w:hint="eastAsia"/>
                <w:highlight w:val="none"/>
              </w:rPr>
              <w:t>审查的文件和证明设计合格的业主证明，设计业绩的时间以业主证明中显示的设计合格时间为准。</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宋体" w:hAnsi="宋体" w:eastAsia="宋体"/>
                <w:szCs w:val="21"/>
                <w:lang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rPr>
              <w:t>投标人提供的业绩为联合体业绩的，其在该业绩中的工作分工应与本项目承担的</w:t>
            </w:r>
            <w:r>
              <w:rPr>
                <w:rFonts w:hint="eastAsia"/>
                <w:lang w:val="en-US" w:eastAsia="zh-CN"/>
              </w:rPr>
              <w:t>工作</w:t>
            </w:r>
            <w:r>
              <w:rPr>
                <w:rFonts w:hint="eastAsia"/>
              </w:rPr>
              <w:t>一致。</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cs="宋体"/>
                <w:color w:val="auto"/>
                <w:sz w:val="21"/>
                <w:szCs w:val="21"/>
                <w:highlight w:val="none"/>
                <w:lang w:val="en-US" w:eastAsia="zh-CN"/>
              </w:rPr>
              <w:t>（4）如果投标人提供一个</w:t>
            </w:r>
            <w:r>
              <w:rPr>
                <w:rFonts w:hint="eastAsia" w:ascii="宋体" w:hAnsi="宋体" w:eastAsia="宋体" w:cs="宋体"/>
                <w:color w:val="auto"/>
                <w:sz w:val="21"/>
                <w:szCs w:val="21"/>
                <w:highlight w:val="none"/>
                <w:lang w:val="en-US" w:eastAsia="zh-CN"/>
              </w:rPr>
              <w:t>业绩同时满足3.1</w:t>
            </w:r>
            <w:r>
              <w:rPr>
                <w:rFonts w:hint="eastAsia" w:ascii="宋体" w:hAnsi="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lang w:eastAsia="zh-CN"/>
              </w:rPr>
              <w:t>业绩</w:t>
            </w:r>
            <w:r>
              <w:rPr>
                <w:rFonts w:hint="eastAsia" w:ascii="宋体" w:hAnsi="宋体" w:eastAsia="宋体" w:cs="宋体"/>
                <w:color w:val="auto"/>
                <w:sz w:val="21"/>
                <w:szCs w:val="21"/>
                <w:highlight w:val="none"/>
                <w:lang w:val="en-US" w:eastAsia="zh-CN"/>
              </w:rPr>
              <w:t>和3.2</w:t>
            </w:r>
            <w:r>
              <w:rPr>
                <w:rFonts w:hint="eastAsia" w:ascii="宋体" w:hAnsi="宋体" w:cs="宋体"/>
                <w:color w:val="auto"/>
                <w:sz w:val="21"/>
                <w:szCs w:val="21"/>
                <w:highlight w:val="none"/>
                <w:lang w:val="en-US" w:eastAsia="zh-CN"/>
              </w:rPr>
              <w:t>施工</w:t>
            </w:r>
            <w:r>
              <w:rPr>
                <w:rFonts w:hint="eastAsia" w:ascii="宋体" w:hAnsi="宋体" w:eastAsia="宋体" w:cs="宋体"/>
                <w:color w:val="auto"/>
                <w:kern w:val="0"/>
                <w:sz w:val="21"/>
                <w:szCs w:val="21"/>
                <w:highlight w:val="none"/>
              </w:rPr>
              <w:t>业绩要求</w:t>
            </w:r>
            <w:r>
              <w:rPr>
                <w:rFonts w:hint="eastAsia" w:ascii="宋体" w:hAnsi="宋体" w:eastAsia="宋体" w:cs="宋体"/>
                <w:color w:val="auto"/>
                <w:kern w:val="0"/>
                <w:sz w:val="21"/>
                <w:szCs w:val="21"/>
                <w:highlight w:val="none"/>
                <w:lang w:eastAsia="zh-CN"/>
              </w:rPr>
              <w:t>，</w:t>
            </w:r>
            <w:r>
              <w:rPr>
                <w:rFonts w:hint="eastAsia" w:ascii="宋体" w:hAnsi="宋体" w:cs="宋体"/>
                <w:color w:val="auto"/>
                <w:kern w:val="0"/>
                <w:sz w:val="21"/>
                <w:szCs w:val="21"/>
                <w:highlight w:val="none"/>
                <w:lang w:eastAsia="zh-CN"/>
              </w:rPr>
              <w:t>视为满足本条“</w:t>
            </w:r>
            <w:r>
              <w:rPr>
                <w:rFonts w:hint="eastAsia" w:ascii="宋体" w:hAnsi="宋体" w:cs="宋体"/>
                <w:color w:val="auto"/>
                <w:kern w:val="0"/>
                <w:szCs w:val="21"/>
                <w:highlight w:val="none"/>
              </w:rPr>
              <w:t>3.业绩要求</w:t>
            </w:r>
            <w:r>
              <w:rPr>
                <w:rFonts w:hint="eastAsia" w:ascii="宋体" w:hAnsi="宋体" w:cs="宋体"/>
                <w:color w:val="auto"/>
                <w:kern w:val="0"/>
                <w:szCs w:val="21"/>
                <w:highlight w:val="none"/>
                <w:lang w:eastAsia="zh-CN"/>
              </w:rPr>
              <w:t>”</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要求</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bidi w:val="0"/>
              <w:adjustRightInd w:val="0"/>
              <w:snapToGrid w:val="0"/>
              <w:spacing w:line="400" w:lineRule="exact"/>
              <w:ind w:firstLine="422" w:firstLineChars="200"/>
              <w:textAlignment w:val="auto"/>
              <w:rPr>
                <w:rFonts w:ascii="宋体" w:hAnsi="宋体"/>
                <w:b/>
                <w:szCs w:val="21"/>
              </w:rPr>
            </w:pPr>
            <w:r>
              <w:rPr>
                <w:rFonts w:hint="eastAsia" w:ascii="宋体" w:hAnsi="宋体"/>
                <w:b/>
                <w:szCs w:val="21"/>
                <w:lang w:val="en-US" w:eastAsia="zh-CN"/>
              </w:rPr>
              <w:t>4</w:t>
            </w:r>
            <w:r>
              <w:rPr>
                <w:rFonts w:ascii="宋体" w:hAnsi="宋体"/>
                <w:b/>
                <w:szCs w:val="21"/>
              </w:rPr>
              <w:t>.投标截止日投标资格情况</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投标人不得存在下列情形之一：</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ascii="宋体" w:hAnsi="宋体"/>
                <w:szCs w:val="21"/>
              </w:rPr>
            </w:pPr>
            <w:r>
              <w:rPr>
                <w:rFonts w:hint="eastAsia" w:ascii="宋体" w:hAnsi="宋体"/>
                <w:szCs w:val="21"/>
              </w:rPr>
              <w:t>（1）被人民法院列入失信被执行人名单且在被执行期内；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（3）被列入《重庆市工程建设领域招标投标信用管理暂行办法》规定的重庆市工程建设领域招标投标失信惩戒对象名单（以下称黑名单）且在有效期内；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（4）被国家、重庆市（含市或任意区县）有关行政部门处以暂停投标资格行政处罚</w:t>
            </w:r>
            <w:r>
              <w:rPr>
                <w:rFonts w:hint="eastAsia" w:ascii="宋体" w:hAnsi="宋体"/>
                <w:szCs w:val="21"/>
                <w:lang w:val="en-US" w:eastAsia="zh-CN"/>
              </w:rPr>
              <w:t>或</w:t>
            </w:r>
            <w:r>
              <w:rPr>
                <w:rFonts w:hint="eastAsia" w:ascii="宋体" w:hAnsi="宋体"/>
                <w:szCs w:val="21"/>
              </w:rPr>
              <w:t>暂停在渝承揽新业务，且在</w:t>
            </w:r>
            <w:r>
              <w:rPr>
                <w:rFonts w:hint="eastAsia" w:ascii="宋体" w:hAnsi="宋体"/>
                <w:szCs w:val="21"/>
                <w:lang w:val="en-US" w:eastAsia="zh-CN"/>
              </w:rPr>
              <w:t>暂停</w:t>
            </w:r>
            <w:r>
              <w:rPr>
                <w:rFonts w:hint="eastAsia" w:ascii="宋体" w:hAnsi="宋体"/>
                <w:szCs w:val="21"/>
              </w:rPr>
              <w:t>期限内。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bCs/>
                <w:szCs w:val="21"/>
                <w:lang w:val="en-US" w:eastAsia="zh-CN"/>
              </w:rPr>
              <w:t>提供：承诺（格式见第八章投标文件格式）。</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b/>
                <w:szCs w:val="21"/>
              </w:rPr>
            </w:pPr>
            <w:r>
              <w:rPr>
                <w:rFonts w:hint="eastAsia" w:ascii="宋体" w:hAnsi="宋体"/>
                <w:bCs/>
                <w:szCs w:val="21"/>
              </w:rPr>
              <w:t>□</w:t>
            </w:r>
            <w:r>
              <w:rPr>
                <w:rFonts w:hint="eastAsia" w:ascii="宋体" w:hAnsi="宋体"/>
                <w:szCs w:val="21"/>
              </w:rPr>
              <w:t>联合体投标的，联合体各</w:t>
            </w:r>
            <w:r>
              <w:rPr>
                <w:rFonts w:hint="eastAsia" w:ascii="宋体" w:hAnsi="宋体"/>
                <w:szCs w:val="21"/>
                <w:lang w:val="en-US" w:eastAsia="zh-CN"/>
              </w:rPr>
              <w:t>方</w:t>
            </w:r>
            <w:r>
              <w:rPr>
                <w:rFonts w:hint="eastAsia" w:ascii="宋体" w:hAnsi="宋体"/>
                <w:szCs w:val="21"/>
              </w:rPr>
              <w:t>均不得存在以上情形之一，由联合体牵头人代表联合体各成员进行承诺。</w:t>
            </w:r>
          </w:p>
          <w:p>
            <w:pPr>
              <w:keepNext w:val="0"/>
              <w:keepLines w:val="0"/>
              <w:pageBreakBefore w:val="0"/>
              <w:widowControl w:val="0"/>
              <w:kinsoku/>
              <w:wordWrap/>
              <w:overflowPunct/>
              <w:topLinePunct w:val="0"/>
              <w:bidi w:val="0"/>
              <w:snapToGrid w:val="0"/>
              <w:spacing w:line="400" w:lineRule="exact"/>
              <w:ind w:firstLine="420" w:firstLineChars="200"/>
              <w:textAlignment w:val="auto"/>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rPr>
              <w:t>。</w:t>
            </w:r>
          </w:p>
          <w:p>
            <w:pPr>
              <w:keepNext w:val="0"/>
              <w:keepLines w:val="0"/>
              <w:pageBreakBefore w:val="0"/>
              <w:widowControl w:val="0"/>
              <w:kinsoku/>
              <w:wordWrap/>
              <w:overflowPunct/>
              <w:topLinePunct w:val="0"/>
              <w:bidi w:val="0"/>
              <w:snapToGrid w:val="0"/>
              <w:spacing w:line="400" w:lineRule="exact"/>
              <w:ind w:firstLine="422" w:firstLineChars="200"/>
              <w:textAlignment w:val="auto"/>
              <w:rPr>
                <w:rFonts w:ascii="宋体" w:hAnsi="宋体"/>
                <w:b/>
                <w:szCs w:val="21"/>
              </w:rPr>
            </w:pPr>
            <w:r>
              <w:rPr>
                <w:rFonts w:hint="eastAsia" w:ascii="宋体" w:hAnsi="宋体"/>
                <w:b/>
                <w:szCs w:val="21"/>
                <w:lang w:val="en-US" w:eastAsia="zh-CN"/>
              </w:rPr>
              <w:t>5</w:t>
            </w:r>
            <w:r>
              <w:rPr>
                <w:rFonts w:ascii="宋体" w:hAnsi="宋体"/>
                <w:b/>
                <w:szCs w:val="21"/>
              </w:rPr>
              <w:t>.</w:t>
            </w:r>
            <w:r>
              <w:rPr>
                <w:rFonts w:hint="eastAsia" w:ascii="宋体" w:hAnsi="宋体"/>
                <w:b/>
                <w:szCs w:val="21"/>
              </w:rPr>
              <w:t>工程总承包项目经理</w:t>
            </w:r>
            <w:r>
              <w:rPr>
                <w:rFonts w:ascii="宋体" w:hAnsi="宋体"/>
                <w:b/>
                <w:szCs w:val="21"/>
              </w:rPr>
              <w:t>资格要求</w:t>
            </w:r>
            <w:r>
              <w:rPr>
                <w:rFonts w:hint="eastAsia" w:ascii="宋体" w:hAnsi="宋体"/>
                <w:i/>
                <w:iCs/>
                <w:szCs w:val="21"/>
              </w:rPr>
              <w:t>[提示:工程</w:t>
            </w:r>
            <w:r>
              <w:rPr>
                <w:rFonts w:ascii="宋体" w:hAnsi="宋体"/>
                <w:i/>
                <w:iCs/>
                <w:szCs w:val="21"/>
              </w:rPr>
              <w:t>总承包项目经理</w:t>
            </w:r>
            <w:r>
              <w:rPr>
                <w:rFonts w:hint="eastAsia" w:ascii="宋体" w:hAnsi="宋体"/>
                <w:i/>
                <w:iCs/>
                <w:szCs w:val="21"/>
              </w:rPr>
              <w:t>兼任情况由招标人在下列选项中选择其一进行设置]</w:t>
            </w:r>
          </w:p>
          <w:p>
            <w:pPr>
              <w:keepNext w:val="0"/>
              <w:keepLines w:val="0"/>
              <w:pageBreakBefore w:val="0"/>
              <w:widowControl w:val="0"/>
              <w:kinsoku/>
              <w:wordWrap/>
              <w:overflowPunct/>
              <w:topLinePunct w:val="0"/>
              <w:bidi w:val="0"/>
              <w:snapToGrid w:val="0"/>
              <w:spacing w:line="400" w:lineRule="exact"/>
              <w:ind w:firstLine="420" w:firstLineChars="200"/>
              <w:textAlignment w:val="auto"/>
              <w:rPr>
                <w:szCs w:val="21"/>
              </w:rPr>
            </w:pPr>
            <w:r>
              <w:rPr>
                <w:rFonts w:hint="eastAsia"/>
                <w:szCs w:val="21"/>
              </w:rPr>
              <w:t>□选项一：工程总</w:t>
            </w:r>
            <w:r>
              <w:rPr>
                <w:szCs w:val="21"/>
              </w:rPr>
              <w:t>承包项目经理</w:t>
            </w:r>
            <w:r>
              <w:rPr>
                <w:rFonts w:hint="eastAsia"/>
                <w:szCs w:val="21"/>
              </w:rPr>
              <w:t>不允许兼任；</w:t>
            </w:r>
          </w:p>
          <w:p>
            <w:pPr>
              <w:keepNext w:val="0"/>
              <w:keepLines w:val="0"/>
              <w:pageBreakBefore w:val="0"/>
              <w:widowControl w:val="0"/>
              <w:kinsoku/>
              <w:wordWrap/>
              <w:overflowPunct/>
              <w:topLinePunct w:val="0"/>
              <w:bidi w:val="0"/>
              <w:snapToGrid w:val="0"/>
              <w:spacing w:line="400" w:lineRule="exact"/>
              <w:ind w:firstLine="420" w:firstLineChars="200"/>
              <w:textAlignment w:val="auto"/>
              <w:rPr>
                <w:szCs w:val="21"/>
              </w:rPr>
            </w:pPr>
            <w:r>
              <w:rPr>
                <w:rFonts w:hint="eastAsia"/>
                <w:szCs w:val="21"/>
              </w:rPr>
              <w:t>□选项二：工程总</w:t>
            </w:r>
            <w:r>
              <w:rPr>
                <w:szCs w:val="21"/>
              </w:rPr>
              <w:t>承包项目经理</w:t>
            </w:r>
            <w:r>
              <w:rPr>
                <w:rFonts w:hint="eastAsia"/>
                <w:szCs w:val="21"/>
              </w:rPr>
              <w:t>允许兼任□设计负责人□施工负责人（</w:t>
            </w:r>
            <w:r>
              <w:rPr>
                <w:rFonts w:hint="eastAsia"/>
                <w:szCs w:val="21"/>
                <w:lang w:eastAsia="zh-CN"/>
              </w:rPr>
              <w:t>最多只允许兼任一</w:t>
            </w:r>
            <w:r>
              <w:rPr>
                <w:rFonts w:hint="eastAsia"/>
                <w:szCs w:val="21"/>
                <w:lang w:val="en-US" w:eastAsia="zh-CN"/>
              </w:rPr>
              <w:t>项，且</w:t>
            </w:r>
            <w:r>
              <w:rPr>
                <w:rFonts w:hint="eastAsia"/>
                <w:szCs w:val="21"/>
              </w:rPr>
              <w:t>应同时满足相应设计负责人或施工负责人要求）；</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szCs w:val="21"/>
                <w:lang w:val="en-US" w:eastAsia="zh-CN"/>
              </w:rPr>
              <w:t>5</w:t>
            </w:r>
            <w:r>
              <w:rPr>
                <w:szCs w:val="21"/>
              </w:rPr>
              <w:t>.1</w:t>
            </w:r>
            <w:r>
              <w:rPr>
                <w:rFonts w:hint="eastAsia"/>
                <w:szCs w:val="21"/>
              </w:rPr>
              <w:t>投标人拟派的工程总承包项目经理</w:t>
            </w:r>
            <w:r>
              <w:rPr>
                <w:rFonts w:hint="eastAsia"/>
                <w:szCs w:val="21"/>
                <w:lang w:val="en-US" w:eastAsia="zh-CN"/>
              </w:rPr>
              <w:t>须是投标单位人员，</w:t>
            </w:r>
            <w:r>
              <w:rPr>
                <w:szCs w:val="21"/>
              </w:rPr>
              <w:t>应具</w:t>
            </w:r>
            <w:r>
              <w:rPr>
                <w:rFonts w:hint="eastAsia"/>
                <w:szCs w:val="21"/>
                <w:lang w:val="en-US" w:eastAsia="zh-CN"/>
              </w:rPr>
              <w:t>备</w:t>
            </w:r>
            <w:r>
              <w:rPr>
                <w:rFonts w:hint="eastAsia" w:ascii="宋体" w:hAnsi="宋体"/>
                <w:szCs w:val="21"/>
              </w:rPr>
              <w:t>□</w:t>
            </w:r>
            <w:r>
              <w:rPr>
                <w:rFonts w:hint="eastAsia" w:ascii="宋体" w:hAnsi="宋体"/>
                <w:szCs w:val="21"/>
                <w:u w:val="single"/>
              </w:rPr>
              <w:t xml:space="preserve">    </w:t>
            </w:r>
            <w:r>
              <w:rPr>
                <w:rFonts w:hint="eastAsia" w:ascii="宋体" w:hAnsi="宋体"/>
                <w:szCs w:val="21"/>
              </w:rPr>
              <w:t>及以上技术职称，□</w:t>
            </w:r>
            <w:r>
              <w:rPr>
                <w:szCs w:val="21"/>
                <w:u w:val="single"/>
              </w:rPr>
              <w:t xml:space="preserve">     </w:t>
            </w:r>
            <w:r>
              <w:rPr>
                <w:rFonts w:hint="eastAsia"/>
                <w:i w:val="0"/>
                <w:iCs w:val="0"/>
                <w:szCs w:val="21"/>
                <w:u w:val="single"/>
                <w:lang w:val="en-US" w:eastAsia="zh-CN"/>
              </w:rPr>
              <w:t>执业</w:t>
            </w:r>
            <w:r>
              <w:rPr>
                <w:rFonts w:ascii="宋体" w:hAnsi="宋体"/>
                <w:szCs w:val="21"/>
              </w:rPr>
              <w:t>资格</w:t>
            </w:r>
            <w:r>
              <w:rPr>
                <w:rFonts w:hint="eastAsia" w:ascii="宋体" w:hAnsi="宋体"/>
                <w:szCs w:val="21"/>
                <w:lang w:val="en-US" w:eastAsia="zh-CN"/>
              </w:rPr>
              <w:t>并在投标单位注册</w:t>
            </w:r>
            <w:r>
              <w:rPr>
                <w:rFonts w:hint="eastAsia" w:ascii="宋体" w:hAnsi="宋体"/>
                <w:szCs w:val="21"/>
              </w:rPr>
              <w:t>。</w:t>
            </w:r>
            <w:r>
              <w:rPr>
                <w:rFonts w:hint="eastAsia"/>
                <w:i/>
                <w:szCs w:val="21"/>
                <w:u w:val="single"/>
              </w:rPr>
              <w:t>[提示：按</w:t>
            </w:r>
            <w:r>
              <w:rPr>
                <w:rFonts w:hint="eastAsia"/>
                <w:i/>
                <w:szCs w:val="21"/>
                <w:u w:val="single"/>
                <w:lang w:val="en-US" w:eastAsia="zh-CN"/>
              </w:rPr>
              <w:t>照住房城乡建设行业主管部门相关规定执行</w:t>
            </w:r>
            <w:r>
              <w:rPr>
                <w:rFonts w:hint="eastAsia"/>
                <w:i/>
                <w:szCs w:val="21"/>
                <w:u w:val="singl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拟派工程总承包项目经理</w:t>
            </w:r>
            <w:r>
              <w:rPr>
                <w:rFonts w:hint="eastAsia" w:ascii="宋体" w:hAnsi="宋体"/>
                <w:szCs w:val="21"/>
                <w:lang w:val="en-US" w:eastAsia="zh-CN"/>
              </w:rPr>
              <w:t>有效的</w:t>
            </w:r>
            <w:r>
              <w:rPr>
                <w:rFonts w:hint="eastAsia" w:ascii="宋体" w:hAnsi="宋体"/>
                <w:szCs w:val="21"/>
              </w:rPr>
              <w:t>身份证、□职称证、□</w:t>
            </w:r>
            <w:r>
              <w:rPr>
                <w:rFonts w:hint="eastAsia" w:ascii="宋体" w:hAnsi="宋体"/>
                <w:szCs w:val="21"/>
                <w:lang w:val="en-US" w:eastAsia="zh-CN"/>
              </w:rPr>
              <w:t>注册证、</w:t>
            </w:r>
            <w:r>
              <w:rPr>
                <w:rFonts w:hint="eastAsia" w:ascii="宋体" w:hAnsi="宋体"/>
                <w:szCs w:val="21"/>
              </w:rPr>
              <w:t>投标人为其缴纳的养老保险证明材料。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□联合体投标的，工程总承包项目经理由联合体牵头人提供。</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注：（1）要求拟派工程总承包项目经理注册执业资格为注册建造师的，一级建造师注册证或重庆市二级建造师注册证必须提供建造师电子注册证书，且该建造师电子注册证书须由建造师本人在个人签名处手写本人签名。</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（2）重庆市以外的省级住房城乡建设主管部门对二级建造师电子注册证书使用有明确规定的，从其规定。未规定使用电子注册证书的，可提供纸质证书扫描件。</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（3）建造师电子注册证书本人手写签名与签名图像笔迹是否一致不作为否决投标的情形。</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5</w:t>
            </w:r>
            <w:r>
              <w:rPr>
                <w:rFonts w:hint="eastAsia" w:ascii="宋体" w:hAnsi="宋体"/>
                <w:szCs w:val="21"/>
              </w:rPr>
              <w:t>.2投标人须承诺拟派工程总承包项目经理到岗履职和未被禁止参与投标。</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5</w:t>
            </w:r>
            <w:r>
              <w:rPr>
                <w:rFonts w:hint="eastAsia" w:ascii="宋体" w:hAnsi="宋体"/>
                <w:szCs w:val="21"/>
              </w:rPr>
              <w:t>.2.1到岗履职要求：承诺拟派工程总承包项目经理中标后在本项目任职，到岗后不得在两个或者两个以上工程项目担任工程总承包项目经理、施工项目负责人，签订合同时拟派的工程总承包项目经理必须与投标文件中的工程总承包项目经理一致，并满足办理相关手续的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招标人</w:t>
            </w:r>
            <w:r>
              <w:rPr>
                <w:rFonts w:hint="eastAsia" w:ascii="宋体" w:hAnsi="宋体"/>
                <w:szCs w:val="21"/>
              </w:rPr>
              <w:t>按合同相关条款</w:t>
            </w:r>
            <w:r>
              <w:rPr>
                <w:rFonts w:hint="eastAsia" w:ascii="宋体" w:hAnsi="宋体"/>
                <w:szCs w:val="21"/>
                <w:lang w:val="en-US" w:eastAsia="zh-CN"/>
              </w:rPr>
              <w:t>要求投标人承担责任</w:t>
            </w:r>
            <w:r>
              <w:rPr>
                <w:rFonts w:hint="eastAsia" w:ascii="宋体" w:hAnsi="宋体"/>
                <w:szCs w:val="21"/>
              </w:rPr>
              <w:t>并上报行政主管部门，给招标人造成损失的，投标人依法承担</w:t>
            </w:r>
            <w:r>
              <w:rPr>
                <w:rFonts w:hint="eastAsia" w:ascii="宋体" w:hAnsi="宋体"/>
                <w:szCs w:val="21"/>
                <w:lang w:val="en-US" w:eastAsia="zh-CN"/>
              </w:rPr>
              <w:t>赔偿责任或</w:t>
            </w:r>
            <w:r>
              <w:rPr>
                <w:rFonts w:hint="eastAsia" w:ascii="宋体" w:hAnsi="宋体"/>
                <w:szCs w:val="21"/>
              </w:rPr>
              <w:t>违约责任。拟派工程总承包项目经理中标后不得随意更换。</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5</w:t>
            </w:r>
            <w:r>
              <w:rPr>
                <w:rFonts w:hint="eastAsia" w:ascii="宋体" w:hAnsi="宋体"/>
                <w:szCs w:val="21"/>
              </w:rPr>
              <w:t>.2.2未被禁止参与投标要求：承诺拟派工程总承包项目经理未被有关部门暂停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但仍参加投标，将被否决投标；已取得中标候选人资格或中标资格的，招标人有权取消</w:t>
            </w:r>
            <w:r>
              <w:rPr>
                <w:rFonts w:hint="eastAsia" w:ascii="宋体" w:hAnsi="宋体"/>
                <w:szCs w:val="21"/>
                <w:lang w:val="en-US" w:eastAsia="zh-CN"/>
              </w:rPr>
              <w:t>投标人的</w:t>
            </w:r>
            <w:r>
              <w:rPr>
                <w:rFonts w:hint="eastAsia" w:ascii="宋体" w:hAnsi="宋体"/>
                <w:szCs w:val="21"/>
              </w:rPr>
              <w:t>中标候选人资格或中标资格；给招标人造成损失的，投标人依法承担赔偿责任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color w:val="000000"/>
              </w:rPr>
            </w:pPr>
            <w:r>
              <w:rPr>
                <w:rFonts w:hint="eastAsia" w:ascii="宋体" w:hAnsi="宋体"/>
                <w:szCs w:val="21"/>
              </w:rPr>
              <w:t>□</w:t>
            </w:r>
            <w:r>
              <w:rPr>
                <w:rFonts w:ascii="宋体" w:hAnsi="宋体"/>
                <w:color w:val="000000"/>
              </w:rPr>
              <w:t>5.2.3</w:t>
            </w:r>
            <w:r>
              <w:rPr>
                <w:rFonts w:hint="eastAsia" w:ascii="宋体" w:hAnsi="宋体"/>
                <w:color w:val="000000"/>
                <w:lang w:val="en-US" w:eastAsia="zh-CN"/>
              </w:rPr>
              <w:t>工程总承包</w:t>
            </w:r>
            <w:r>
              <w:rPr>
                <w:rFonts w:ascii="宋体" w:hAnsi="宋体"/>
                <w:color w:val="000000"/>
              </w:rPr>
              <w:t>项目经理的其它要求：为保证</w:t>
            </w:r>
            <w:r>
              <w:rPr>
                <w:rFonts w:hint="eastAsia" w:ascii="宋体" w:hAnsi="宋体"/>
                <w:color w:val="000000"/>
              </w:rPr>
              <w:t>投标人</w:t>
            </w:r>
            <w:r>
              <w:rPr>
                <w:rFonts w:ascii="宋体" w:hAnsi="宋体"/>
                <w:color w:val="000000"/>
              </w:rPr>
              <w:t>拟派的</w:t>
            </w:r>
            <w:r>
              <w:rPr>
                <w:rFonts w:hint="eastAsia" w:ascii="宋体" w:hAnsi="宋体"/>
                <w:color w:val="000000"/>
                <w:lang w:val="en-US" w:eastAsia="zh-CN"/>
              </w:rPr>
              <w:t>工程总承包</w:t>
            </w:r>
            <w:r>
              <w:rPr>
                <w:rFonts w:ascii="宋体" w:hAnsi="宋体"/>
                <w:color w:val="000000"/>
              </w:rPr>
              <w:t>项目经理到本项目到岗履职，</w:t>
            </w:r>
            <w:r>
              <w:rPr>
                <w:rFonts w:hint="eastAsia" w:ascii="宋体" w:hAnsi="宋体"/>
                <w:color w:val="000000"/>
              </w:rPr>
              <w:t>投标人</w:t>
            </w:r>
            <w:r>
              <w:rPr>
                <w:rFonts w:ascii="宋体" w:hAnsi="宋体"/>
                <w:color w:val="000000"/>
              </w:rPr>
              <w:t>还需</w:t>
            </w:r>
            <w:r>
              <w:rPr>
                <w:rFonts w:hint="eastAsia" w:ascii="宋体" w:hAnsi="宋体"/>
                <w:szCs w:val="21"/>
              </w:rPr>
              <w:t>按注册建造师的相关规定</w:t>
            </w:r>
            <w:r>
              <w:rPr>
                <w:rFonts w:ascii="宋体" w:hAnsi="宋体"/>
                <w:color w:val="000000"/>
              </w:rPr>
              <w:t>承诺：</w:t>
            </w:r>
            <w:r>
              <w:rPr>
                <w:rFonts w:hint="eastAsia"/>
                <w:i/>
                <w:szCs w:val="21"/>
                <w:u w:val="single"/>
              </w:rPr>
              <w:t>[提示：</w:t>
            </w:r>
            <w:r>
              <w:rPr>
                <w:rFonts w:hint="eastAsia"/>
                <w:i/>
                <w:szCs w:val="21"/>
                <w:u w:val="single"/>
                <w:lang w:val="en-US" w:eastAsia="zh-CN"/>
              </w:rPr>
              <w:t>拟派工程总承包项目经理兼任施工负责人，不再设置施工负责人时适用</w:t>
            </w:r>
            <w:r>
              <w:rPr>
                <w:rFonts w:hint="eastAsia"/>
                <w:i/>
                <w:szCs w:val="21"/>
                <w:u w:val="singl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color w:val="000000"/>
              </w:rPr>
            </w:pPr>
            <w:r>
              <w:rPr>
                <w:rFonts w:ascii="宋体" w:hAnsi="宋体"/>
                <w:color w:val="000000"/>
              </w:rPr>
              <w:t>若</w:t>
            </w:r>
            <w:r>
              <w:rPr>
                <w:rFonts w:hint="eastAsia" w:ascii="宋体" w:hAnsi="宋体"/>
                <w:color w:val="000000"/>
              </w:rPr>
              <w:t>投标人</w:t>
            </w:r>
            <w:r>
              <w:rPr>
                <w:rFonts w:ascii="宋体" w:hAnsi="宋体"/>
                <w:color w:val="000000"/>
              </w:rPr>
              <w:t>拟派本项目的</w:t>
            </w:r>
            <w:r>
              <w:rPr>
                <w:rFonts w:hint="eastAsia" w:ascii="宋体" w:hAnsi="宋体"/>
                <w:color w:val="000000"/>
                <w:lang w:val="en-US" w:eastAsia="zh-CN"/>
              </w:rPr>
              <w:t>工程总承包</w:t>
            </w:r>
            <w:r>
              <w:rPr>
                <w:rFonts w:ascii="宋体" w:hAnsi="宋体"/>
                <w:color w:val="000000"/>
              </w:rPr>
              <w:t>项目经理有在其他项目任职</w:t>
            </w:r>
            <w:r>
              <w:rPr>
                <w:rFonts w:hint="eastAsia" w:ascii="宋体" w:hAnsi="宋体"/>
                <w:color w:val="000000"/>
                <w:lang w:val="en-US" w:eastAsia="zh-CN"/>
              </w:rPr>
              <w:t>项目经理或施工负责人</w:t>
            </w:r>
            <w:r>
              <w:rPr>
                <w:rFonts w:ascii="宋体" w:hAnsi="宋体"/>
                <w:color w:val="000000"/>
              </w:rPr>
              <w:t>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rPr>
              <w:t>投标人</w:t>
            </w:r>
            <w:r>
              <w:rPr>
                <w:rFonts w:ascii="宋体" w:hAnsi="宋体"/>
                <w:color w:val="000000"/>
              </w:rPr>
              <w:t>拟派</w:t>
            </w:r>
            <w:r>
              <w:rPr>
                <w:rFonts w:hint="eastAsia" w:ascii="宋体" w:hAnsi="宋体"/>
                <w:color w:val="000000"/>
                <w:lang w:val="en-US" w:eastAsia="zh-CN"/>
              </w:rPr>
              <w:t>工程总承包</w:t>
            </w:r>
            <w:r>
              <w:rPr>
                <w:rFonts w:ascii="宋体" w:hAnsi="宋体"/>
                <w:color w:val="000000"/>
              </w:rPr>
              <w:t>项目经理在其他项目的任职情形（或在其他项目的中标或拟中标情形）进行核查，若与</w:t>
            </w:r>
            <w:r>
              <w:rPr>
                <w:rFonts w:hint="eastAsia" w:ascii="宋体" w:hAnsi="宋体"/>
                <w:color w:val="000000"/>
              </w:rPr>
              <w:t>投标人</w:t>
            </w:r>
            <w:r>
              <w:rPr>
                <w:rFonts w:ascii="宋体" w:hAnsi="宋体"/>
                <w:color w:val="000000"/>
              </w:rPr>
              <w:t>承诺内容不符或</w:t>
            </w:r>
            <w:r>
              <w:rPr>
                <w:rFonts w:hint="eastAsia" w:ascii="宋体" w:hAnsi="宋体"/>
                <w:color w:val="000000"/>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rPr>
              <w:t>投标人</w:t>
            </w:r>
            <w:r>
              <w:rPr>
                <w:rFonts w:ascii="宋体" w:hAnsi="宋体"/>
                <w:color w:val="000000"/>
              </w:rPr>
              <w:t>放弃中标资格，招标人不退还其投标保证金。在合同签订时，</w:t>
            </w:r>
            <w:r>
              <w:rPr>
                <w:rFonts w:hint="eastAsia" w:ascii="宋体" w:hAnsi="宋体"/>
                <w:color w:val="000000"/>
              </w:rPr>
              <w:t>投标人</w:t>
            </w:r>
            <w:r>
              <w:rPr>
                <w:rFonts w:ascii="宋体" w:hAnsi="宋体"/>
                <w:color w:val="000000"/>
              </w:rPr>
              <w:t>需确保拟派</w:t>
            </w:r>
            <w:r>
              <w:rPr>
                <w:rFonts w:hint="eastAsia" w:ascii="宋体" w:hAnsi="宋体"/>
                <w:color w:val="000000"/>
                <w:lang w:val="en-US" w:eastAsia="zh-CN"/>
              </w:rPr>
              <w:t>工程总承包</w:t>
            </w:r>
            <w:r>
              <w:rPr>
                <w:rFonts w:ascii="宋体" w:hAnsi="宋体"/>
                <w:color w:val="000000"/>
              </w:rPr>
              <w:t>项目经理符合《建筑施工企业项目经理资质管理办法》规定的项目经理任职条件，否则视为</w:t>
            </w:r>
            <w:r>
              <w:rPr>
                <w:rFonts w:hint="eastAsia" w:ascii="宋体" w:hAnsi="宋体"/>
                <w:color w:val="000000"/>
              </w:rPr>
              <w:t>投标人</w:t>
            </w:r>
            <w:r>
              <w:rPr>
                <w:rFonts w:ascii="宋体" w:hAnsi="宋体"/>
                <w:color w:val="000000"/>
              </w:rPr>
              <w:t>放弃中标资格，招标人不退还其投标保证金。</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color w:val="000000"/>
              </w:rPr>
            </w:pPr>
            <w:r>
              <w:rPr>
                <w:rFonts w:ascii="宋体" w:hAnsi="宋体"/>
                <w:color w:val="000000"/>
              </w:rPr>
              <w:t>放弃在其他项目任职的需提供</w:t>
            </w:r>
            <w:r>
              <w:rPr>
                <w:rFonts w:hint="eastAsia" w:ascii="宋体" w:hAnsi="宋体"/>
                <w:color w:val="000000"/>
              </w:rPr>
              <w:t>：</w:t>
            </w:r>
            <w:r>
              <w:rPr>
                <w:rFonts w:ascii="宋体" w:hAnsi="宋体"/>
                <w:color w:val="000000"/>
              </w:rPr>
              <w:t>①</w:t>
            </w:r>
            <w:r>
              <w:rPr>
                <w:rFonts w:hint="eastAsia" w:ascii="宋体" w:hAnsi="宋体"/>
                <w:color w:val="000000"/>
              </w:rPr>
              <w:t>经</w:t>
            </w:r>
            <w:r>
              <w:rPr>
                <w:rFonts w:ascii="宋体" w:hAnsi="宋体"/>
                <w:color w:val="000000"/>
              </w:rPr>
              <w:t>业主或建设单位同意任职变更的文件；②负责项目监管的行业行政主管部门出具同意任职变更的证明材料。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ascii="宋体" w:hAnsi="宋体"/>
                <w:color w:val="000000"/>
              </w:rPr>
              <w:t>放弃在其他项目中标或拟中标的需提供</w:t>
            </w:r>
            <w:r>
              <w:rPr>
                <w:rFonts w:hint="eastAsia" w:ascii="宋体" w:hAnsi="宋体"/>
                <w:color w:val="000000"/>
              </w:rPr>
              <w:t>：</w:t>
            </w:r>
            <w:r>
              <w:rPr>
                <w:rFonts w:ascii="宋体" w:hAnsi="宋体"/>
                <w:color w:val="000000"/>
              </w:rPr>
              <w:t>①经中标或拟中标的其他项目建设单位同意的放弃中标函</w:t>
            </w:r>
            <w:r>
              <w:rPr>
                <w:rFonts w:hint="eastAsia" w:ascii="宋体" w:hAnsi="宋体"/>
                <w:color w:val="000000"/>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承诺（格式见第八章投标文件格式）。</w:t>
            </w:r>
          </w:p>
          <w:p>
            <w:pPr>
              <w:keepNext w:val="0"/>
              <w:keepLines w:val="0"/>
              <w:pageBreakBefore w:val="0"/>
              <w:widowControl w:val="0"/>
              <w:kinsoku/>
              <w:wordWrap/>
              <w:overflowPunct/>
              <w:topLinePunct w:val="0"/>
              <w:bidi w:val="0"/>
              <w:snapToGrid w:val="0"/>
              <w:spacing w:line="400" w:lineRule="exact"/>
              <w:ind w:firstLine="420" w:firstLineChars="200"/>
              <w:textAlignment w:val="auto"/>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default" w:ascii="宋体" w:hAnsi="宋体" w:eastAsia="宋体"/>
                <w:szCs w:val="21"/>
                <w:lang w:val="en-US" w:eastAsia="zh-CN"/>
              </w:rPr>
            </w:pPr>
            <w:r>
              <w:rPr>
                <w:rFonts w:hint="eastAsia" w:ascii="宋体" w:hAnsi="宋体"/>
                <w:szCs w:val="21"/>
              </w:rPr>
              <w:t>□</w:t>
            </w:r>
            <w:r>
              <w:rPr>
                <w:rFonts w:hint="eastAsia" w:ascii="宋体" w:hAnsi="宋体"/>
                <w:szCs w:val="21"/>
                <w:lang w:val="en-US" w:eastAsia="zh-CN"/>
              </w:rPr>
              <w:t>5</w:t>
            </w:r>
            <w:r>
              <w:rPr>
                <w:rFonts w:ascii="宋体" w:hAnsi="宋体"/>
                <w:szCs w:val="21"/>
              </w:rPr>
              <w:t>.3</w:t>
            </w:r>
            <w:r>
              <w:rPr>
                <w:rFonts w:hint="eastAsia" w:ascii="宋体" w:hAnsi="宋体"/>
                <w:szCs w:val="21"/>
                <w:lang w:val="en-US" w:eastAsia="zh-CN"/>
              </w:rPr>
              <w:t>工程总承包项目经理业绩</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i/>
                <w:iCs/>
                <w:szCs w:val="21"/>
                <w:highlight w:val="none"/>
                <w:lang w:val="en-US" w:eastAsia="zh-CN"/>
              </w:rPr>
              <w:t>[提示：</w:t>
            </w:r>
            <w:r>
              <w:rPr>
                <w:rFonts w:hint="eastAsia" w:ascii="宋体" w:hAnsi="宋体"/>
                <w:i/>
                <w:kern w:val="0"/>
                <w:szCs w:val="21"/>
              </w:rPr>
              <w:t>招标人</w:t>
            </w:r>
            <w:r>
              <w:rPr>
                <w:rFonts w:hint="eastAsia" w:ascii="宋体" w:hAnsi="宋体"/>
                <w:i/>
                <w:kern w:val="0"/>
                <w:szCs w:val="21"/>
                <w:lang w:val="en-US" w:eastAsia="zh-CN"/>
              </w:rPr>
              <w:t>可选择以下三种方式之一，</w:t>
            </w:r>
            <w:r>
              <w:rPr>
                <w:rFonts w:hint="eastAsia" w:ascii="宋体" w:hAnsi="宋体"/>
                <w:i/>
                <w:iCs/>
                <w:szCs w:val="21"/>
                <w:highlight w:val="none"/>
                <w:lang w:val="en-US" w:eastAsia="zh-CN"/>
              </w:rPr>
              <w:t>设置的人员业绩指标不得超过本项目对应指标。]</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u w:val="single"/>
              </w:rPr>
            </w:pPr>
            <w:r>
              <w:rPr>
                <w:rFonts w:hint="eastAsia" w:ascii="宋体" w:hAnsi="宋体"/>
                <w:szCs w:val="21"/>
              </w:rPr>
              <w:t>□</w:t>
            </w:r>
            <w:r>
              <w:rPr>
                <w:rFonts w:hint="eastAsia" w:ascii="宋体" w:hAnsi="宋体"/>
                <w:szCs w:val="21"/>
                <w:lang w:eastAsia="zh-CN"/>
              </w:rPr>
              <w:t>方式一：</w:t>
            </w:r>
            <w:r>
              <w:rPr>
                <w:rFonts w:hint="eastAsia" w:ascii="宋体" w:hAnsi="宋体" w:cs="宋体"/>
                <w:kern w:val="0"/>
                <w:szCs w:val="21"/>
                <w:lang w:val="en-US" w:eastAsia="zh-CN"/>
              </w:rPr>
              <w:t>投标人拟派的工程总承包项目经理自</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w:t>
            </w:r>
            <w:r>
              <w:rPr>
                <w:rFonts w:hint="eastAsia" w:ascii="宋体" w:hAnsi="宋体"/>
                <w:i/>
                <w:iCs/>
                <w:szCs w:val="21"/>
              </w:rPr>
              <w:t>[提示：</w:t>
            </w:r>
            <w:r>
              <w:rPr>
                <w:rFonts w:hint="eastAsia" w:ascii="宋体" w:hAnsi="宋体"/>
                <w:i/>
                <w:iCs/>
                <w:szCs w:val="21"/>
                <w:lang w:val="en-US" w:eastAsia="zh-CN"/>
              </w:rPr>
              <w:t>指投标截止日前3年及以上</w:t>
            </w:r>
            <w:r>
              <w:rPr>
                <w:rFonts w:hint="eastAsia" w:ascii="宋体" w:hAnsi="宋体"/>
                <w:i/>
                <w:iCs/>
                <w:szCs w:val="21"/>
              </w:rPr>
              <w:t>，不包含投标截止日当年]</w:t>
            </w:r>
            <w:r>
              <w:rPr>
                <w:rFonts w:hint="eastAsia" w:ascii="宋体" w:hAnsi="宋体" w:cs="宋体"/>
                <w:kern w:val="0"/>
                <w:szCs w:val="21"/>
              </w:rPr>
              <w:t>至</w:t>
            </w:r>
            <w:r>
              <w:rPr>
                <w:rFonts w:hint="eastAsia" w:ascii="宋体" w:hAnsi="宋体"/>
                <w:kern w:val="0"/>
                <w:szCs w:val="21"/>
              </w:rPr>
              <w:t>投标截止日止</w:t>
            </w:r>
            <w:r>
              <w:rPr>
                <w:rFonts w:hint="eastAsia" w:ascii="宋体" w:hAnsi="宋体"/>
                <w:szCs w:val="21"/>
              </w:rPr>
              <w:t>（以工程竣工时间为准）</w:t>
            </w:r>
            <w:r>
              <w:rPr>
                <w:rFonts w:hint="eastAsia" w:ascii="宋体" w:hAnsi="宋体"/>
                <w:szCs w:val="21"/>
                <w:lang w:eastAsia="zh-CN"/>
              </w:rPr>
              <w:t>，</w:t>
            </w:r>
            <w:r>
              <w:rPr>
                <w:rFonts w:hint="eastAsia" w:ascii="宋体" w:hAnsi="宋体"/>
                <w:szCs w:val="21"/>
                <w:lang w:val="en-US" w:eastAsia="zh-CN"/>
              </w:rPr>
              <w:t>完成过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u w:val="none"/>
                <w:lang w:val="en-US" w:eastAsia="zh-CN"/>
              </w:rPr>
              <w:t>工程总承包</w:t>
            </w:r>
            <w:r>
              <w:rPr>
                <w:rFonts w:hint="eastAsia" w:ascii="宋体" w:hAnsi="宋体"/>
                <w:szCs w:val="21"/>
                <w:lang w:val="en-US" w:eastAsia="zh-CN"/>
              </w:rPr>
              <w:t>业绩</w:t>
            </w:r>
            <w:r>
              <w:rPr>
                <w:rFonts w:hint="eastAsia" w:ascii="宋体" w:hAnsi="宋体"/>
                <w:szCs w:val="21"/>
                <w:lang w:eastAsia="zh-CN"/>
              </w:rPr>
              <w:t>，</w:t>
            </w:r>
            <w:r>
              <w:rPr>
                <w:rFonts w:hint="eastAsia" w:ascii="宋体" w:hAnsi="宋体"/>
                <w:szCs w:val="21"/>
                <w:lang w:val="en-US" w:eastAsia="zh-CN"/>
              </w:rPr>
              <w:t>并在该业绩中</w:t>
            </w:r>
            <w:r>
              <w:rPr>
                <w:rFonts w:ascii="宋体" w:hAnsi="宋体"/>
                <w:szCs w:val="21"/>
              </w:rPr>
              <w:t>担任</w:t>
            </w:r>
            <w:r>
              <w:rPr>
                <w:rFonts w:hint="eastAsia" w:ascii="宋体 ，Arial" w:hAnsi="宋体" w:eastAsia="宋体 ，Arial" w:cs="宋体"/>
                <w:kern w:val="0"/>
                <w:szCs w:val="21"/>
                <w:u w:val="single"/>
              </w:rPr>
              <w:t>项目经理</w:t>
            </w:r>
            <w:r>
              <w:rPr>
                <w:rFonts w:hint="eastAsia" w:ascii="宋体 ，Arial" w:hAnsi="宋体" w:eastAsia="宋体 ，Arial" w:cs="宋体"/>
                <w:kern w:val="0"/>
                <w:szCs w:val="21"/>
                <w:u w:val="single"/>
                <w:lang w:val="en-US" w:eastAsia="zh-CN"/>
              </w:rPr>
              <w:t>或项目负责人或施工负责人</w:t>
            </w:r>
            <w:r>
              <w:rPr>
                <w:rFonts w:hint="eastAsia" w:ascii="宋体" w:hAnsi="宋体"/>
                <w:szCs w:val="21"/>
              </w:rPr>
              <w:t>。</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lang w:val="en-US" w:eastAsia="zh-CN"/>
              </w:rPr>
              <w:t>提供</w:t>
            </w:r>
            <w:r>
              <w:rPr>
                <w:rFonts w:hint="eastAsia" w:ascii="宋体" w:hAnsi="宋体"/>
                <w:szCs w:val="21"/>
              </w:rPr>
              <w:t>：</w:t>
            </w:r>
            <w:r>
              <w:rPr>
                <w:rFonts w:hint="eastAsia" w:ascii="宋体" w:hAnsi="宋体"/>
                <w:szCs w:val="21"/>
                <w:lang w:val="en-US" w:eastAsia="zh-CN"/>
              </w:rPr>
              <w:t>该业绩的</w:t>
            </w:r>
            <w:r>
              <w:rPr>
                <w:rFonts w:hint="eastAsia" w:ascii="宋体" w:hAnsi="宋体"/>
                <w:szCs w:val="21"/>
              </w:rPr>
              <w:t>合同协议书和工程竣工验收合格</w:t>
            </w:r>
            <w:r>
              <w:rPr>
                <w:rFonts w:hint="eastAsia" w:ascii="宋体" w:hAnsi="宋体"/>
                <w:szCs w:val="21"/>
                <w:lang w:val="en-US" w:eastAsia="zh-CN"/>
              </w:rPr>
              <w:t>的</w:t>
            </w:r>
            <w:r>
              <w:rPr>
                <w:rFonts w:hint="eastAsia" w:ascii="宋体" w:hAnsi="宋体"/>
                <w:szCs w:val="21"/>
              </w:rPr>
              <w:t>证明材料</w:t>
            </w:r>
            <w:r>
              <w:rPr>
                <w:rFonts w:hint="eastAsia" w:ascii="宋体" w:hAnsi="宋体"/>
                <w:szCs w:val="21"/>
                <w:lang w:eastAsia="zh-CN"/>
              </w:rPr>
              <w:t>。</w:t>
            </w:r>
            <w:r>
              <w:rPr>
                <w:rFonts w:hint="eastAsia" w:ascii="宋体" w:hAnsi="宋体"/>
                <w:szCs w:val="21"/>
              </w:rPr>
              <w:t>若提供的业绩证明材料</w:t>
            </w:r>
            <w:r>
              <w:rPr>
                <w:rFonts w:hint="eastAsia" w:ascii="宋体" w:hAnsi="宋体"/>
                <w:szCs w:val="21"/>
                <w:lang w:val="en-US" w:eastAsia="zh-CN"/>
              </w:rPr>
              <w:t>不能体现上述业绩指标的</w:t>
            </w:r>
            <w:r>
              <w:rPr>
                <w:rFonts w:hint="eastAsia" w:ascii="宋体" w:hAnsi="宋体"/>
                <w:szCs w:val="21"/>
              </w:rPr>
              <w:t>，</w:t>
            </w:r>
            <w:r>
              <w:rPr>
                <w:rFonts w:hint="eastAsia" w:ascii="宋体" w:hAnsi="宋体"/>
                <w:szCs w:val="21"/>
                <w:lang w:val="en-US" w:eastAsia="zh-CN"/>
              </w:rPr>
              <w:t>应补充</w:t>
            </w:r>
            <w:r>
              <w:rPr>
                <w:rFonts w:hint="eastAsia" w:ascii="宋体" w:hAnsi="宋体"/>
                <w:szCs w:val="21"/>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szCs w:val="21"/>
              </w:rPr>
            </w:pPr>
            <w:r>
              <w:rPr>
                <w:rFonts w:hint="eastAsia" w:ascii="宋体" w:hAnsi="宋体"/>
                <w:szCs w:val="21"/>
              </w:rPr>
              <w:t>□联合体投标的，由联合体牵头人提供。</w:t>
            </w:r>
          </w:p>
          <w:p>
            <w:pPr>
              <w:autoSpaceDE w:val="0"/>
              <w:autoSpaceDN w:val="0"/>
              <w:adjustRightInd w:val="0"/>
              <w:snapToGrid w:val="0"/>
              <w:spacing w:line="400" w:lineRule="exact"/>
              <w:ind w:firstLine="415" w:firstLineChars="198"/>
              <w:rPr>
                <w:rFonts w:hint="eastAsia" w:ascii="宋体" w:hAnsi="宋体"/>
                <w:szCs w:val="21"/>
                <w:lang w:eastAsia="zh-CN"/>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业绩证明材料中</w:t>
            </w:r>
            <w:r>
              <w:rPr>
                <w:rFonts w:hint="eastAsia" w:ascii="宋体" w:hAnsi="宋体"/>
                <w:szCs w:val="21"/>
              </w:rPr>
              <w:t>针对同一指标存在不一致时，以工程竣工验收合格的证明材料为准</w:t>
            </w:r>
            <w:r>
              <w:rPr>
                <w:rFonts w:hint="eastAsia" w:ascii="宋体" w:hAnsi="宋体"/>
                <w:szCs w:val="21"/>
                <w:lang w:eastAsia="zh-CN"/>
              </w:rPr>
              <w:t>。</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w:t>
            </w:r>
            <w:r>
              <w:rPr>
                <w:rFonts w:hint="eastAsia" w:ascii="宋体" w:hAnsi="宋体"/>
                <w:szCs w:val="21"/>
                <w:lang w:eastAsia="zh-CN"/>
              </w:rPr>
              <w:t>2</w:t>
            </w:r>
            <w:r>
              <w:rPr>
                <w:rFonts w:hint="eastAsia" w:ascii="宋体" w:hAnsi="宋体"/>
                <w:szCs w:val="21"/>
              </w:rPr>
              <w:t>）投标人提供的业绩为联合体业绩的，其在该业绩中的工作分工应与本项目承担的工作一致。</w:t>
            </w:r>
          </w:p>
          <w:p>
            <w:pPr>
              <w:autoSpaceDE w:val="0"/>
              <w:autoSpaceDN w:val="0"/>
              <w:adjustRightInd w:val="0"/>
              <w:snapToGrid w:val="0"/>
              <w:spacing w:line="400" w:lineRule="exact"/>
              <w:ind w:firstLine="420" w:firstLineChars="200"/>
            </w:pPr>
            <w:r>
              <w:rPr>
                <w:rFonts w:hint="eastAsia" w:ascii="宋体" w:hAnsi="宋体"/>
                <w:szCs w:val="21"/>
              </w:rPr>
              <w:t>□</w:t>
            </w:r>
            <w:r>
              <w:rPr>
                <w:rFonts w:hint="eastAsia" w:ascii="宋体" w:hAnsi="宋体" w:cs="宋体"/>
                <w:kern w:val="0"/>
                <w:szCs w:val="21"/>
                <w:lang w:val="en-US" w:eastAsia="zh-CN"/>
              </w:rPr>
              <w:t>方式二：投标人拟派的工程总承包项目经理自</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w:t>
            </w:r>
            <w:r>
              <w:rPr>
                <w:rFonts w:hint="eastAsia" w:ascii="宋体" w:hAnsi="宋体"/>
                <w:i/>
                <w:iCs/>
                <w:szCs w:val="21"/>
              </w:rPr>
              <w:t>[提示：</w:t>
            </w:r>
            <w:r>
              <w:rPr>
                <w:rFonts w:hint="eastAsia" w:ascii="宋体" w:hAnsi="宋体"/>
                <w:i/>
                <w:iCs/>
                <w:szCs w:val="21"/>
                <w:lang w:val="en-US" w:eastAsia="zh-CN"/>
              </w:rPr>
              <w:t>指投标截止日前3年及以上</w:t>
            </w:r>
            <w:r>
              <w:rPr>
                <w:rFonts w:hint="eastAsia" w:ascii="宋体" w:hAnsi="宋体"/>
                <w:i/>
                <w:iCs/>
                <w:szCs w:val="21"/>
              </w:rPr>
              <w:t>，不包含投标截止日当年]</w:t>
            </w:r>
            <w:r>
              <w:rPr>
                <w:rFonts w:hint="eastAsia" w:ascii="宋体" w:hAnsi="宋体" w:cs="宋体"/>
                <w:kern w:val="0"/>
                <w:szCs w:val="21"/>
              </w:rPr>
              <w:t>至</w:t>
            </w:r>
            <w:r>
              <w:rPr>
                <w:rFonts w:hint="eastAsia" w:ascii="宋体" w:hAnsi="宋体"/>
                <w:kern w:val="0"/>
                <w:szCs w:val="21"/>
              </w:rPr>
              <w:t>投标截止日止</w:t>
            </w:r>
            <w:r>
              <w:rPr>
                <w:rFonts w:hint="eastAsia" w:ascii="宋体" w:hAnsi="宋体"/>
                <w:szCs w:val="21"/>
              </w:rPr>
              <w:t>（设计业绩以施工图</w:t>
            </w:r>
            <w:r>
              <w:rPr>
                <w:rFonts w:hint="eastAsia" w:ascii="宋体" w:hAnsi="宋体"/>
                <w:szCs w:val="21"/>
                <w:lang w:val="en-US" w:eastAsia="zh-CN"/>
              </w:rPr>
              <w:t>通过备案或批复或</w:t>
            </w:r>
            <w:r>
              <w:rPr>
                <w:rFonts w:hint="eastAsia" w:ascii="宋体" w:hAnsi="宋体"/>
                <w:szCs w:val="21"/>
              </w:rPr>
              <w:t>审查时间为准）</w:t>
            </w:r>
            <w:r>
              <w:rPr>
                <w:rFonts w:hint="eastAsia" w:ascii="宋体" w:hAnsi="宋体"/>
                <w:szCs w:val="21"/>
                <w:lang w:eastAsia="zh-CN"/>
              </w:rPr>
              <w:t>，</w:t>
            </w:r>
            <w:r>
              <w:rPr>
                <w:rFonts w:hint="eastAsia" w:ascii="宋体" w:hAnsi="宋体"/>
                <w:szCs w:val="21"/>
                <w:lang w:val="en-US" w:eastAsia="zh-CN"/>
              </w:rPr>
              <w:t>完成过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lang w:val="en-US" w:eastAsia="zh-CN"/>
              </w:rPr>
              <w:t>设计业绩</w:t>
            </w:r>
            <w:r>
              <w:rPr>
                <w:rFonts w:hint="eastAsia" w:ascii="宋体" w:hAnsi="宋体"/>
                <w:szCs w:val="21"/>
                <w:lang w:eastAsia="zh-CN"/>
              </w:rPr>
              <w:t>，</w:t>
            </w:r>
            <w:r>
              <w:rPr>
                <w:rFonts w:hint="eastAsia" w:ascii="宋体" w:hAnsi="宋体"/>
                <w:szCs w:val="21"/>
                <w:lang w:val="en-US" w:eastAsia="zh-CN"/>
              </w:rPr>
              <w:t>并在该业绩中</w:t>
            </w:r>
            <w:r>
              <w:rPr>
                <w:rFonts w:ascii="宋体" w:hAnsi="宋体"/>
                <w:szCs w:val="21"/>
              </w:rPr>
              <w:t>担任</w:t>
            </w:r>
            <w:r>
              <w:rPr>
                <w:rFonts w:hint="eastAsia" w:ascii="宋体 ，Arial" w:hAnsi="宋体" w:eastAsia="宋体 ，Arial" w:cs="宋体"/>
                <w:kern w:val="0"/>
                <w:szCs w:val="21"/>
                <w:u w:val="single"/>
              </w:rPr>
              <w:t>项目</w:t>
            </w:r>
            <w:r>
              <w:rPr>
                <w:rFonts w:hint="eastAsia" w:ascii="宋体 ，Arial" w:hAnsi="宋体" w:eastAsia="宋体 ，Arial" w:cs="宋体"/>
                <w:kern w:val="0"/>
                <w:szCs w:val="21"/>
                <w:u w:val="single"/>
                <w:lang w:eastAsia="zh-CN"/>
              </w:rPr>
              <w:t>经理或项目</w:t>
            </w:r>
            <w:r>
              <w:rPr>
                <w:rFonts w:hint="eastAsia" w:ascii="宋体 ，Arial" w:hAnsi="宋体" w:eastAsia="宋体 ，Arial" w:cs="宋体"/>
                <w:kern w:val="0"/>
                <w:szCs w:val="21"/>
                <w:u w:val="single"/>
              </w:rPr>
              <w:t>负责人</w:t>
            </w:r>
            <w:r>
              <w:rPr>
                <w:rFonts w:hint="eastAsia" w:ascii="宋体 ，Arial" w:hAnsi="宋体" w:eastAsia="宋体 ，Arial" w:cs="宋体"/>
                <w:kern w:val="0"/>
                <w:szCs w:val="21"/>
                <w:u w:val="single"/>
                <w:lang w:eastAsia="zh-CN"/>
              </w:rPr>
              <w:t>或设计</w:t>
            </w:r>
            <w:r>
              <w:rPr>
                <w:rFonts w:hint="eastAsia" w:ascii="宋体 ，Arial" w:hAnsi="宋体" w:eastAsia="宋体 ，Arial" w:cs="宋体"/>
                <w:kern w:val="0"/>
                <w:szCs w:val="21"/>
                <w:u w:val="single"/>
                <w:lang w:val="en-US" w:eastAsia="zh-CN"/>
              </w:rPr>
              <w:t>项目</w:t>
            </w:r>
            <w:r>
              <w:rPr>
                <w:rFonts w:hint="eastAsia" w:ascii="宋体 ，Arial" w:hAnsi="宋体" w:eastAsia="宋体 ，Arial" w:cs="宋体"/>
                <w:kern w:val="0"/>
                <w:szCs w:val="21"/>
                <w:u w:val="single"/>
                <w:lang w:eastAsia="zh-CN"/>
              </w:rPr>
              <w:t>负责人</w:t>
            </w:r>
            <w:r>
              <w:rPr>
                <w:rFonts w:hint="eastAsia" w:ascii="宋体" w:hAnsi="宋体"/>
                <w:szCs w:val="21"/>
              </w:rPr>
              <w:t>。</w:t>
            </w:r>
          </w:p>
          <w:p>
            <w:pPr>
              <w:autoSpaceDE/>
              <w:autoSpaceDN/>
              <w:adjustRightInd/>
              <w:snapToGrid/>
              <w:spacing w:line="400" w:lineRule="exact"/>
              <w:ind w:firstLine="420" w:firstLineChars="200"/>
              <w:rPr>
                <w:rFonts w:ascii="宋体" w:hAnsi="宋体"/>
                <w:szCs w:val="21"/>
              </w:rPr>
            </w:pPr>
            <w:r>
              <w:rPr>
                <w:rFonts w:hint="eastAsia" w:ascii="宋体" w:hAnsi="宋体"/>
                <w:szCs w:val="21"/>
                <w:lang w:val="en-US" w:eastAsia="zh-CN"/>
              </w:rPr>
              <w:t>提供</w:t>
            </w:r>
            <w:r>
              <w:rPr>
                <w:rFonts w:hint="eastAsia" w:ascii="宋体" w:hAnsi="宋体"/>
                <w:szCs w:val="21"/>
              </w:rPr>
              <w:t>：</w:t>
            </w:r>
            <w:r>
              <w:rPr>
                <w:rFonts w:hint="eastAsia" w:ascii="宋体" w:hAnsi="宋体"/>
                <w:szCs w:val="21"/>
                <w:lang w:val="en-US" w:eastAsia="zh-CN"/>
              </w:rPr>
              <w:t>该业绩的</w:t>
            </w:r>
            <w:r>
              <w:rPr>
                <w:rFonts w:hint="eastAsia" w:ascii="宋体" w:hAnsi="宋体"/>
                <w:szCs w:val="21"/>
              </w:rPr>
              <w:t>合同协议书和施工图</w:t>
            </w:r>
            <w:r>
              <w:rPr>
                <w:rFonts w:hint="eastAsia" w:ascii="宋体" w:hAnsi="宋体"/>
                <w:szCs w:val="21"/>
                <w:lang w:val="en-US" w:eastAsia="zh-CN"/>
              </w:rPr>
              <w:t>通过备案或批复或</w:t>
            </w:r>
            <w:r>
              <w:rPr>
                <w:rFonts w:hint="eastAsia" w:ascii="宋体" w:hAnsi="宋体"/>
                <w:szCs w:val="21"/>
              </w:rPr>
              <w:t>审查</w:t>
            </w:r>
            <w:r>
              <w:rPr>
                <w:rFonts w:hint="eastAsia" w:ascii="宋体" w:hAnsi="宋体"/>
                <w:szCs w:val="21"/>
                <w:lang w:val="en-US" w:eastAsia="zh-CN"/>
              </w:rPr>
              <w:t>的</w:t>
            </w:r>
            <w:r>
              <w:rPr>
                <w:rFonts w:hint="eastAsia" w:ascii="宋体" w:hAnsi="宋体"/>
                <w:szCs w:val="21"/>
              </w:rPr>
              <w:t>证明材料</w:t>
            </w:r>
            <w:r>
              <w:rPr>
                <w:rFonts w:hint="eastAsia" w:ascii="宋体" w:hAnsi="宋体"/>
                <w:szCs w:val="21"/>
                <w:lang w:eastAsia="zh-CN"/>
              </w:rPr>
              <w:t>。</w:t>
            </w:r>
            <w:r>
              <w:rPr>
                <w:rFonts w:hint="eastAsia" w:ascii="宋体" w:hAnsi="宋体"/>
                <w:szCs w:val="21"/>
              </w:rPr>
              <w:t>若提供的业绩证明材料</w:t>
            </w:r>
            <w:r>
              <w:rPr>
                <w:rFonts w:hint="eastAsia" w:ascii="宋体" w:hAnsi="宋体"/>
                <w:szCs w:val="21"/>
                <w:lang w:val="en-US" w:eastAsia="zh-CN"/>
              </w:rPr>
              <w:t>不能体现上述业绩指标的</w:t>
            </w:r>
            <w:r>
              <w:rPr>
                <w:rFonts w:hint="eastAsia" w:ascii="宋体" w:hAnsi="宋体"/>
                <w:szCs w:val="21"/>
              </w:rPr>
              <w:t>，</w:t>
            </w:r>
            <w:r>
              <w:rPr>
                <w:rFonts w:hint="eastAsia" w:ascii="宋体" w:hAnsi="宋体"/>
                <w:szCs w:val="21"/>
                <w:lang w:val="en-US" w:eastAsia="zh-CN"/>
              </w:rPr>
              <w:t>应补充</w:t>
            </w:r>
            <w:r>
              <w:rPr>
                <w:rFonts w:hint="eastAsia" w:ascii="宋体" w:hAnsi="宋体"/>
                <w:szCs w:val="21"/>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□联合体投标的，由联合体牵头人提供。</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szCs w:val="21"/>
                <w:lang w:eastAsia="zh-CN"/>
              </w:rPr>
            </w:pPr>
            <w:r>
              <w:rPr>
                <w:rFonts w:hint="eastAsia" w:ascii="宋体" w:hAnsi="宋体"/>
                <w:szCs w:val="21"/>
              </w:rPr>
              <w:t>注：（1）当上述</w:t>
            </w:r>
            <w:r>
              <w:rPr>
                <w:rFonts w:hint="eastAsia" w:ascii="宋体" w:hAnsi="宋体"/>
                <w:szCs w:val="21"/>
                <w:lang w:val="en-US" w:eastAsia="zh-CN"/>
              </w:rPr>
              <w:t>业绩证明材料中</w:t>
            </w:r>
            <w:r>
              <w:rPr>
                <w:rFonts w:hint="eastAsia" w:ascii="宋体" w:hAnsi="宋体"/>
                <w:szCs w:val="21"/>
              </w:rPr>
              <w:t>针对同一指标存在不一致时，以施工图</w:t>
            </w:r>
            <w:r>
              <w:rPr>
                <w:rFonts w:hint="eastAsia" w:ascii="宋体" w:hAnsi="宋体"/>
                <w:szCs w:val="21"/>
                <w:lang w:val="en-US" w:eastAsia="zh-CN"/>
              </w:rPr>
              <w:t>通过备案或批复或</w:t>
            </w:r>
            <w:r>
              <w:rPr>
                <w:rFonts w:hint="eastAsia" w:ascii="宋体" w:hAnsi="宋体"/>
                <w:szCs w:val="21"/>
              </w:rPr>
              <w:t>审查</w:t>
            </w:r>
            <w:r>
              <w:rPr>
                <w:rFonts w:hint="eastAsia" w:ascii="宋体" w:hAnsi="宋体"/>
                <w:szCs w:val="21"/>
                <w:lang w:val="en-US" w:eastAsia="zh-CN"/>
              </w:rPr>
              <w:t>的</w:t>
            </w:r>
            <w:r>
              <w:rPr>
                <w:rFonts w:hint="eastAsia" w:ascii="宋体" w:hAnsi="宋体"/>
                <w:szCs w:val="21"/>
              </w:rPr>
              <w:t>证明材料为准</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rPr>
            </w:pPr>
            <w:r>
              <w:rPr>
                <w:rFonts w:hint="eastAsia" w:ascii="宋体" w:hAnsi="宋体" w:eastAsia="宋体" w:cs="宋体"/>
              </w:rPr>
              <w:t>（2）已取消施工图</w:t>
            </w:r>
            <w:r>
              <w:rPr>
                <w:rFonts w:hint="eastAsia" w:ascii="宋体" w:hAnsi="宋体" w:eastAsia="宋体" w:cs="宋体"/>
                <w:lang w:val="en-US" w:eastAsia="zh-CN"/>
              </w:rPr>
              <w:t>备案、批复、</w:t>
            </w:r>
            <w:r>
              <w:rPr>
                <w:rFonts w:hint="eastAsia" w:ascii="宋体" w:hAnsi="宋体" w:eastAsia="宋体" w:cs="宋体"/>
              </w:rPr>
              <w:t>审查的地区，应提供业绩所在地行业主管部门取消施工图</w:t>
            </w:r>
            <w:r>
              <w:rPr>
                <w:rFonts w:hint="eastAsia" w:ascii="宋体" w:hAnsi="宋体" w:eastAsia="宋体" w:cs="宋体"/>
                <w:lang w:val="en-US" w:eastAsia="zh-CN"/>
              </w:rPr>
              <w:t>备案、批复、</w:t>
            </w:r>
            <w:r>
              <w:rPr>
                <w:rFonts w:hint="eastAsia" w:ascii="宋体" w:hAnsi="宋体" w:eastAsia="宋体" w:cs="宋体"/>
              </w:rPr>
              <w:t>审查的文件和证明设计合格的业主证明，设计业绩的时间以业主证明中显示的设计合格时间为准。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eastAsia="宋体"/>
                <w:lang w:eastAsia="zh-CN"/>
              </w:rPr>
            </w:pPr>
            <w:r>
              <w:rPr>
                <w:rFonts w:hint="eastAsia" w:ascii="宋体" w:hAnsi="宋体" w:cs="宋体"/>
                <w:lang w:eastAsia="zh-CN"/>
              </w:rPr>
              <w:t>（</w:t>
            </w:r>
            <w:r>
              <w:rPr>
                <w:rFonts w:hint="eastAsia" w:ascii="宋体" w:hAnsi="宋体" w:cs="宋体"/>
                <w:lang w:val="en-US" w:eastAsia="zh-CN"/>
              </w:rPr>
              <w:t>3</w:t>
            </w:r>
            <w:r>
              <w:rPr>
                <w:rFonts w:hint="eastAsia" w:ascii="宋体" w:hAnsi="宋体" w:cs="宋体"/>
                <w:lang w:eastAsia="zh-CN"/>
              </w:rPr>
              <w:t>）</w:t>
            </w:r>
            <w:r>
              <w:rPr>
                <w:rFonts w:hint="eastAsia"/>
              </w:rPr>
              <w:t>投标人提供的业绩为联合体业绩的，其在该业绩中的工作分工应与本项目承担的</w:t>
            </w:r>
            <w:r>
              <w:rPr>
                <w:rFonts w:hint="eastAsia"/>
                <w:lang w:val="en-US" w:eastAsia="zh-CN"/>
              </w:rPr>
              <w:t>工作</w:t>
            </w:r>
            <w:r>
              <w:rPr>
                <w:rFonts w:hint="eastAsia"/>
              </w:rPr>
              <w:t>一致。</w:t>
            </w:r>
          </w:p>
          <w:p>
            <w:pPr>
              <w:autoSpaceDE w:val="0"/>
              <w:autoSpaceDN w:val="0"/>
              <w:adjustRightInd w:val="0"/>
              <w:snapToGrid w:val="0"/>
              <w:spacing w:line="400" w:lineRule="exact"/>
              <w:ind w:firstLine="420" w:firstLineChars="200"/>
            </w:pPr>
            <w:r>
              <w:rPr>
                <w:rFonts w:hint="eastAsia" w:ascii="宋体" w:hAnsi="宋体"/>
                <w:szCs w:val="21"/>
              </w:rPr>
              <w:t>□</w:t>
            </w:r>
            <w:r>
              <w:rPr>
                <w:rFonts w:hint="eastAsia" w:ascii="宋体" w:hAnsi="宋体" w:cs="宋体"/>
                <w:kern w:val="0"/>
                <w:szCs w:val="21"/>
                <w:lang w:val="en-US" w:eastAsia="zh-CN"/>
              </w:rPr>
              <w:t>方式三：投标人拟派的工程总承包项目经理自</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w:t>
            </w:r>
            <w:r>
              <w:rPr>
                <w:rFonts w:hint="eastAsia" w:ascii="宋体" w:hAnsi="宋体"/>
                <w:i/>
                <w:iCs/>
                <w:szCs w:val="21"/>
              </w:rPr>
              <w:t>[提示：</w:t>
            </w:r>
            <w:r>
              <w:rPr>
                <w:rFonts w:hint="eastAsia" w:ascii="宋体" w:hAnsi="宋体"/>
                <w:i/>
                <w:iCs/>
                <w:szCs w:val="21"/>
                <w:lang w:val="en-US" w:eastAsia="zh-CN"/>
              </w:rPr>
              <w:t>指投标截止日前3年及以上</w:t>
            </w:r>
            <w:r>
              <w:rPr>
                <w:rFonts w:hint="eastAsia" w:ascii="宋体" w:hAnsi="宋体"/>
                <w:i/>
                <w:iCs/>
                <w:szCs w:val="21"/>
              </w:rPr>
              <w:t>，不包含投标截止日当年]</w:t>
            </w:r>
            <w:r>
              <w:rPr>
                <w:rFonts w:hint="eastAsia" w:ascii="宋体" w:hAnsi="宋体" w:cs="宋体"/>
                <w:kern w:val="0"/>
                <w:szCs w:val="21"/>
              </w:rPr>
              <w:t>至</w:t>
            </w:r>
            <w:r>
              <w:rPr>
                <w:rFonts w:hint="eastAsia" w:ascii="宋体" w:hAnsi="宋体"/>
                <w:kern w:val="0"/>
                <w:szCs w:val="21"/>
              </w:rPr>
              <w:t>投标截止日止</w:t>
            </w:r>
            <w:r>
              <w:rPr>
                <w:rFonts w:hint="eastAsia" w:ascii="宋体" w:hAnsi="宋体"/>
                <w:szCs w:val="21"/>
              </w:rPr>
              <w:t>（以工程竣工时间为准）</w:t>
            </w:r>
            <w:r>
              <w:rPr>
                <w:rFonts w:hint="eastAsia" w:ascii="宋体" w:hAnsi="宋体"/>
                <w:szCs w:val="21"/>
                <w:lang w:eastAsia="zh-CN"/>
              </w:rPr>
              <w:t>，</w:t>
            </w:r>
            <w:r>
              <w:rPr>
                <w:rFonts w:hint="eastAsia" w:ascii="宋体" w:hAnsi="宋体"/>
                <w:szCs w:val="21"/>
                <w:lang w:val="en-US" w:eastAsia="zh-CN"/>
              </w:rPr>
              <w:t>完成过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szCs w:val="21"/>
                <w:lang w:val="en-US" w:eastAsia="zh-CN"/>
              </w:rPr>
              <w:t>业绩</w:t>
            </w:r>
            <w:r>
              <w:rPr>
                <w:rFonts w:hint="eastAsia" w:ascii="宋体" w:hAnsi="宋体"/>
                <w:szCs w:val="21"/>
                <w:lang w:eastAsia="zh-CN"/>
              </w:rPr>
              <w:t>，</w:t>
            </w:r>
            <w:r>
              <w:rPr>
                <w:rFonts w:hint="eastAsia" w:ascii="宋体" w:hAnsi="宋体"/>
                <w:szCs w:val="21"/>
                <w:lang w:val="en-US" w:eastAsia="zh-CN"/>
              </w:rPr>
              <w:t>并在该业绩中</w:t>
            </w:r>
            <w:r>
              <w:rPr>
                <w:rFonts w:ascii="宋体" w:hAnsi="宋体"/>
                <w:szCs w:val="21"/>
              </w:rPr>
              <w:t>担任</w:t>
            </w:r>
            <w:r>
              <w:rPr>
                <w:rFonts w:hint="eastAsia" w:ascii="宋体 ，Arial" w:hAnsi="宋体" w:eastAsia="宋体 ，Arial" w:cs="宋体"/>
                <w:kern w:val="0"/>
                <w:szCs w:val="21"/>
                <w:u w:val="single"/>
              </w:rPr>
              <w:t>项目</w:t>
            </w:r>
            <w:r>
              <w:rPr>
                <w:rFonts w:hint="eastAsia" w:ascii="宋体 ，Arial" w:hAnsi="宋体" w:eastAsia="宋体 ，Arial" w:cs="宋体"/>
                <w:kern w:val="0"/>
                <w:szCs w:val="21"/>
                <w:u w:val="single"/>
                <w:lang w:eastAsia="zh-CN"/>
              </w:rPr>
              <w:t>经理</w:t>
            </w:r>
            <w:r>
              <w:rPr>
                <w:rFonts w:hint="eastAsia" w:ascii="宋体 ，Arial" w:hAnsi="宋体" w:eastAsia="宋体 ，Arial" w:cs="宋体"/>
                <w:kern w:val="0"/>
                <w:szCs w:val="21"/>
                <w:u w:val="single"/>
                <w:lang w:val="en-US" w:eastAsia="zh-CN"/>
              </w:rPr>
              <w:t>或项目负责人</w:t>
            </w:r>
            <w:r>
              <w:rPr>
                <w:rFonts w:hint="eastAsia" w:ascii="宋体 ，Arial" w:hAnsi="宋体" w:eastAsia="宋体 ，Arial" w:cs="宋体"/>
                <w:kern w:val="0"/>
                <w:szCs w:val="21"/>
                <w:u w:val="single"/>
                <w:lang w:eastAsia="zh-CN"/>
              </w:rPr>
              <w:t>或施工</w:t>
            </w:r>
            <w:r>
              <w:rPr>
                <w:rFonts w:hint="eastAsia" w:ascii="宋体 ，Arial" w:hAnsi="宋体" w:eastAsia="宋体 ，Arial" w:cs="宋体"/>
                <w:kern w:val="0"/>
                <w:szCs w:val="21"/>
                <w:u w:val="single"/>
              </w:rPr>
              <w:t>负责人</w:t>
            </w:r>
            <w:r>
              <w:rPr>
                <w:rFonts w:hint="eastAsia" w:ascii="宋体" w:hAnsi="宋体"/>
                <w:szCs w:val="21"/>
              </w:rPr>
              <w:t>。</w:t>
            </w:r>
          </w:p>
          <w:p>
            <w:pPr>
              <w:autoSpaceDE/>
              <w:autoSpaceDN/>
              <w:adjustRightInd/>
              <w:snapToGrid/>
              <w:spacing w:line="400" w:lineRule="exact"/>
              <w:ind w:firstLine="0" w:firstLineChars="0"/>
              <w:rPr>
                <w:rFonts w:ascii="宋体" w:hAnsi="宋体"/>
                <w:szCs w:val="21"/>
              </w:rPr>
            </w:pPr>
            <w:r>
              <w:rPr>
                <w:rFonts w:hint="eastAsia" w:ascii="宋体" w:hAnsi="宋体"/>
                <w:szCs w:val="21"/>
                <w:lang w:val="en-US" w:eastAsia="zh-CN"/>
              </w:rPr>
              <w:t xml:space="preserve">    提供</w:t>
            </w:r>
            <w:r>
              <w:rPr>
                <w:rFonts w:hint="eastAsia" w:ascii="宋体" w:hAnsi="宋体"/>
                <w:szCs w:val="21"/>
              </w:rPr>
              <w:t>：</w:t>
            </w:r>
            <w:r>
              <w:rPr>
                <w:rFonts w:hint="eastAsia" w:ascii="宋体" w:hAnsi="宋体"/>
                <w:szCs w:val="21"/>
                <w:lang w:val="en-US" w:eastAsia="zh-CN"/>
              </w:rPr>
              <w:t>该业绩的</w:t>
            </w:r>
            <w:r>
              <w:rPr>
                <w:rFonts w:hint="eastAsia" w:ascii="宋体" w:hAnsi="宋体"/>
                <w:szCs w:val="21"/>
              </w:rPr>
              <w:t>合同协议书和工程竣工验收合格</w:t>
            </w:r>
            <w:r>
              <w:rPr>
                <w:rFonts w:hint="eastAsia" w:ascii="宋体" w:hAnsi="宋体"/>
                <w:szCs w:val="21"/>
                <w:lang w:val="en-US" w:eastAsia="zh-CN"/>
              </w:rPr>
              <w:t>的</w:t>
            </w:r>
            <w:r>
              <w:rPr>
                <w:rFonts w:hint="eastAsia" w:ascii="宋体" w:hAnsi="宋体"/>
                <w:szCs w:val="21"/>
              </w:rPr>
              <w:t>证明材料</w:t>
            </w:r>
            <w:r>
              <w:rPr>
                <w:rFonts w:hint="eastAsia" w:ascii="宋体" w:hAnsi="宋体"/>
                <w:szCs w:val="21"/>
                <w:lang w:eastAsia="zh-CN"/>
              </w:rPr>
              <w:t>。</w:t>
            </w:r>
            <w:r>
              <w:rPr>
                <w:rFonts w:hint="eastAsia" w:ascii="宋体" w:hAnsi="宋体"/>
                <w:szCs w:val="21"/>
              </w:rPr>
              <w:t>若提供的业绩证明材料</w:t>
            </w:r>
            <w:r>
              <w:rPr>
                <w:rFonts w:hint="eastAsia" w:ascii="宋体" w:hAnsi="宋体"/>
                <w:szCs w:val="21"/>
                <w:lang w:val="en-US" w:eastAsia="zh-CN"/>
              </w:rPr>
              <w:t>不能体现上述业绩指标的</w:t>
            </w:r>
            <w:r>
              <w:rPr>
                <w:rFonts w:hint="eastAsia" w:ascii="宋体" w:hAnsi="宋体"/>
                <w:szCs w:val="21"/>
              </w:rPr>
              <w:t>，</w:t>
            </w:r>
            <w:r>
              <w:rPr>
                <w:rFonts w:hint="eastAsia" w:ascii="宋体" w:hAnsi="宋体"/>
                <w:szCs w:val="21"/>
                <w:lang w:val="en-US" w:eastAsia="zh-CN"/>
              </w:rPr>
              <w:t>应补充</w:t>
            </w:r>
            <w:r>
              <w:rPr>
                <w:rFonts w:hint="eastAsia" w:ascii="宋体" w:hAnsi="宋体"/>
                <w:szCs w:val="21"/>
              </w:rPr>
              <w:t>提供业主证明。</w:t>
            </w:r>
          </w:p>
          <w:p>
            <w:pPr>
              <w:autoSpaceDE/>
              <w:autoSpaceDN/>
              <w:adjustRightInd/>
              <w:snapToGrid/>
              <w:spacing w:line="400" w:lineRule="exact"/>
              <w:ind w:firstLine="420" w:firstLineChars="200"/>
              <w:rPr>
                <w:rFonts w:hint="eastAsia" w:ascii="宋体" w:hAnsi="宋体"/>
                <w:szCs w:val="21"/>
              </w:rPr>
            </w:pPr>
            <w:r>
              <w:rPr>
                <w:rFonts w:hint="eastAsia" w:ascii="宋体" w:hAnsi="宋体"/>
                <w:szCs w:val="21"/>
              </w:rPr>
              <w:t>□联合体投标的，由联合体牵头人提供。</w:t>
            </w:r>
          </w:p>
          <w:p>
            <w:pPr>
              <w:autoSpaceDE/>
              <w:autoSpaceDN/>
              <w:adjustRightInd/>
              <w:snapToGrid/>
              <w:spacing w:line="400" w:lineRule="exact"/>
              <w:ind w:firstLine="420" w:firstLineChars="200"/>
              <w:rPr>
                <w:rFonts w:hint="eastAsia" w:ascii="宋体" w:hAnsi="宋体"/>
                <w:szCs w:val="21"/>
                <w:lang w:eastAsia="zh-CN"/>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业绩证明材料中</w:t>
            </w:r>
            <w:r>
              <w:rPr>
                <w:rFonts w:hint="eastAsia" w:ascii="宋体" w:hAnsi="宋体"/>
                <w:szCs w:val="21"/>
              </w:rPr>
              <w:t>针对同一指标存在不一致时，以工程竣工验收合格的证明材料为准</w:t>
            </w:r>
            <w:r>
              <w:rPr>
                <w:rFonts w:hint="eastAsia" w:ascii="宋体" w:hAnsi="宋体"/>
                <w:szCs w:val="21"/>
                <w:lang w:eastAsia="zh-CN"/>
              </w:rPr>
              <w:t>。</w:t>
            </w:r>
          </w:p>
          <w:p>
            <w:pPr>
              <w:autoSpaceDE/>
              <w:autoSpaceDN/>
              <w:adjustRightInd/>
              <w:snapToGrid/>
              <w:spacing w:line="400" w:lineRule="exact"/>
              <w:ind w:firstLine="420" w:firstLineChars="200"/>
              <w:rPr>
                <w:rFonts w:hint="eastAsia" w:ascii="宋体" w:hAnsi="宋体"/>
                <w:szCs w:val="21"/>
                <w:lang w:eastAsia="zh-CN"/>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rPr>
              <w:t>投标人提供的业绩为联合体业绩的，其在该业绩中的工作分工应与本项目承担的</w:t>
            </w:r>
            <w:r>
              <w:rPr>
                <w:rFonts w:hint="eastAsia"/>
                <w:lang w:val="en-US" w:eastAsia="zh-CN"/>
              </w:rPr>
              <w:t>工作</w:t>
            </w:r>
            <w:r>
              <w:rPr>
                <w:rFonts w:hint="eastAsia"/>
              </w:rPr>
              <w:t>一致。</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7" w:firstLineChars="198"/>
              <w:textAlignment w:val="auto"/>
              <w:rPr>
                <w:rFonts w:ascii="宋体" w:hAnsi="宋体"/>
                <w:b/>
                <w:szCs w:val="21"/>
              </w:rPr>
            </w:pPr>
            <w:r>
              <w:rPr>
                <w:rFonts w:hint="eastAsia" w:ascii="宋体" w:hAnsi="宋体"/>
                <w:b/>
                <w:szCs w:val="21"/>
                <w:lang w:val="en-US" w:eastAsia="zh-CN"/>
              </w:rPr>
              <w:t>6</w:t>
            </w:r>
            <w:r>
              <w:rPr>
                <w:rFonts w:ascii="宋体" w:hAnsi="宋体"/>
                <w:b/>
                <w:szCs w:val="21"/>
              </w:rPr>
              <w:t>.其他要求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szCs w:val="21"/>
              </w:rPr>
              <w:t>□</w:t>
            </w:r>
            <w:r>
              <w:rPr>
                <w:rFonts w:hint="eastAsia" w:ascii="宋体" w:hAnsi="宋体"/>
                <w:kern w:val="0"/>
                <w:szCs w:val="21"/>
                <w:lang w:val="en-US" w:eastAsia="zh-CN"/>
              </w:rPr>
              <w:t>6</w:t>
            </w:r>
            <w:r>
              <w:rPr>
                <w:rFonts w:ascii="宋体" w:hAnsi="宋体"/>
                <w:kern w:val="0"/>
                <w:szCs w:val="21"/>
              </w:rPr>
              <w:t>.1</w:t>
            </w:r>
            <w:r>
              <w:rPr>
                <w:rFonts w:hint="eastAsia" w:ascii="宋体" w:hAnsi="宋体"/>
                <w:kern w:val="0"/>
                <w:szCs w:val="21"/>
              </w:rPr>
              <w:t>设计负责人：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6</w:t>
            </w:r>
            <w:r>
              <w:rPr>
                <w:rFonts w:ascii="宋体" w:hAnsi="宋体"/>
                <w:szCs w:val="21"/>
              </w:rPr>
              <w:t>.1.1</w:t>
            </w:r>
            <w:r>
              <w:rPr>
                <w:rFonts w:hint="eastAsia"/>
                <w:szCs w:val="21"/>
              </w:rPr>
              <w:t>投标人拟派的设计负责人</w:t>
            </w:r>
            <w:r>
              <w:rPr>
                <w:rFonts w:hint="eastAsia"/>
                <w:szCs w:val="21"/>
                <w:lang w:val="en-US" w:eastAsia="zh-CN"/>
              </w:rPr>
              <w:t>须是投标单位人员，</w:t>
            </w:r>
            <w:r>
              <w:rPr>
                <w:szCs w:val="21"/>
              </w:rPr>
              <w:t>应具</w:t>
            </w:r>
            <w:r>
              <w:rPr>
                <w:rFonts w:hint="eastAsia"/>
                <w:szCs w:val="21"/>
                <w:lang w:val="en-US" w:eastAsia="zh-CN"/>
              </w:rPr>
              <w:t>备</w:t>
            </w:r>
            <w:r>
              <w:rPr>
                <w:rFonts w:hint="eastAsia" w:ascii="宋体" w:hAnsi="宋体"/>
                <w:szCs w:val="21"/>
              </w:rPr>
              <w:t>□</w:t>
            </w:r>
            <w:r>
              <w:rPr>
                <w:rFonts w:hint="eastAsia" w:ascii="宋体" w:hAnsi="宋体"/>
                <w:szCs w:val="21"/>
                <w:u w:val="single"/>
              </w:rPr>
              <w:t xml:space="preserve"> </w:t>
            </w:r>
            <w:r>
              <w:rPr>
                <w:rFonts w:hint="eastAsia" w:ascii="宋体" w:hAnsi="宋体"/>
                <w:szCs w:val="21"/>
              </w:rPr>
              <w:t>及以上技术职称，□</w:t>
            </w:r>
            <w:r>
              <w:rPr>
                <w:szCs w:val="21"/>
                <w:u w:val="single"/>
              </w:rPr>
              <w:t xml:space="preserve">     </w:t>
            </w:r>
            <w:r>
              <w:rPr>
                <w:rFonts w:hint="eastAsia"/>
                <w:i w:val="0"/>
                <w:iCs w:val="0"/>
                <w:szCs w:val="21"/>
                <w:u w:val="single"/>
                <w:lang w:val="en-US" w:eastAsia="zh-CN"/>
              </w:rPr>
              <w:t>执业</w:t>
            </w:r>
            <w:r>
              <w:rPr>
                <w:rFonts w:ascii="宋体" w:hAnsi="宋体"/>
                <w:szCs w:val="21"/>
              </w:rPr>
              <w:t>资格</w:t>
            </w:r>
            <w:r>
              <w:rPr>
                <w:rFonts w:hint="eastAsia" w:ascii="宋体" w:hAnsi="宋体"/>
                <w:szCs w:val="21"/>
                <w:lang w:val="en-US" w:eastAsia="zh-CN"/>
              </w:rPr>
              <w:t>并在投标单位注册</w:t>
            </w:r>
            <w:r>
              <w:rPr>
                <w:rFonts w:hint="eastAsia" w:ascii="宋体" w:hAnsi="宋体"/>
                <w:szCs w:val="21"/>
              </w:rPr>
              <w:t>。</w:t>
            </w:r>
            <w:r>
              <w:rPr>
                <w:rFonts w:hint="eastAsia"/>
                <w:i/>
                <w:szCs w:val="21"/>
                <w:u w:val="single"/>
              </w:rPr>
              <w:t>[提示：按</w:t>
            </w:r>
            <w:r>
              <w:rPr>
                <w:rFonts w:hint="eastAsia"/>
                <w:i/>
                <w:szCs w:val="21"/>
                <w:u w:val="single"/>
                <w:lang w:val="en-US" w:eastAsia="zh-CN"/>
              </w:rPr>
              <w:t>照住房城乡建设行业主管部门相关规定执行</w:t>
            </w:r>
            <w:r>
              <w:rPr>
                <w:rFonts w:hint="eastAsia"/>
                <w:i/>
                <w:szCs w:val="21"/>
                <w:u w:val="singl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拟派设计负责人</w:t>
            </w:r>
            <w:r>
              <w:rPr>
                <w:rFonts w:hint="eastAsia" w:ascii="宋体" w:hAnsi="宋体"/>
                <w:szCs w:val="21"/>
                <w:lang w:val="en-US" w:eastAsia="zh-CN"/>
              </w:rPr>
              <w:t>有效的</w:t>
            </w:r>
            <w:r>
              <w:rPr>
                <w:rFonts w:hint="eastAsia" w:ascii="宋体" w:hAnsi="宋体"/>
                <w:szCs w:val="21"/>
              </w:rPr>
              <w:t>身份证、□职称证、□</w:t>
            </w:r>
            <w:r>
              <w:rPr>
                <w:rFonts w:hint="eastAsia" w:ascii="宋体" w:hAnsi="宋体"/>
                <w:szCs w:val="21"/>
                <w:lang w:val="en-US" w:eastAsia="zh-CN"/>
              </w:rPr>
              <w:t>注册证、</w:t>
            </w:r>
            <w:r>
              <w:rPr>
                <w:rFonts w:hint="eastAsia" w:ascii="宋体" w:hAnsi="宋体"/>
                <w:szCs w:val="21"/>
              </w:rPr>
              <w:t>投标人为其缴纳的养老保险证明材料。</w:t>
            </w:r>
          </w:p>
          <w:p>
            <w:pPr>
              <w:snapToGrid w:val="0"/>
              <w:spacing w:line="400" w:lineRule="exact"/>
              <w:ind w:firstLine="420" w:firstLineChars="200"/>
              <w:rPr>
                <w:rFonts w:hint="eastAsia" w:ascii="宋体" w:hAnsi="宋体"/>
                <w:szCs w:val="21"/>
              </w:rPr>
            </w:pPr>
            <w:r>
              <w:rPr>
                <w:rFonts w:hint="eastAsia" w:ascii="宋体" w:hAnsi="宋体"/>
                <w:szCs w:val="21"/>
              </w:rPr>
              <w:t>□联合体投标的，由负责设计的联合体成员提供。</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6</w:t>
            </w:r>
            <w:r>
              <w:rPr>
                <w:rFonts w:hint="eastAsia" w:ascii="宋体" w:hAnsi="宋体"/>
                <w:szCs w:val="21"/>
              </w:rPr>
              <w:t>.1.2投标人须承诺拟派设计负责人到岗履职和未被禁止参与投标。</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（1）到岗履职要求：承诺拟派设计负责人中标后在本项目任职，签订合同时拟派的设计负责人必须与投标文件中的设计负责人一致，并满足办理相关手续的要求。不能按承诺到岗履</w:t>
            </w:r>
            <w:r>
              <w:rPr>
                <w:rFonts w:hint="eastAsia" w:ascii="宋体" w:hAnsi="宋体"/>
                <w:szCs w:val="21"/>
                <w:lang w:val="en-US" w:eastAsia="zh-CN"/>
              </w:rPr>
              <w:t>职</w:t>
            </w:r>
            <w:r>
              <w:rPr>
                <w:rFonts w:hint="eastAsia" w:ascii="宋体" w:hAnsi="宋体"/>
                <w:szCs w:val="21"/>
              </w:rPr>
              <w:t>的，</w:t>
            </w:r>
            <w:r>
              <w:rPr>
                <w:rFonts w:hint="eastAsia" w:ascii="宋体" w:hAnsi="宋体"/>
                <w:szCs w:val="21"/>
                <w:lang w:val="en-US" w:eastAsia="zh-CN"/>
              </w:rPr>
              <w:t>招标人</w:t>
            </w:r>
            <w:r>
              <w:rPr>
                <w:rFonts w:hint="eastAsia" w:ascii="宋体" w:hAnsi="宋体"/>
                <w:szCs w:val="21"/>
              </w:rPr>
              <w:t>按合同相关条款</w:t>
            </w:r>
            <w:r>
              <w:rPr>
                <w:rFonts w:hint="eastAsia" w:ascii="宋体" w:hAnsi="宋体"/>
                <w:szCs w:val="21"/>
                <w:lang w:val="en-US" w:eastAsia="zh-CN"/>
              </w:rPr>
              <w:t>要求投标人承担责任</w:t>
            </w:r>
            <w:r>
              <w:rPr>
                <w:rFonts w:hint="eastAsia" w:ascii="宋体" w:hAnsi="宋体"/>
                <w:szCs w:val="21"/>
              </w:rPr>
              <w:t>并上报行政主管部门，给招标人造成损失的，投标人依法承担赔偿</w:t>
            </w:r>
            <w:r>
              <w:rPr>
                <w:rFonts w:hint="eastAsia" w:ascii="宋体" w:hAnsi="宋体"/>
                <w:szCs w:val="21"/>
                <w:lang w:val="en-US" w:eastAsia="zh-CN"/>
              </w:rPr>
              <w:t>责任或</w:t>
            </w:r>
            <w:r>
              <w:rPr>
                <w:rFonts w:hint="eastAsia" w:ascii="宋体" w:hAnsi="宋体"/>
                <w:szCs w:val="21"/>
              </w:rPr>
              <w:t>违约责任。拟派设计负责人中标后不得随意更换。</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（2）未被禁止参与投标要求：承诺拟派设计负责人未被有关部门暂停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但仍参加投标，将被否决投标；已取得中标候选人资格或中标资格的，招标人有权取消</w:t>
            </w:r>
            <w:r>
              <w:rPr>
                <w:rFonts w:hint="eastAsia" w:ascii="宋体" w:hAnsi="宋体"/>
                <w:szCs w:val="21"/>
                <w:lang w:val="en-US" w:eastAsia="zh-CN"/>
              </w:rPr>
              <w:t>投标人的</w:t>
            </w:r>
            <w:r>
              <w:rPr>
                <w:rFonts w:hint="eastAsia" w:ascii="宋体" w:hAnsi="宋体"/>
                <w:szCs w:val="21"/>
              </w:rPr>
              <w:t>中标候选人资格或中标资格；给招标人造成损失的，投标人依法承担赔偿</w:t>
            </w:r>
            <w:r>
              <w:rPr>
                <w:rFonts w:hint="eastAsia" w:ascii="宋体" w:hAnsi="宋体"/>
                <w:szCs w:val="21"/>
                <w:lang w:val="en-US" w:eastAsia="zh-CN"/>
              </w:rPr>
              <w:t>责任或</w:t>
            </w:r>
            <w:r>
              <w:rPr>
                <w:rFonts w:hint="eastAsia" w:ascii="宋体" w:hAnsi="宋体"/>
                <w:szCs w:val="21"/>
              </w:rPr>
              <w:t>违约责任。</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kern w:val="0"/>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承诺（格式见第八章投标文件格式）。</w:t>
            </w:r>
          </w:p>
          <w:p>
            <w:pPr>
              <w:keepNext w:val="0"/>
              <w:keepLines w:val="0"/>
              <w:pageBreakBefore w:val="0"/>
              <w:widowControl w:val="0"/>
              <w:kinsoku/>
              <w:wordWrap/>
              <w:overflowPunct/>
              <w:topLinePunct w:val="0"/>
              <w:bidi w:val="0"/>
              <w:snapToGrid w:val="0"/>
              <w:spacing w:line="400" w:lineRule="exact"/>
              <w:ind w:firstLine="420" w:firstLineChars="200"/>
              <w:textAlignment w:val="auto"/>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kern w:val="0"/>
                <w:szCs w:val="21"/>
              </w:rPr>
            </w:pPr>
            <w:r>
              <w:rPr>
                <w:rFonts w:hint="eastAsia" w:ascii="宋体" w:hAnsi="宋体"/>
                <w:szCs w:val="21"/>
              </w:rPr>
              <w:t>□</w:t>
            </w:r>
            <w:r>
              <w:rPr>
                <w:rFonts w:hint="eastAsia" w:ascii="宋体" w:hAnsi="宋体"/>
                <w:szCs w:val="21"/>
                <w:lang w:val="en-US" w:eastAsia="zh-CN"/>
              </w:rPr>
              <w:t>6</w:t>
            </w:r>
            <w:r>
              <w:rPr>
                <w:rFonts w:ascii="宋体" w:hAnsi="宋体"/>
                <w:szCs w:val="21"/>
              </w:rPr>
              <w:t>.1.3</w:t>
            </w:r>
            <w:r>
              <w:rPr>
                <w:rFonts w:hint="eastAsia" w:ascii="宋体" w:hAnsi="宋体"/>
                <w:kern w:val="0"/>
                <w:szCs w:val="21"/>
              </w:rPr>
              <w:t>设计负责人业绩要求：</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kern w:val="0"/>
                <w:szCs w:val="21"/>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kern w:val="0"/>
                <w:szCs w:val="21"/>
                <w:u w:val="single"/>
              </w:rPr>
            </w:pPr>
            <w:r>
              <w:rPr>
                <w:rFonts w:hint="eastAsia" w:ascii="宋体" w:hAnsi="宋体"/>
                <w:kern w:val="0"/>
                <w:szCs w:val="21"/>
                <w:lang w:val="en-US" w:eastAsia="zh-CN"/>
              </w:rPr>
              <w:t>投标人拟派的设计负责人自</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年1月1日起</w:t>
            </w:r>
            <w:r>
              <w:rPr>
                <w:rFonts w:hint="eastAsia" w:ascii="宋体" w:hAnsi="宋体"/>
                <w:i/>
                <w:iCs/>
                <w:kern w:val="0"/>
                <w:szCs w:val="21"/>
              </w:rPr>
              <w:t>[提示：</w:t>
            </w:r>
            <w:r>
              <w:rPr>
                <w:rFonts w:hint="eastAsia" w:ascii="宋体" w:hAnsi="宋体"/>
                <w:i/>
                <w:iCs/>
                <w:kern w:val="0"/>
                <w:szCs w:val="21"/>
                <w:lang w:val="en-US" w:eastAsia="zh-CN"/>
              </w:rPr>
              <w:t>指投标截止日前3年及以上</w:t>
            </w:r>
            <w:r>
              <w:rPr>
                <w:rFonts w:hint="eastAsia" w:ascii="宋体" w:hAnsi="宋体"/>
                <w:i/>
                <w:iCs/>
                <w:szCs w:val="21"/>
              </w:rPr>
              <w:t>，不包含投标截止日当年</w:t>
            </w:r>
            <w:r>
              <w:rPr>
                <w:rFonts w:hint="eastAsia" w:ascii="宋体" w:hAnsi="宋体"/>
                <w:i/>
                <w:iCs/>
                <w:kern w:val="0"/>
                <w:szCs w:val="21"/>
              </w:rPr>
              <w:t>]</w:t>
            </w:r>
            <w:r>
              <w:rPr>
                <w:rFonts w:hint="eastAsia" w:ascii="宋体" w:hAnsi="宋体"/>
                <w:kern w:val="0"/>
                <w:szCs w:val="21"/>
              </w:rPr>
              <w:t>至投标截止日止（</w:t>
            </w:r>
            <w:r>
              <w:rPr>
                <w:rFonts w:hint="eastAsia" w:ascii="宋体" w:hAnsi="宋体"/>
                <w:szCs w:val="21"/>
              </w:rPr>
              <w:t>以施工图</w:t>
            </w:r>
            <w:r>
              <w:rPr>
                <w:rFonts w:hint="eastAsia" w:ascii="宋体" w:hAnsi="宋体"/>
                <w:szCs w:val="21"/>
                <w:lang w:val="en-US" w:eastAsia="zh-CN"/>
              </w:rPr>
              <w:t>通过备案或批复或</w:t>
            </w:r>
            <w:r>
              <w:rPr>
                <w:rFonts w:hint="eastAsia" w:ascii="宋体" w:hAnsi="宋体"/>
                <w:szCs w:val="21"/>
              </w:rPr>
              <w:t>审查时间为准</w:t>
            </w:r>
            <w:r>
              <w:rPr>
                <w:rFonts w:hint="eastAsia" w:ascii="宋体" w:hAnsi="宋体"/>
                <w:kern w:val="0"/>
                <w:szCs w:val="21"/>
              </w:rPr>
              <w:t>）</w:t>
            </w:r>
            <w:r>
              <w:rPr>
                <w:rFonts w:hint="eastAsia" w:ascii="宋体" w:hAnsi="宋体"/>
                <w:kern w:val="0"/>
                <w:szCs w:val="21"/>
                <w:lang w:eastAsia="zh-CN"/>
              </w:rPr>
              <w:t>，</w:t>
            </w:r>
            <w:r>
              <w:rPr>
                <w:rFonts w:hint="eastAsia" w:ascii="宋体" w:hAnsi="宋体"/>
                <w:szCs w:val="21"/>
                <w:lang w:val="en-US" w:eastAsia="zh-CN"/>
              </w:rPr>
              <w:t>完成过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u w:val="none"/>
                <w:lang w:val="en-US" w:eastAsia="zh-CN"/>
              </w:rPr>
              <w:t>设计</w:t>
            </w:r>
            <w:r>
              <w:rPr>
                <w:rFonts w:hint="eastAsia" w:ascii="宋体" w:hAnsi="宋体"/>
                <w:szCs w:val="21"/>
                <w:lang w:val="en-US" w:eastAsia="zh-CN"/>
              </w:rPr>
              <w:t>业绩</w:t>
            </w:r>
            <w:r>
              <w:rPr>
                <w:rFonts w:hint="eastAsia" w:ascii="宋体" w:hAnsi="宋体"/>
                <w:szCs w:val="21"/>
                <w:lang w:eastAsia="zh-CN"/>
              </w:rPr>
              <w:t>，</w:t>
            </w:r>
            <w:r>
              <w:rPr>
                <w:rFonts w:hint="eastAsia" w:ascii="宋体" w:hAnsi="宋体"/>
                <w:szCs w:val="21"/>
                <w:lang w:val="en-US" w:eastAsia="zh-CN"/>
              </w:rPr>
              <w:t>并在该业绩中</w:t>
            </w:r>
            <w:r>
              <w:rPr>
                <w:rFonts w:ascii="宋体" w:hAnsi="宋体"/>
                <w:kern w:val="0"/>
                <w:szCs w:val="21"/>
              </w:rPr>
              <w:t>担任</w:t>
            </w:r>
            <w:r>
              <w:rPr>
                <w:rFonts w:hint="eastAsia" w:ascii="宋体" w:hAnsi="宋体"/>
                <w:kern w:val="0"/>
                <w:szCs w:val="21"/>
                <w:u w:val="single"/>
                <w:lang w:eastAsia="zh-CN"/>
              </w:rPr>
              <w:t>项目经理或</w:t>
            </w:r>
            <w:r>
              <w:rPr>
                <w:rFonts w:hint="eastAsia" w:ascii="宋体" w:hAnsi="宋体"/>
                <w:kern w:val="0"/>
                <w:szCs w:val="21"/>
                <w:u w:val="single"/>
              </w:rPr>
              <w:t>项目负责人或</w:t>
            </w:r>
            <w:r>
              <w:rPr>
                <w:rFonts w:ascii="宋体" w:hAnsi="宋体"/>
                <w:kern w:val="0"/>
                <w:szCs w:val="21"/>
                <w:u w:val="single"/>
              </w:rPr>
              <w:t>设计</w:t>
            </w:r>
            <w:r>
              <w:rPr>
                <w:rFonts w:hint="eastAsia" w:ascii="宋体" w:hAnsi="宋体"/>
                <w:kern w:val="0"/>
                <w:szCs w:val="21"/>
                <w:u w:val="single"/>
                <w:lang w:val="en-US" w:eastAsia="zh-CN"/>
              </w:rPr>
              <w:t>项目</w:t>
            </w:r>
            <w:r>
              <w:rPr>
                <w:rFonts w:ascii="宋体" w:hAnsi="宋体"/>
                <w:kern w:val="0"/>
                <w:szCs w:val="21"/>
                <w:u w:val="single"/>
              </w:rPr>
              <w:t>负责人</w:t>
            </w:r>
            <w:r>
              <w:rPr>
                <w:rFonts w:hint="eastAsia" w:ascii="宋体" w:hAnsi="宋体"/>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提供：该业绩的合同协议书和施工图</w:t>
            </w:r>
            <w:r>
              <w:rPr>
                <w:rFonts w:hint="eastAsia" w:ascii="宋体" w:hAnsi="宋体"/>
                <w:szCs w:val="21"/>
                <w:lang w:val="en-US" w:eastAsia="zh-CN"/>
              </w:rPr>
              <w:t>通过备案或批复或</w:t>
            </w:r>
            <w:r>
              <w:rPr>
                <w:rFonts w:hint="eastAsia" w:ascii="宋体" w:hAnsi="宋体"/>
                <w:szCs w:val="21"/>
              </w:rPr>
              <w:t>审查</w:t>
            </w:r>
            <w:r>
              <w:rPr>
                <w:rFonts w:hint="eastAsia" w:ascii="宋体" w:hAnsi="宋体"/>
                <w:szCs w:val="21"/>
                <w:lang w:val="en-US" w:eastAsia="zh-CN"/>
              </w:rPr>
              <w:t>的</w:t>
            </w:r>
            <w:r>
              <w:rPr>
                <w:rFonts w:hint="eastAsia" w:ascii="宋体" w:hAnsi="宋体"/>
                <w:szCs w:val="21"/>
              </w:rPr>
              <w:t>证明材料。若提供的业绩证明材料</w:t>
            </w:r>
            <w:r>
              <w:rPr>
                <w:rFonts w:hint="eastAsia" w:ascii="宋体" w:hAnsi="宋体"/>
                <w:szCs w:val="21"/>
                <w:lang w:val="en-US" w:eastAsia="zh-CN"/>
              </w:rPr>
              <w:t>不能体现上述业绩指标的</w:t>
            </w:r>
            <w:r>
              <w:rPr>
                <w:rFonts w:hint="eastAsia" w:ascii="宋体" w:hAnsi="宋体"/>
                <w:szCs w:val="21"/>
              </w:rPr>
              <w:t>，</w:t>
            </w:r>
            <w:r>
              <w:rPr>
                <w:rFonts w:hint="eastAsia" w:ascii="宋体" w:hAnsi="宋体"/>
                <w:szCs w:val="21"/>
                <w:lang w:val="en-US" w:eastAsia="zh-CN"/>
              </w:rPr>
              <w:t>应补充</w:t>
            </w:r>
            <w:r>
              <w:rPr>
                <w:rFonts w:hint="eastAsia" w:ascii="宋体" w:hAnsi="宋体"/>
                <w:szCs w:val="21"/>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szCs w:val="21"/>
                <w:lang w:eastAsia="zh-CN"/>
              </w:rPr>
            </w:pPr>
            <w:r>
              <w:rPr>
                <w:rFonts w:hint="eastAsia" w:ascii="宋体" w:hAnsi="宋体"/>
                <w:szCs w:val="21"/>
              </w:rPr>
              <w:t>□联合体投标的，由负责设计的联合体成员提供</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注：（1）当上述</w:t>
            </w:r>
            <w:r>
              <w:rPr>
                <w:rFonts w:hint="eastAsia" w:ascii="宋体" w:hAnsi="宋体"/>
                <w:szCs w:val="21"/>
                <w:lang w:val="en-US" w:eastAsia="zh-CN"/>
              </w:rPr>
              <w:t>业绩证明材料</w:t>
            </w:r>
            <w:r>
              <w:rPr>
                <w:rFonts w:hint="eastAsia" w:ascii="宋体" w:hAnsi="宋体"/>
                <w:szCs w:val="21"/>
              </w:rPr>
              <w:t>中针对同一指标存在不一致时，以施工</w:t>
            </w:r>
            <w:r>
              <w:rPr>
                <w:rFonts w:hint="eastAsia" w:ascii="宋体" w:hAnsi="宋体"/>
                <w:szCs w:val="21"/>
                <w:lang w:val="en-US" w:eastAsia="zh-CN"/>
              </w:rPr>
              <w:t>通过备案或批复或</w:t>
            </w:r>
            <w:r>
              <w:rPr>
                <w:rFonts w:hint="eastAsia" w:ascii="宋体" w:hAnsi="宋体"/>
                <w:szCs w:val="21"/>
              </w:rPr>
              <w:t>审查</w:t>
            </w:r>
            <w:r>
              <w:rPr>
                <w:rFonts w:hint="eastAsia" w:ascii="宋体" w:hAnsi="宋体"/>
                <w:szCs w:val="21"/>
                <w:lang w:val="en-US" w:eastAsia="zh-CN"/>
              </w:rPr>
              <w:t>的</w:t>
            </w:r>
            <w:r>
              <w:rPr>
                <w:rFonts w:hint="eastAsia" w:ascii="宋体" w:hAnsi="宋体"/>
                <w:szCs w:val="21"/>
              </w:rPr>
              <w:t>证明材料为准。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rPr>
            </w:pPr>
            <w:r>
              <w:rPr>
                <w:rFonts w:hint="eastAsia"/>
              </w:rPr>
              <w:t>（</w:t>
            </w:r>
            <w:r>
              <w:rPr>
                <w:rFonts w:hint="eastAsia"/>
                <w:lang w:val="en-US" w:eastAsia="zh-CN"/>
              </w:rPr>
              <w:t>2</w:t>
            </w:r>
            <w:r>
              <w:rPr>
                <w:rFonts w:hint="eastAsia"/>
              </w:rPr>
              <w:t>）已取消施工图</w:t>
            </w:r>
            <w:r>
              <w:rPr>
                <w:rFonts w:hint="eastAsia"/>
                <w:lang w:val="en-US" w:eastAsia="zh-CN"/>
              </w:rPr>
              <w:t>备案、批复、</w:t>
            </w:r>
            <w:r>
              <w:rPr>
                <w:rFonts w:hint="eastAsia"/>
              </w:rPr>
              <w:t>审查的地区，应提供业绩所在地行业主管部门取消施工图</w:t>
            </w:r>
            <w:r>
              <w:rPr>
                <w:rFonts w:hint="eastAsia"/>
                <w:lang w:val="en-US" w:eastAsia="zh-CN"/>
              </w:rPr>
              <w:t>备案、批复、</w:t>
            </w:r>
            <w:r>
              <w:rPr>
                <w:rFonts w:hint="eastAsia"/>
              </w:rPr>
              <w:t>审查的文件和证明设计合格的业主证明，设计业绩的时间以业主证明中显示的设计合格时间为准。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ascii="宋体" w:hAnsi="宋体"/>
                <w:szCs w:val="21"/>
              </w:rPr>
              <w:t>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kern w:val="0"/>
                <w:szCs w:val="21"/>
              </w:rPr>
            </w:pPr>
            <w:r>
              <w:rPr>
                <w:rFonts w:hint="eastAsia" w:ascii="宋体" w:hAnsi="宋体"/>
                <w:szCs w:val="21"/>
              </w:rPr>
              <w:t>□</w:t>
            </w:r>
            <w:r>
              <w:rPr>
                <w:rFonts w:hint="eastAsia" w:ascii="宋体" w:hAnsi="宋体"/>
                <w:kern w:val="0"/>
                <w:szCs w:val="21"/>
                <w:lang w:val="en-US" w:eastAsia="zh-CN"/>
              </w:rPr>
              <w:t>6</w:t>
            </w:r>
            <w:r>
              <w:rPr>
                <w:rFonts w:ascii="宋体" w:hAnsi="宋体"/>
                <w:kern w:val="0"/>
                <w:szCs w:val="21"/>
              </w:rPr>
              <w:t>.2</w:t>
            </w:r>
            <w:r>
              <w:rPr>
                <w:rFonts w:hint="eastAsia" w:ascii="宋体" w:hAnsi="宋体"/>
                <w:kern w:val="0"/>
                <w:szCs w:val="21"/>
              </w:rPr>
              <w:t>施工负责人：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6</w:t>
            </w:r>
            <w:r>
              <w:rPr>
                <w:rFonts w:ascii="宋体" w:hAnsi="宋体"/>
                <w:szCs w:val="21"/>
              </w:rPr>
              <w:t>.2.1</w:t>
            </w:r>
            <w:r>
              <w:rPr>
                <w:rFonts w:hint="eastAsia"/>
                <w:szCs w:val="21"/>
              </w:rPr>
              <w:t>投标人拟派的施工负责人</w:t>
            </w:r>
            <w:r>
              <w:rPr>
                <w:szCs w:val="21"/>
              </w:rPr>
              <w:t>须</w:t>
            </w:r>
            <w:r>
              <w:rPr>
                <w:rFonts w:hint="eastAsia"/>
                <w:szCs w:val="21"/>
                <w:lang w:val="en-US" w:eastAsia="zh-CN"/>
              </w:rPr>
              <w:t>是投标单位人员，</w:t>
            </w:r>
            <w:r>
              <w:rPr>
                <w:szCs w:val="21"/>
              </w:rPr>
              <w:t>应</w:t>
            </w:r>
            <w:r>
              <w:rPr>
                <w:rFonts w:hint="eastAsia"/>
                <w:szCs w:val="21"/>
                <w:lang w:val="en-US" w:eastAsia="zh-CN"/>
              </w:rPr>
              <w:t>具备</w:t>
            </w:r>
            <w:r>
              <w:rPr>
                <w:rFonts w:hint="eastAsia"/>
                <w:szCs w:val="21"/>
                <w:u w:val="single"/>
              </w:rPr>
              <w:t xml:space="preserve">   </w:t>
            </w:r>
            <w:r>
              <w:rPr>
                <w:rFonts w:hint="eastAsia"/>
                <w:szCs w:val="21"/>
              </w:rPr>
              <w:t>专业</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级及以上</w:t>
            </w:r>
            <w:r>
              <w:rPr>
                <w:szCs w:val="21"/>
              </w:rPr>
              <w:t>注册建造师执业</w:t>
            </w:r>
            <w:r>
              <w:rPr>
                <w:rFonts w:ascii="宋体" w:hAnsi="宋体"/>
                <w:szCs w:val="21"/>
              </w:rPr>
              <w:t>资格</w:t>
            </w:r>
            <w:r>
              <w:rPr>
                <w:rFonts w:hint="eastAsia" w:ascii="宋体" w:hAnsi="宋体"/>
                <w:szCs w:val="21"/>
                <w:lang w:val="en-US" w:eastAsia="zh-CN"/>
              </w:rPr>
              <w:t>并在投标单位注册</w:t>
            </w:r>
            <w:r>
              <w:rPr>
                <w:rFonts w:hint="eastAsia" w:ascii="宋体" w:hAnsi="宋体"/>
                <w:szCs w:val="21"/>
              </w:rPr>
              <w:t>。</w:t>
            </w:r>
            <w:r>
              <w:rPr>
                <w:rFonts w:hint="eastAsia"/>
                <w:i/>
                <w:szCs w:val="21"/>
                <w:u w:val="single"/>
              </w:rPr>
              <w:t>[提示：按</w:t>
            </w:r>
            <w:r>
              <w:rPr>
                <w:rFonts w:hint="eastAsia"/>
                <w:i/>
                <w:szCs w:val="21"/>
                <w:u w:val="single"/>
                <w:lang w:val="en-US" w:eastAsia="zh-CN"/>
              </w:rPr>
              <w:t>照住房城乡建设行业主管部门相关规定执行</w:t>
            </w:r>
            <w:r>
              <w:rPr>
                <w:rFonts w:hint="eastAsia"/>
                <w:i/>
                <w:szCs w:val="21"/>
                <w:u w:val="singl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拟派施工负责人有效的身份证、</w:t>
            </w:r>
            <w:r>
              <w:rPr>
                <w:rFonts w:hint="eastAsia" w:ascii="宋体" w:hAnsi="宋体"/>
                <w:szCs w:val="21"/>
                <w:lang w:val="en-US" w:eastAsia="zh-CN"/>
              </w:rPr>
              <w:t>建造师注册证</w:t>
            </w:r>
            <w:r>
              <w:rPr>
                <w:rFonts w:hint="eastAsia" w:ascii="宋体" w:hAnsi="宋体"/>
                <w:szCs w:val="21"/>
              </w:rPr>
              <w:t>、投标人为其缴纳的养老保险证明材料。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□联合体投标的，由负责施工的联合体成员提供。</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注：（1）拟派施工负责人为一级建造师或重庆市二级建造师注册人员的，必须提供建造师电子注册证书，且该建造师电子注册证书须由建造师本人在个人签名处手写本人签名。</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（2）重庆市以外的省级住房城乡建设主管部门对二级建造师电子注册证书使用有明确规定的，从其规定。未规定使用电子注册证书的，可提供纸质证书扫描件。</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szCs w:val="21"/>
              </w:rPr>
            </w:pPr>
            <w:r>
              <w:rPr>
                <w:rFonts w:hint="eastAsia" w:ascii="宋体" w:hAnsi="宋体"/>
                <w:szCs w:val="21"/>
              </w:rPr>
              <w:t>（3）建造师电子注册证书本人手写签名与签名图像笔迹是否一致不作为否决投标的情形。</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lang w:val="en-US" w:eastAsia="zh-CN"/>
              </w:rPr>
              <w:t>6</w:t>
            </w:r>
            <w:r>
              <w:rPr>
                <w:rFonts w:hint="eastAsia" w:ascii="宋体" w:hAnsi="宋体"/>
                <w:szCs w:val="21"/>
              </w:rPr>
              <w:t>.2.2投标人须承诺拟派施工负责人按注册建造师的相关规定到岗履职和未被禁止参与投标。</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（1）到岗履职要求：承诺拟派施工负责人中标后在本项目任职，签订合同时拟派的施工负责人必须与投标文件中的施工负责人一致，并满足办理相关手续的要求。不能按承诺到岗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招标人</w:t>
            </w:r>
            <w:r>
              <w:rPr>
                <w:rFonts w:hint="eastAsia" w:ascii="宋体" w:hAnsi="宋体"/>
                <w:szCs w:val="21"/>
              </w:rPr>
              <w:t>按合同相关条款</w:t>
            </w:r>
            <w:r>
              <w:rPr>
                <w:rFonts w:hint="eastAsia" w:ascii="宋体" w:hAnsi="宋体"/>
                <w:szCs w:val="21"/>
                <w:lang w:val="en-US" w:eastAsia="zh-CN"/>
              </w:rPr>
              <w:t>要求投标人承担责任</w:t>
            </w:r>
            <w:r>
              <w:rPr>
                <w:rFonts w:hint="eastAsia" w:ascii="宋体" w:hAnsi="宋体"/>
                <w:szCs w:val="21"/>
              </w:rPr>
              <w:t>并上报行政主管部门，给招标人造成损失的，投标人依法承担赔偿</w:t>
            </w:r>
            <w:r>
              <w:rPr>
                <w:rFonts w:hint="eastAsia" w:ascii="宋体" w:hAnsi="宋体"/>
                <w:szCs w:val="21"/>
                <w:lang w:val="en-US" w:eastAsia="zh-CN"/>
              </w:rPr>
              <w:t>责任或</w:t>
            </w:r>
            <w:r>
              <w:rPr>
                <w:rFonts w:hint="eastAsia" w:ascii="宋体" w:hAnsi="宋体"/>
                <w:szCs w:val="21"/>
              </w:rPr>
              <w:t>违约责任。拟派施工负责人中标后不得随意更换。</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（2）未被禁止参与投标要求：承诺拟派施工负责人未被有关部门暂停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但仍参加投标，将被否决投标；已取得中标候选人资格或中标资格的，招标人有权取消</w:t>
            </w:r>
            <w:r>
              <w:rPr>
                <w:rFonts w:hint="eastAsia" w:ascii="宋体" w:hAnsi="宋体"/>
                <w:szCs w:val="21"/>
                <w:lang w:val="en-US" w:eastAsia="zh-CN"/>
              </w:rPr>
              <w:t>投标人的</w:t>
            </w:r>
            <w:r>
              <w:rPr>
                <w:rFonts w:hint="eastAsia" w:ascii="宋体" w:hAnsi="宋体"/>
                <w:szCs w:val="21"/>
              </w:rPr>
              <w:t>中标候选人资格或中标资格；给招标人造成损失的，投标人依法承担赔偿</w:t>
            </w:r>
            <w:r>
              <w:rPr>
                <w:rFonts w:hint="eastAsia" w:ascii="宋体" w:hAnsi="宋体"/>
                <w:szCs w:val="21"/>
                <w:lang w:val="en-US" w:eastAsia="zh-CN"/>
              </w:rPr>
              <w:t>责任或</w:t>
            </w:r>
            <w:r>
              <w:rPr>
                <w:rFonts w:hint="eastAsia" w:ascii="宋体" w:hAnsi="宋体"/>
                <w:szCs w:val="21"/>
              </w:rPr>
              <w:t>违约责任。</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（3）施工负责人的其它要求：为保证投标人拟派的施工负责人到本项目到岗履职，投标人还需承诺：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 xml:space="preserve">若投标人拟派本项目的施工负责人有在其他项目任职的情形的（或有在其他项目中标或拟中标的情形的），应在收到中标通知书后 </w:t>
            </w:r>
            <w:r>
              <w:rPr>
                <w:rFonts w:ascii="宋体" w:hAnsi="宋体"/>
                <w:szCs w:val="21"/>
                <w:u w:val="single"/>
              </w:rPr>
              <w:t xml:space="preserve">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招标人在合同签订前有权对投标人拟派施工负责人在其他项目的任职情形（或在其他项目的中标或拟中标情形）进行核查，若与投标人承诺内容不符或投标人未在上述时间内按照招标文件规定递交放弃在其他项目任职、中标或拟中标的相关资料，视为投标人放弃中标资格，招标人不退还其投标保证金。在合同签订时，投标人需确保拟派施工负责人符合《建筑施工企业项目经理资质管理办法》规定的任职条件，否则视为投标人放弃中标资格，招标人不退还其投标保证金。</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放弃在其他项目任职的需提供：①经业主或建设单位同意任职变更的文件；②负责项目监管的行业行政主管部门出具同意任职变更的证明材料。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放弃在其他项目中标或拟中标的需提供：①经中标或拟中标的其他项目建设单位同意的放弃中标函。</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承诺（格式见第八章投标文件格式）</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rPr>
            </w:pPr>
            <w:r>
              <w:rPr>
                <w:rFonts w:hint="eastAsia" w:ascii="宋体" w:hAnsi="宋体"/>
                <w:szCs w:val="21"/>
              </w:rPr>
              <w:t>□</w:t>
            </w:r>
            <w:r>
              <w:rPr>
                <w:rFonts w:hint="eastAsia" w:ascii="宋体" w:hAnsi="宋体"/>
                <w:szCs w:val="21"/>
                <w:lang w:val="en-US" w:eastAsia="zh-CN"/>
              </w:rPr>
              <w:t>6</w:t>
            </w:r>
            <w:r>
              <w:rPr>
                <w:rFonts w:ascii="宋体" w:hAnsi="宋体"/>
                <w:szCs w:val="21"/>
              </w:rPr>
              <w:t>.2.3</w:t>
            </w:r>
            <w:r>
              <w:rPr>
                <w:rFonts w:hint="eastAsia" w:ascii="宋体" w:hAnsi="宋体"/>
                <w:szCs w:val="21"/>
              </w:rPr>
              <w:t>施工负责人业绩要求：</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u w:val="single"/>
              </w:rPr>
            </w:pPr>
            <w:r>
              <w:rPr>
                <w:rFonts w:hint="eastAsia" w:ascii="宋体" w:hAnsi="宋体"/>
                <w:szCs w:val="21"/>
                <w:lang w:val="en-US" w:eastAsia="zh-CN"/>
              </w:rPr>
              <w:t>投标人拟派的施工负责人自</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指投标截止日前3年及以上</w:t>
            </w:r>
            <w:r>
              <w:rPr>
                <w:rFonts w:hint="eastAsia" w:ascii="宋体" w:hAnsi="宋体"/>
                <w:i/>
                <w:iCs/>
                <w:szCs w:val="21"/>
              </w:rPr>
              <w:t>，不包含投标截止日当年]</w:t>
            </w:r>
            <w:r>
              <w:rPr>
                <w:rFonts w:hint="eastAsia" w:ascii="宋体" w:hAnsi="宋体"/>
                <w:szCs w:val="21"/>
              </w:rPr>
              <w:t>至投标截止日止（以竣工时间为准）</w:t>
            </w:r>
            <w:r>
              <w:rPr>
                <w:rFonts w:hint="eastAsia" w:ascii="宋体" w:hAnsi="宋体"/>
                <w:szCs w:val="21"/>
                <w:lang w:eastAsia="zh-CN"/>
              </w:rPr>
              <w:t>，</w:t>
            </w:r>
            <w:r>
              <w:rPr>
                <w:rFonts w:hint="eastAsia" w:ascii="宋体" w:hAnsi="宋体"/>
                <w:szCs w:val="21"/>
                <w:lang w:val="en-US" w:eastAsia="zh-CN"/>
              </w:rPr>
              <w:t>完成过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lang w:val="en-US" w:eastAsia="zh-CN"/>
              </w:rPr>
              <w:t>施工业绩，并在该业绩</w:t>
            </w:r>
            <w:r>
              <w:rPr>
                <w:rFonts w:hint="eastAsia" w:ascii="宋体" w:hAnsi="宋体"/>
                <w:szCs w:val="21"/>
              </w:rPr>
              <w:t>中</w:t>
            </w:r>
            <w:r>
              <w:rPr>
                <w:rFonts w:ascii="宋体" w:hAnsi="宋体"/>
                <w:kern w:val="0"/>
                <w:szCs w:val="21"/>
              </w:rPr>
              <w:t>担任</w:t>
            </w:r>
            <w:r>
              <w:rPr>
                <w:rFonts w:hint="eastAsia" w:ascii="宋体" w:hAnsi="宋体"/>
                <w:kern w:val="0"/>
                <w:szCs w:val="21"/>
                <w:u w:val="single"/>
                <w:lang w:val="en-US" w:eastAsia="zh-CN"/>
              </w:rPr>
              <w:t>项目经理或施工负责人</w:t>
            </w:r>
            <w:r>
              <w:rPr>
                <w:rFonts w:hint="eastAsia" w:ascii="宋体" w:hAnsi="宋体"/>
                <w:szCs w:val="21"/>
              </w:rPr>
              <w:t>。</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该业绩的合同协议书和工程竣工验收合格</w:t>
            </w:r>
            <w:r>
              <w:rPr>
                <w:rFonts w:hint="eastAsia" w:ascii="宋体" w:hAnsi="宋体"/>
                <w:szCs w:val="21"/>
                <w:lang w:val="en-US" w:eastAsia="zh-CN"/>
              </w:rPr>
              <w:t>的</w:t>
            </w:r>
            <w:r>
              <w:rPr>
                <w:rFonts w:hint="eastAsia" w:ascii="宋体" w:hAnsi="宋体"/>
                <w:szCs w:val="21"/>
              </w:rPr>
              <w:t>证明材料。若提供的业绩证明材料</w:t>
            </w:r>
            <w:r>
              <w:rPr>
                <w:rFonts w:hint="eastAsia" w:ascii="宋体" w:hAnsi="宋体"/>
                <w:szCs w:val="21"/>
                <w:lang w:val="en-US" w:eastAsia="zh-CN"/>
              </w:rPr>
              <w:t>不能体现上述业绩指标的</w:t>
            </w:r>
            <w:r>
              <w:rPr>
                <w:rFonts w:hint="eastAsia" w:ascii="宋体" w:hAnsi="宋体"/>
                <w:szCs w:val="21"/>
              </w:rPr>
              <w:t>，</w:t>
            </w:r>
            <w:r>
              <w:rPr>
                <w:rFonts w:hint="eastAsia" w:ascii="宋体" w:hAnsi="宋体"/>
                <w:szCs w:val="21"/>
                <w:lang w:val="en-US" w:eastAsia="zh-CN"/>
              </w:rPr>
              <w:t>应补充</w:t>
            </w:r>
            <w:r>
              <w:rPr>
                <w:rFonts w:hint="eastAsia" w:ascii="宋体" w:hAnsi="宋体"/>
                <w:szCs w:val="21"/>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szCs w:val="21"/>
                <w:lang w:eastAsia="zh-CN"/>
              </w:rPr>
            </w:pPr>
            <w:r>
              <w:rPr>
                <w:rFonts w:hint="eastAsia" w:ascii="宋体" w:hAnsi="宋体"/>
                <w:szCs w:val="21"/>
              </w:rPr>
              <w:t>□联合体投标的，由负责</w:t>
            </w:r>
            <w:r>
              <w:rPr>
                <w:rFonts w:hint="eastAsia" w:ascii="宋体" w:hAnsi="宋体"/>
                <w:szCs w:val="21"/>
                <w:lang w:val="en-US" w:eastAsia="zh-CN"/>
              </w:rPr>
              <w:t>施工</w:t>
            </w:r>
            <w:r>
              <w:rPr>
                <w:rFonts w:hint="eastAsia" w:ascii="宋体" w:hAnsi="宋体"/>
                <w:szCs w:val="21"/>
              </w:rPr>
              <w:t>的联合体成员提供</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注：（1）当上述</w:t>
            </w:r>
            <w:r>
              <w:rPr>
                <w:rFonts w:hint="eastAsia" w:ascii="宋体" w:hAnsi="宋体"/>
                <w:szCs w:val="21"/>
                <w:lang w:val="en-US" w:eastAsia="zh-CN"/>
              </w:rPr>
              <w:t>业绩证明材料</w:t>
            </w:r>
            <w:r>
              <w:rPr>
                <w:rFonts w:hint="eastAsia" w:ascii="宋体" w:hAnsi="宋体"/>
                <w:szCs w:val="21"/>
              </w:rPr>
              <w:t>中针对同一指标存在不一致时，以工程竣工验收合格的证明材料为准。</w:t>
            </w:r>
          </w:p>
          <w:p>
            <w:pPr>
              <w:keepNext w:val="0"/>
              <w:keepLines w:val="0"/>
              <w:pageBreakBefore w:val="0"/>
              <w:widowControl w:val="0"/>
              <w:kinsoku/>
              <w:wordWrap/>
              <w:overflowPunct/>
              <w:topLinePunct w:val="0"/>
              <w:bidi w:val="0"/>
              <w:spacing w:line="400" w:lineRule="exact"/>
              <w:ind w:firstLine="420" w:firstLineChars="200"/>
              <w:textAlignment w:val="auto"/>
            </w:pPr>
            <w:r>
              <w:rPr>
                <w:rFonts w:hint="eastAsia"/>
                <w:lang w:eastAsia="zh-CN"/>
              </w:rPr>
              <w:t>（</w:t>
            </w:r>
            <w:r>
              <w:rPr>
                <w:rFonts w:hint="eastAsia"/>
                <w:lang w:val="en-US" w:eastAsia="zh-CN"/>
              </w:rPr>
              <w:t>2</w:t>
            </w:r>
            <w:r>
              <w:rPr>
                <w:rFonts w:hint="eastAsia"/>
                <w:lang w:eastAsia="zh-CN"/>
              </w:rPr>
              <w:t>）</w:t>
            </w:r>
            <w:r>
              <w:rPr>
                <w:rFonts w:hint="eastAsia" w:ascii="宋体" w:hAnsi="宋体"/>
                <w:szCs w:val="21"/>
              </w:rPr>
              <w:t>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szCs w:val="21"/>
              </w:rPr>
              <w:t>□</w:t>
            </w:r>
            <w:r>
              <w:rPr>
                <w:rFonts w:hint="eastAsia" w:ascii="宋体" w:hAnsi="宋体"/>
                <w:kern w:val="0"/>
                <w:szCs w:val="21"/>
                <w:lang w:val="en-US" w:eastAsia="zh-CN"/>
              </w:rPr>
              <w:t>6</w:t>
            </w:r>
            <w:r>
              <w:rPr>
                <w:rFonts w:ascii="宋体" w:hAnsi="宋体"/>
                <w:kern w:val="0"/>
                <w:szCs w:val="21"/>
              </w:rPr>
              <w:t>.3</w:t>
            </w:r>
            <w:r>
              <w:rPr>
                <w:rFonts w:hint="eastAsia" w:ascii="宋体" w:hAnsi="宋体"/>
                <w:kern w:val="0"/>
                <w:szCs w:val="21"/>
              </w:rPr>
              <w:t>施工技术负责人：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szCs w:val="21"/>
                <w:lang w:eastAsia="zh-CN"/>
              </w:rPr>
            </w:pPr>
            <w:r>
              <w:rPr>
                <w:rFonts w:hint="eastAsia" w:ascii="宋体" w:hAnsi="宋体"/>
                <w:szCs w:val="21"/>
                <w:lang w:val="en-US" w:eastAsia="zh-CN"/>
              </w:rPr>
              <w:t>拟派的施工技术负责人须是投标单位人员，具备</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r>
              <w:rPr>
                <w:rFonts w:hint="eastAsia" w:ascii="宋体" w:hAnsi="宋体"/>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kern w:val="0"/>
                <w:szCs w:val="21"/>
                <w:lang w:val="en-US" w:eastAsia="zh-CN"/>
              </w:rPr>
              <w:t>提供：</w:t>
            </w:r>
            <w:r>
              <w:rPr>
                <w:rFonts w:hint="eastAsia" w:ascii="宋体" w:hAnsi="宋体"/>
                <w:kern w:val="0"/>
                <w:szCs w:val="21"/>
              </w:rPr>
              <w:t>拟派施工技术负责人</w:t>
            </w:r>
            <w:r>
              <w:rPr>
                <w:rFonts w:hint="eastAsia" w:ascii="宋体" w:hAnsi="宋体"/>
                <w:kern w:val="0"/>
                <w:szCs w:val="21"/>
                <w:lang w:val="en-US" w:eastAsia="zh-CN"/>
              </w:rPr>
              <w:t>有效的</w:t>
            </w:r>
            <w:r>
              <w:rPr>
                <w:rFonts w:hint="eastAsia" w:ascii="宋体" w:hAnsi="宋体"/>
                <w:kern w:val="0"/>
                <w:szCs w:val="21"/>
              </w:rPr>
              <w:t>身份证、职称证及投标人为其缴纳的养老保险证明材料。</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pPr>
            <w:r>
              <w:rPr>
                <w:rFonts w:hint="eastAsia"/>
              </w:rPr>
              <w:t>□联合体投标的，由负责施工的联合体成员提供。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kern w:val="0"/>
                <w:szCs w:val="21"/>
                <w:lang w:val="en-US" w:eastAsia="zh-CN"/>
              </w:rPr>
              <w:t>6</w:t>
            </w:r>
            <w:r>
              <w:rPr>
                <w:rFonts w:ascii="宋体" w:hAnsi="宋体"/>
                <w:kern w:val="0"/>
                <w:szCs w:val="21"/>
              </w:rPr>
              <w:t>.4</w:t>
            </w:r>
            <w:r>
              <w:rPr>
                <w:rFonts w:ascii="宋体" w:hAnsi="宋体"/>
                <w:szCs w:val="21"/>
              </w:rPr>
              <w:t>主要管理人员：</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szCs w:val="21"/>
              </w:rPr>
            </w:pPr>
            <w:r>
              <w:rPr>
                <w:rFonts w:hint="eastAsia" w:ascii="宋体" w:hAnsi="宋体"/>
                <w:szCs w:val="21"/>
              </w:rPr>
              <w:t>投标人</w:t>
            </w:r>
            <w:r>
              <w:rPr>
                <w:rFonts w:hint="eastAsia" w:ascii="宋体" w:hAnsi="宋体"/>
                <w:szCs w:val="21"/>
                <w:lang w:val="en-US" w:eastAsia="zh-CN"/>
              </w:rPr>
              <w:t>在</w:t>
            </w:r>
            <w:r>
              <w:rPr>
                <w:rFonts w:hint="eastAsia" w:ascii="宋体" w:hAnsi="宋体"/>
                <w:szCs w:val="21"/>
              </w:rPr>
              <w:t>中标后签订合同之前，须按照实际工作需要和建设行政主管部门的要求组建项目部，配置项目管理班子，出具任命文件。任命文件应当明确项目部的职责、岗位设置、人员配备，并书面通知</w:t>
            </w:r>
            <w:r>
              <w:rPr>
                <w:rFonts w:hint="eastAsia" w:ascii="宋体" w:hAnsi="宋体"/>
                <w:szCs w:val="21"/>
                <w:lang w:val="en-US" w:eastAsia="zh-CN"/>
              </w:rPr>
              <w:t>招标人</w:t>
            </w:r>
            <w:r>
              <w:rPr>
                <w:rFonts w:hint="eastAsia" w:ascii="宋体" w:hAnsi="宋体"/>
                <w:szCs w:val="21"/>
              </w:rPr>
              <w:t>。主要管理人员应持有建设行政主管部门要求的岗位证书或注册证书或职称证书，并提供投标人为其缴纳的养老保险证明材料。中标后不能满足该要求的，招标人可取消</w:t>
            </w:r>
            <w:r>
              <w:rPr>
                <w:rFonts w:hint="eastAsia" w:ascii="宋体" w:hAnsi="宋体"/>
                <w:szCs w:val="21"/>
                <w:lang w:val="en-US" w:eastAsia="zh-CN"/>
              </w:rPr>
              <w:t>投标人</w:t>
            </w:r>
            <w:r>
              <w:rPr>
                <w:rFonts w:hint="eastAsia" w:ascii="宋体" w:hAnsi="宋体"/>
                <w:szCs w:val="21"/>
              </w:rPr>
              <w:t>中标资格</w:t>
            </w:r>
            <w:r>
              <w:rPr>
                <w:rFonts w:hint="eastAsia" w:ascii="宋体" w:hAnsi="宋体" w:eastAsia="宋体" w:cs="Times New Roman"/>
                <w:szCs w:val="21"/>
              </w:rPr>
              <w:t>；签订合同后不满足该要求的，</w:t>
            </w:r>
            <w:r>
              <w:rPr>
                <w:rFonts w:hint="eastAsia" w:ascii="宋体" w:hAnsi="宋体" w:eastAsia="宋体" w:cs="Times New Roman"/>
                <w:szCs w:val="21"/>
                <w:lang w:val="en-US" w:eastAsia="zh-CN"/>
              </w:rPr>
              <w:t>招标人</w:t>
            </w:r>
            <w:r>
              <w:rPr>
                <w:rFonts w:hint="eastAsia" w:ascii="宋体" w:hAnsi="宋体" w:eastAsia="宋体" w:cs="Times New Roman"/>
                <w:szCs w:val="21"/>
              </w:rPr>
              <w:t>按合同相关条款</w:t>
            </w:r>
            <w:r>
              <w:rPr>
                <w:rFonts w:hint="eastAsia" w:ascii="宋体" w:hAnsi="宋体" w:eastAsia="宋体" w:cs="Times New Roman"/>
                <w:szCs w:val="21"/>
                <w:lang w:val="en-US" w:eastAsia="zh-CN"/>
              </w:rPr>
              <w:t>要求投标人承担责任</w:t>
            </w:r>
            <w:r>
              <w:rPr>
                <w:rFonts w:hint="eastAsia" w:ascii="宋体" w:hAnsi="宋体" w:eastAsia="宋体" w:cs="Times New Roman"/>
                <w:szCs w:val="21"/>
              </w:rPr>
              <w:t>并上报行政主管部门；</w:t>
            </w:r>
            <w:r>
              <w:rPr>
                <w:rFonts w:hint="eastAsia" w:ascii="宋体" w:hAnsi="宋体"/>
                <w:szCs w:val="21"/>
              </w:rPr>
              <w:t>给招标人造成损失的，投标人依法承担赔偿</w:t>
            </w:r>
            <w:r>
              <w:rPr>
                <w:rFonts w:hint="eastAsia" w:ascii="宋体" w:hAnsi="宋体"/>
                <w:szCs w:val="21"/>
                <w:lang w:val="en-US" w:eastAsia="zh-CN"/>
              </w:rPr>
              <w:t>责任或</w:t>
            </w:r>
            <w:r>
              <w:rPr>
                <w:rFonts w:hint="eastAsia" w:ascii="宋体" w:hAnsi="宋体"/>
                <w:szCs w:val="21"/>
              </w:rPr>
              <w:t>违约责任。</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ascii="宋体" w:hAnsi="宋体"/>
                <w:szCs w:val="21"/>
              </w:rPr>
            </w:pPr>
            <w:r>
              <w:rPr>
                <w:rFonts w:hint="eastAsia" w:ascii="宋体" w:hAnsi="宋体"/>
                <w:szCs w:val="21"/>
                <w:lang w:val="en-US" w:eastAsia="zh-CN"/>
              </w:rPr>
              <w:t>提供：</w:t>
            </w:r>
            <w:r>
              <w:rPr>
                <w:rFonts w:hint="eastAsia" w:ascii="宋体" w:hAnsi="宋体"/>
                <w:szCs w:val="21"/>
              </w:rPr>
              <w:t>承诺（格式见第八章投标文件格式）。</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textAlignment w:val="auto"/>
              <w:rPr>
                <w:rFonts w:hint="default" w:ascii="宋体" w:hAnsi="宋体"/>
                <w:kern w:val="2"/>
                <w:szCs w:val="21"/>
              </w:rPr>
            </w:pPr>
            <w:r>
              <w:rPr>
                <w:rFonts w:hint="default" w:ascii="宋体" w:hAnsi="宋体"/>
                <w:kern w:val="2"/>
                <w:szCs w:val="21"/>
              </w:rPr>
              <w:t>□联合体投标的，</w:t>
            </w:r>
            <w:r>
              <w:rPr>
                <w:rFonts w:hint="default" w:ascii="宋体" w:hAnsi="宋体" w:eastAsia="宋体" w:cs="Times New Roman"/>
                <w:kern w:val="2"/>
                <w:szCs w:val="21"/>
              </w:rPr>
              <w:t>由联合体牵头人代表联合体各成员进行承诺</w:t>
            </w:r>
            <w:r>
              <w:rPr>
                <w:rFonts w:hint="default" w:ascii="宋体" w:hAnsi="宋体"/>
                <w:kern w:val="2"/>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kern w:val="0"/>
                <w:szCs w:val="21"/>
                <w:lang w:val="en-US" w:eastAsia="zh-CN"/>
              </w:rPr>
              <w:t>6</w:t>
            </w:r>
            <w:r>
              <w:rPr>
                <w:rFonts w:ascii="宋体" w:hAnsi="宋体"/>
                <w:kern w:val="0"/>
                <w:szCs w:val="21"/>
              </w:rPr>
              <w:t>.5</w:t>
            </w:r>
            <w:r>
              <w:rPr>
                <w:rFonts w:hint="eastAsia" w:ascii="宋体" w:hAnsi="宋体"/>
                <w:kern w:val="0"/>
                <w:szCs w:val="21"/>
                <w:lang w:val="en-US" w:eastAsia="zh-CN"/>
              </w:rPr>
              <w:t>法定代表人或</w:t>
            </w:r>
            <w:r>
              <w:rPr>
                <w:rFonts w:ascii="宋体" w:hAnsi="宋体"/>
                <w:kern w:val="0"/>
                <w:szCs w:val="21"/>
              </w:rPr>
              <w:t>委托代理人</w:t>
            </w:r>
            <w:r>
              <w:rPr>
                <w:rFonts w:hint="eastAsia" w:ascii="宋体" w:hAnsi="宋体"/>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宋体" w:hAnsi="宋体"/>
                <w:kern w:val="0"/>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kern w:val="0"/>
                <w:szCs w:val="21"/>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宋体" w:hAnsi="宋体"/>
                <w:kern w:val="0"/>
                <w:szCs w:val="21"/>
                <w:highlight w:val="none"/>
                <w:lang w:val="en-US" w:eastAsia="zh-CN"/>
              </w:rPr>
              <w:t>材料</w:t>
            </w:r>
            <w:r>
              <w:rPr>
                <w:rFonts w:hint="eastAsia" w:ascii="宋体" w:hAnsi="宋体"/>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kern w:val="0"/>
                <w:szCs w:val="21"/>
              </w:rPr>
            </w:pPr>
            <w:r>
              <w:rPr>
                <w:rFonts w:hint="eastAsia" w:ascii="宋体" w:hAnsi="宋体"/>
              </w:rPr>
              <w:t>□</w:t>
            </w:r>
            <w:r>
              <w:rPr>
                <w:rFonts w:hint="eastAsia" w:ascii="宋体" w:hAnsi="宋体"/>
                <w:kern w:val="0"/>
                <w:szCs w:val="21"/>
              </w:rPr>
              <w:t>联合体投标的，由联合体牵头人委派</w:t>
            </w:r>
            <w:r>
              <w:rPr>
                <w:rFonts w:hint="eastAsia" w:ascii="宋体" w:hAnsi="宋体"/>
                <w:kern w:val="0"/>
                <w:szCs w:val="21"/>
                <w:lang w:val="en-US" w:eastAsia="zh-CN"/>
              </w:rPr>
              <w:t>本单位人员作为委托</w:t>
            </w:r>
            <w:r>
              <w:rPr>
                <w:rFonts w:hint="eastAsia" w:ascii="宋体" w:hAnsi="宋体"/>
                <w:kern w:val="0"/>
                <w:szCs w:val="21"/>
              </w:rPr>
              <w:t>代理人。</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kern w:val="0"/>
                <w:szCs w:val="21"/>
              </w:rPr>
              <w:t>□</w:t>
            </w:r>
            <w:r>
              <w:rPr>
                <w:rFonts w:hint="eastAsia" w:ascii="宋体" w:hAnsi="宋体"/>
                <w:kern w:val="0"/>
                <w:szCs w:val="21"/>
                <w:lang w:val="en-US" w:eastAsia="zh-CN"/>
              </w:rPr>
              <w:t>6.6</w:t>
            </w: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eastAsia="zh-CN"/>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rPr>
              <w:t>□</w:t>
            </w:r>
            <w:r>
              <w:rPr>
                <w:rFonts w:hint="eastAsia" w:ascii="宋体" w:hAnsi="宋体"/>
                <w:kern w:val="0"/>
                <w:szCs w:val="21"/>
              </w:rPr>
              <w:t>联合体投标的，由联合体牵头人</w:t>
            </w:r>
            <w:r>
              <w:rPr>
                <w:rFonts w:hint="eastAsia" w:ascii="宋体" w:hAnsi="宋体"/>
                <w:kern w:val="0"/>
                <w:szCs w:val="21"/>
                <w:lang w:val="en-US" w:eastAsia="zh-CN"/>
              </w:rPr>
              <w:t>提供。</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联合体中的中小企业</w:t>
            </w:r>
            <w:r>
              <w:rPr>
                <w:rFonts w:hint="eastAsia" w:ascii="宋体" w:hAnsi="宋体"/>
                <w:snapToGrid w:val="0"/>
                <w:kern w:val="0"/>
                <w:szCs w:val="21"/>
                <w:highlight w:val="none"/>
                <w:lang w:val="en-US" w:eastAsia="zh-CN"/>
              </w:rPr>
              <w:t>出具的</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以及联合体牵头人出具的</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中小企业承担合同份额承诺函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highlight w:val="none"/>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eastAsia="zh-CN"/>
              </w:rPr>
              <w:t>6</w:t>
            </w:r>
            <w:r>
              <w:rPr>
                <w:rFonts w:hint="eastAsia" w:ascii="宋体" w:hAnsi="宋体"/>
                <w:snapToGrid w:val="0"/>
                <w:kern w:val="0"/>
                <w:szCs w:val="21"/>
                <w:highlight w:val="none"/>
                <w:lang w:val="en-US" w:eastAsia="zh-CN"/>
              </w:rPr>
              <w:t>.7投标文件真实性：</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Times New Roman"/>
                <w:snapToGrid w:val="0"/>
                <w:kern w:val="0"/>
                <w:szCs w:val="21"/>
                <w:highlight w:val="none"/>
              </w:rPr>
            </w:pPr>
            <w:r>
              <w:rPr>
                <w:rFonts w:hint="eastAsia" w:ascii="宋体" w:hAnsi="宋体" w:eastAsia="宋体" w:cs="Times New Roman"/>
                <w:snapToGrid w:val="0"/>
                <w:kern w:val="0"/>
                <w:szCs w:val="21"/>
                <w:highlight w:val="none"/>
              </w:rPr>
              <w:t>投标文件中的所有内容</w:t>
            </w:r>
            <w:r>
              <w:rPr>
                <w:rFonts w:hint="eastAsia" w:ascii="宋体" w:hAnsi="宋体" w:eastAsia="宋体" w:cs="Times New Roman"/>
                <w:snapToGrid w:val="0"/>
                <w:kern w:val="0"/>
                <w:szCs w:val="21"/>
                <w:highlight w:val="none"/>
                <w:lang w:val="en-US" w:eastAsia="zh-CN"/>
              </w:rPr>
              <w:t>须</w:t>
            </w:r>
            <w:r>
              <w:rPr>
                <w:rFonts w:hint="eastAsia" w:ascii="宋体" w:hAnsi="宋体" w:eastAsia="宋体" w:cs="Times New Roman"/>
                <w:snapToGrid w:val="0"/>
                <w:kern w:val="0"/>
                <w:szCs w:val="21"/>
                <w:highlight w:val="none"/>
              </w:rPr>
              <w:t>真实有效，不存在弄虚作假情形。</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Times New Roman"/>
                <w:snapToGrid w:val="0"/>
                <w:kern w:val="0"/>
                <w:szCs w:val="21"/>
                <w:highlight w:val="none"/>
              </w:rPr>
            </w:pPr>
            <w:r>
              <w:rPr>
                <w:rFonts w:hint="eastAsia" w:ascii="宋体" w:hAnsi="宋体" w:eastAsia="宋体" w:cs="Times New Roman"/>
                <w:snapToGrid w:val="0"/>
                <w:kern w:val="0"/>
                <w:szCs w:val="21"/>
                <w:highlight w:val="none"/>
              </w:rPr>
              <w:t>提供</w:t>
            </w:r>
            <w:r>
              <w:rPr>
                <w:rFonts w:hint="eastAsia" w:ascii="宋体" w:hAnsi="宋体" w:eastAsia="宋体" w:cs="Times New Roman"/>
                <w:snapToGrid w:val="0"/>
                <w:kern w:val="0"/>
                <w:szCs w:val="21"/>
                <w:highlight w:val="none"/>
                <w:lang w:eastAsia="zh-CN"/>
              </w:rPr>
              <w:t>：</w:t>
            </w:r>
            <w:r>
              <w:rPr>
                <w:rFonts w:hint="eastAsia" w:ascii="宋体" w:hAnsi="宋体" w:eastAsia="宋体" w:cs="Times New Roman"/>
                <w:snapToGrid w:val="0"/>
                <w:kern w:val="0"/>
                <w:szCs w:val="21"/>
                <w:highlight w:val="none"/>
              </w:rPr>
              <w:t>承诺（格式见第</w:t>
            </w:r>
            <w:r>
              <w:rPr>
                <w:rFonts w:hint="eastAsia" w:ascii="宋体" w:hAnsi="宋体" w:eastAsia="宋体" w:cs="Times New Roman"/>
                <w:snapToGrid w:val="0"/>
                <w:kern w:val="0"/>
                <w:szCs w:val="21"/>
                <w:highlight w:val="none"/>
                <w:lang w:val="en-US" w:eastAsia="zh-CN"/>
              </w:rPr>
              <w:t>八</w:t>
            </w:r>
            <w:r>
              <w:rPr>
                <w:rFonts w:hint="eastAsia" w:ascii="宋体" w:hAnsi="宋体" w:eastAsia="宋体" w:cs="Times New Roman"/>
                <w:snapToGrid w:val="0"/>
                <w:kern w:val="0"/>
                <w:szCs w:val="21"/>
                <w:highlight w:val="none"/>
              </w:rPr>
              <w:t>章投标文件格式）。</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b/>
                <w:szCs w:val="21"/>
              </w:rPr>
            </w:pPr>
            <w:r>
              <w:rPr>
                <w:rFonts w:hint="eastAsia" w:ascii="宋体" w:hAnsi="宋体" w:eastAsia="宋体" w:cs="Times New Roman"/>
                <w:snapToGrid w:val="0"/>
                <w:kern w:val="0"/>
                <w:szCs w:val="21"/>
                <w:highlight w:val="none"/>
              </w:rPr>
              <w:t>□联合体投标的，由联合体牵头人代表联合体各成员进行承诺</w:t>
            </w:r>
            <w:r>
              <w:rPr>
                <w:rFonts w:hint="eastAsia" w:ascii="宋体" w:hAnsi="宋体" w:eastAsia="宋体" w:cs="Times New Roman"/>
                <w:snapToGrid w:val="0"/>
                <w:kern w:val="0"/>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7" w:firstLineChars="198"/>
              <w:textAlignment w:val="auto"/>
              <w:rPr>
                <w:rFonts w:ascii="宋体" w:hAnsi="宋体" w:cs="宋体"/>
                <w:b/>
                <w:szCs w:val="21"/>
              </w:rPr>
            </w:pPr>
            <w:r>
              <w:rPr>
                <w:rFonts w:hint="eastAsia" w:ascii="宋体" w:hAnsi="宋体" w:cs="宋体"/>
                <w:b/>
                <w:szCs w:val="21"/>
              </w:rPr>
              <w:t>特别说明：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kern w:val="0"/>
                <w:szCs w:val="21"/>
              </w:rPr>
            </w:pPr>
            <w:r>
              <w:rPr>
                <w:rFonts w:hint="eastAsia" w:ascii="宋体" w:hAnsi="宋体" w:cs="宋体"/>
                <w:szCs w:val="21"/>
              </w:rPr>
              <w:t>（</w:t>
            </w:r>
            <w:r>
              <w:rPr>
                <w:rFonts w:ascii="宋体" w:hAnsi="宋体" w:cs="宋体"/>
                <w:szCs w:val="21"/>
              </w:rPr>
              <w:t>1）上述</w:t>
            </w:r>
            <w:r>
              <w:rPr>
                <w:rFonts w:hint="eastAsia" w:ascii="宋体" w:hAnsi="宋体" w:cs="宋体"/>
                <w:szCs w:val="21"/>
              </w:rPr>
              <w:t>要求须</w:t>
            </w:r>
            <w:r>
              <w:rPr>
                <w:rFonts w:hint="eastAsia" w:ascii="宋体" w:hAnsi="宋体" w:cs="宋体"/>
                <w:szCs w:val="21"/>
                <w:lang w:val="en-US" w:eastAsia="zh-CN"/>
              </w:rPr>
              <w:t>提供</w:t>
            </w:r>
            <w:r>
              <w:rPr>
                <w:rFonts w:hint="eastAsia" w:ascii="宋体" w:hAnsi="宋体" w:cs="宋体"/>
                <w:szCs w:val="21"/>
              </w:rPr>
              <w:t>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szCs w:val="21"/>
              </w:rPr>
            </w:pPr>
            <w:r>
              <w:rPr>
                <w:rFonts w:hint="eastAsia" w:ascii="宋体" w:hAnsi="宋体" w:cs="宋体"/>
                <w:szCs w:val="21"/>
              </w:rPr>
              <w:t>（2A）</w:t>
            </w:r>
            <w:bookmarkStart w:id="199" w:name="_Hlk57992060"/>
            <w:r>
              <w:rPr>
                <w:rFonts w:ascii="宋体" w:hAnsi="宋体" w:cs="宋体"/>
                <w:szCs w:val="21"/>
                <w:u w:val="none"/>
              </w:rPr>
              <w:t>招标人有权对投标人提供的</w:t>
            </w:r>
            <w:r>
              <w:rPr>
                <w:rFonts w:hint="eastAsia" w:ascii="宋体" w:hAnsi="宋体" w:cs="宋体"/>
                <w:szCs w:val="21"/>
                <w:u w:val="none"/>
              </w:rPr>
              <w:t>资料</w:t>
            </w:r>
            <w:r>
              <w:rPr>
                <w:rFonts w:ascii="宋体" w:hAnsi="宋体" w:cs="宋体"/>
                <w:szCs w:val="21"/>
                <w:u w:val="none"/>
              </w:rPr>
              <w:t>进行核实，</w:t>
            </w:r>
            <w:r>
              <w:rPr>
                <w:rFonts w:hint="eastAsia" w:ascii="宋体" w:hAnsi="宋体" w:cs="宋体"/>
                <w:szCs w:val="21"/>
                <w:u w:val="none"/>
              </w:rPr>
              <w:t>若发现弄虚作假，按相关规定取消其中标资格，并按相关法律法规报招标投标监督部门，其投标保证金</w:t>
            </w:r>
            <w:r>
              <w:rPr>
                <w:rFonts w:hint="eastAsia" w:ascii="宋体" w:hAnsi="宋体" w:eastAsia="宋体" w:cs="宋体"/>
                <w:szCs w:val="21"/>
                <w:u w:val="none"/>
                <w:lang w:val="en-US" w:eastAsia="zh-CN"/>
              </w:rPr>
              <w:t>以现金形式交纳的</w:t>
            </w:r>
            <w:r>
              <w:rPr>
                <w:rFonts w:hint="eastAsia" w:ascii="宋体" w:hAnsi="宋体" w:cs="宋体"/>
                <w:szCs w:val="21"/>
                <w:u w:val="none"/>
              </w:rPr>
              <w:t>不予退还，</w:t>
            </w:r>
            <w:r>
              <w:rPr>
                <w:rFonts w:hint="eastAsia" w:ascii="宋体" w:hAnsi="宋体" w:eastAsia="宋体" w:cs="宋体"/>
                <w:szCs w:val="21"/>
                <w:u w:val="none"/>
              </w:rPr>
              <w:t>以保函形式交纳的由保函开立人支付保函担保的与投标保证金等额的款项</w:t>
            </w:r>
            <w:r>
              <w:rPr>
                <w:rFonts w:hint="eastAsia" w:ascii="宋体" w:hAnsi="宋体" w:cs="宋体"/>
                <w:szCs w:val="21"/>
                <w:u w:val="none"/>
              </w:rPr>
              <w:t>，投标人承担因此造成的相关责任并赔偿相应损失。</w:t>
            </w:r>
          </w:p>
          <w:bookmarkEnd w:id="199"/>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kern w:val="0"/>
                <w:szCs w:val="21"/>
              </w:rPr>
            </w:pPr>
            <w:r>
              <w:rPr>
                <w:rFonts w:hint="eastAsia" w:ascii="宋体" w:hAnsi="宋体" w:cs="宋体"/>
                <w:i/>
                <w:kern w:val="0"/>
                <w:szCs w:val="21"/>
              </w:rPr>
              <w:t>[提示：适用于未进行资格预审的项目。]</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i/>
                <w:kern w:val="0"/>
                <w:szCs w:val="21"/>
              </w:rPr>
            </w:pPr>
            <w:r>
              <w:rPr>
                <w:rFonts w:hint="eastAsia" w:ascii="宋体" w:hAnsi="宋体" w:cs="宋体"/>
                <w:i/>
                <w:kern w:val="0"/>
                <w:szCs w:val="21"/>
              </w:rPr>
              <w:t>[提示：适用于已进行资格预审的项目，没有变化的不提供。]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iCs/>
                <w:kern w:val="0"/>
                <w:szCs w:val="21"/>
              </w:rPr>
            </w:pPr>
            <w:r>
              <w:rPr>
                <w:rFonts w:hint="eastAsia" w:ascii="宋体" w:hAnsi="宋体" w:cs="宋体"/>
                <w:iCs/>
                <w:kern w:val="0"/>
                <w:szCs w:val="21"/>
              </w:rPr>
              <w:t>（3）</w:t>
            </w:r>
            <w:r>
              <w:rPr>
                <w:rFonts w:hint="eastAsia" w:ascii="宋体" w:hAnsi="宋体"/>
                <w:szCs w:val="21"/>
              </w:rPr>
              <w:t>工程总承包项目经理、设计负责人、施工负责人的业绩不限定为投标单位的个人业绩。</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bCs/>
                <w:kern w:val="0"/>
                <w:szCs w:val="21"/>
              </w:rPr>
            </w:pPr>
            <w:r>
              <w:rPr>
                <w:rFonts w:hint="eastAsia" w:ascii="宋体" w:hAnsi="宋体"/>
                <w:bCs/>
                <w:kern w:val="0"/>
                <w:szCs w:val="21"/>
              </w:rPr>
              <w:t>（</w:t>
            </w:r>
            <w:r>
              <w:rPr>
                <w:rFonts w:ascii="宋体" w:hAnsi="宋体"/>
                <w:bCs/>
                <w:kern w:val="0"/>
                <w:szCs w:val="21"/>
              </w:rPr>
              <w:t>4</w:t>
            </w:r>
            <w:r>
              <w:rPr>
                <w:rFonts w:hint="eastAsia" w:ascii="宋体" w:hAnsi="宋体"/>
                <w:bCs/>
                <w:kern w:val="0"/>
                <w:szCs w:val="21"/>
              </w:rPr>
              <w:t>）</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bCs/>
                <w:kern w:val="0"/>
                <w:szCs w:val="21"/>
              </w:rPr>
            </w:pPr>
            <w:r>
              <w:rPr>
                <w:rFonts w:ascii="宋体" w:hAnsi="宋体"/>
                <w:bCs/>
                <w:kern w:val="0"/>
                <w:szCs w:val="21"/>
              </w:rPr>
              <w:t>①</w:t>
            </w:r>
            <w:r>
              <w:rPr>
                <w:rFonts w:hint="eastAsia" w:ascii="宋体" w:hAnsi="宋体"/>
                <w:bCs/>
                <w:kern w:val="0"/>
                <w:szCs w:val="21"/>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bCs/>
                <w:szCs w:val="21"/>
              </w:rPr>
            </w:pPr>
            <w:r>
              <w:rPr>
                <w:rFonts w:ascii="宋体" w:hAnsi="宋体"/>
                <w:bCs/>
                <w:kern w:val="0"/>
                <w:szCs w:val="21"/>
              </w:rPr>
              <w:t>②</w:t>
            </w:r>
            <w:r>
              <w:rPr>
                <w:rFonts w:hint="eastAsia" w:ascii="宋体" w:hAnsi="宋体"/>
                <w:bCs/>
                <w:snapToGrid w:val="0"/>
                <w:kern w:val="0"/>
                <w:szCs w:val="21"/>
                <w:lang w:val="en-US" w:eastAsia="zh-CN"/>
              </w:rPr>
              <w:t>拟派人员</w:t>
            </w:r>
            <w:r>
              <w:rPr>
                <w:rFonts w:ascii="宋体" w:hAnsi="宋体"/>
                <w:bCs/>
                <w:snapToGrid w:val="0"/>
                <w:kern w:val="0"/>
                <w:szCs w:val="21"/>
              </w:rPr>
              <w:t>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w:t>
            </w:r>
            <w:r>
              <w:rPr>
                <w:rFonts w:hint="eastAsia" w:ascii="宋体" w:hAnsi="宋体"/>
                <w:bCs/>
                <w:szCs w:val="21"/>
                <w:lang w:val="en-US" w:eastAsia="zh-CN"/>
              </w:rPr>
              <w:t>拟派</w:t>
            </w:r>
            <w:r>
              <w:rPr>
                <w:rFonts w:hint="eastAsia" w:ascii="宋体" w:hAnsi="宋体"/>
                <w:bCs/>
                <w:szCs w:val="21"/>
              </w:rPr>
              <w:t>人员的姓名、身份证号（或社保号）、单位名称、</w:t>
            </w:r>
            <w:r>
              <w:rPr>
                <w:rFonts w:hint="eastAsia" w:ascii="宋体" w:hAnsi="宋体"/>
                <w:bCs/>
                <w:szCs w:val="21"/>
                <w:lang w:val="en-US" w:eastAsia="zh-CN"/>
              </w:rPr>
              <w:t>在</w:t>
            </w:r>
            <w:r>
              <w:rPr>
                <w:rFonts w:hint="eastAsia" w:ascii="宋体" w:hAnsi="宋体"/>
                <w:bCs/>
                <w:szCs w:val="21"/>
              </w:rPr>
              <w:t>本单位参保时间（或起始参保时间），并带有社保部门公章或社保部门的有效电子印章。</w:t>
            </w:r>
          </w:p>
          <w:p>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bCs/>
                <w:snapToGrid w:val="0"/>
                <w:kern w:val="0"/>
                <w:szCs w:val="21"/>
              </w:rPr>
            </w:pPr>
            <w:r>
              <w:rPr>
                <w:rFonts w:hint="eastAsia" w:ascii="宋体" w:hAnsi="宋体"/>
                <w:bCs/>
                <w:i/>
                <w:szCs w:val="21"/>
              </w:rPr>
              <w:t>[提示：</w:t>
            </w:r>
            <w:r>
              <w:rPr>
                <w:rFonts w:hint="eastAsia" w:ascii="宋体" w:hAnsi="宋体"/>
                <w:bCs/>
                <w:i/>
                <w:szCs w:val="21"/>
                <w:lang w:val="en-US" w:eastAsia="zh-CN"/>
              </w:rPr>
              <w:t>拟派人员提供</w:t>
            </w:r>
            <w:r>
              <w:rPr>
                <w:rFonts w:hint="eastAsia" w:ascii="宋体" w:hAnsi="宋体"/>
                <w:bCs/>
                <w:i/>
                <w:szCs w:val="21"/>
              </w:rPr>
              <w:t xml:space="preserve">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联合体投标</w:t>
            </w:r>
          </w:p>
        </w:tc>
        <w:tc>
          <w:tcPr>
            <w:tcW w:w="6490" w:type="dxa"/>
            <w:vAlign w:val="center"/>
          </w:tcPr>
          <w:p>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1.5</w:t>
            </w:r>
          </w:p>
        </w:tc>
        <w:tc>
          <w:tcPr>
            <w:tcW w:w="1644" w:type="dxa"/>
            <w:vAlign w:val="center"/>
          </w:tcPr>
          <w:p>
            <w:pPr>
              <w:spacing w:line="440" w:lineRule="exact"/>
              <w:jc w:val="center"/>
              <w:rPr>
                <w:szCs w:val="21"/>
              </w:rPr>
            </w:pPr>
            <w:r>
              <w:rPr>
                <w:rFonts w:hint="eastAsia"/>
                <w:szCs w:val="21"/>
              </w:rPr>
              <w:t>费用承担和设计成果补偿</w:t>
            </w:r>
          </w:p>
        </w:tc>
        <w:tc>
          <w:tcPr>
            <w:tcW w:w="6490" w:type="dxa"/>
            <w:vAlign w:val="center"/>
          </w:tcPr>
          <w:p>
            <w:pPr>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w:t>
            </w:r>
            <w:r>
              <w:rPr>
                <w:rFonts w:hint="eastAsia" w:ascii="宋体" w:hAnsi="宋体"/>
                <w:kern w:val="0"/>
                <w:szCs w:val="21"/>
              </w:rPr>
              <w:t>补偿</w:t>
            </w:r>
          </w:p>
          <w:p>
            <w:pPr>
              <w:snapToGrid w:val="0"/>
              <w:spacing w:line="400" w:lineRule="exact"/>
              <w:ind w:firstLine="420" w:firstLineChars="200"/>
              <w:rPr>
                <w:sz w:val="32"/>
                <w:szCs w:val="32"/>
              </w:rPr>
            </w:pPr>
            <w:r>
              <w:rPr>
                <w:rFonts w:hint="eastAsia" w:ascii="宋体" w:hAnsi="宋体"/>
                <w:kern w:val="0"/>
                <w:szCs w:val="21"/>
              </w:rPr>
              <w:t>□补偿</w:t>
            </w:r>
            <w:r>
              <w:rPr>
                <w:rFonts w:ascii="宋体" w:hAnsi="宋体"/>
                <w:kern w:val="0"/>
                <w:szCs w:val="21"/>
              </w:rPr>
              <w:t>，</w:t>
            </w:r>
            <w:r>
              <w:rPr>
                <w:rFonts w:hint="eastAsia" w:ascii="宋体" w:hAnsi="宋体"/>
                <w:kern w:val="0"/>
                <w:szCs w:val="21"/>
              </w:rPr>
              <w:t>补偿标准</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踏勘现场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1.11.1</w:t>
            </w:r>
          </w:p>
        </w:tc>
        <w:tc>
          <w:tcPr>
            <w:tcW w:w="1644" w:type="dxa"/>
            <w:vAlign w:val="center"/>
          </w:tcPr>
          <w:p>
            <w:pPr>
              <w:snapToGrid w:val="0"/>
              <w:spacing w:line="400" w:lineRule="exact"/>
              <w:jc w:val="center"/>
              <w:rPr>
                <w:rFonts w:ascii="宋体" w:hAnsi="宋体"/>
                <w:kern w:val="0"/>
                <w:szCs w:val="21"/>
              </w:rPr>
            </w:pPr>
            <w:r>
              <w:rPr>
                <w:rFonts w:hint="eastAsia"/>
                <w:szCs w:val="21"/>
              </w:rPr>
              <w:t>招标人规定由分包人承担的工作</w:t>
            </w:r>
          </w:p>
        </w:tc>
        <w:tc>
          <w:tcPr>
            <w:tcW w:w="6490" w:type="dxa"/>
            <w:vAlign w:val="center"/>
          </w:tcPr>
          <w:p>
            <w:pPr>
              <w:snapToGrid w:val="0"/>
              <w:spacing w:after="15" w:afterLines="5" w:line="400" w:lineRule="exact"/>
              <w:ind w:firstLine="1260" w:firstLineChars="600"/>
              <w:rPr>
                <w:rFonts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1.11</w:t>
            </w:r>
            <w:r>
              <w:rPr>
                <w:rFonts w:hint="eastAsia" w:ascii="宋体" w:hAnsi="宋体"/>
                <w:kern w:val="0"/>
                <w:szCs w:val="21"/>
              </w:rPr>
              <w:t>.2</w:t>
            </w:r>
          </w:p>
        </w:tc>
        <w:tc>
          <w:tcPr>
            <w:tcW w:w="1644" w:type="dxa"/>
            <w:vAlign w:val="center"/>
          </w:tcPr>
          <w:p>
            <w:pPr>
              <w:snapToGrid w:val="0"/>
              <w:spacing w:line="400" w:lineRule="exact"/>
              <w:jc w:val="center"/>
              <w:rPr>
                <w:rFonts w:ascii="宋体" w:hAnsi="宋体"/>
                <w:kern w:val="0"/>
                <w:szCs w:val="21"/>
              </w:rPr>
            </w:pPr>
            <w:r>
              <w:rPr>
                <w:szCs w:val="21"/>
              </w:rPr>
              <w:t>投标人拟分包的工作</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不允许</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允许，分包内容要求：</w:t>
            </w:r>
          </w:p>
          <w:p>
            <w:pPr>
              <w:snapToGrid w:val="0"/>
              <w:spacing w:line="400" w:lineRule="exact"/>
              <w:ind w:firstLine="1260" w:firstLineChars="600"/>
              <w:rPr>
                <w:rFonts w:ascii="宋体" w:hAnsi="宋体"/>
                <w:kern w:val="0"/>
                <w:szCs w:val="21"/>
              </w:rPr>
            </w:pPr>
            <w:r>
              <w:rPr>
                <w:rFonts w:ascii="宋体" w:hAnsi="宋体"/>
                <w:kern w:val="0"/>
                <w:szCs w:val="21"/>
              </w:rPr>
              <w:t>分包金额要求：</w:t>
            </w:r>
          </w:p>
          <w:p>
            <w:pPr>
              <w:snapToGrid w:val="0"/>
              <w:spacing w:after="15" w:afterLines="5" w:line="400" w:lineRule="exact"/>
              <w:ind w:firstLine="420" w:firstLineChars="200"/>
              <w:rPr>
                <w:rFonts w:ascii="宋体" w:hAnsi="宋体"/>
                <w:kern w:val="0"/>
                <w:szCs w:val="21"/>
              </w:rPr>
            </w:pPr>
            <w:r>
              <w:rPr>
                <w:rFonts w:ascii="宋体" w:hAnsi="宋体"/>
                <w:kern w:val="0"/>
                <w:szCs w:val="21"/>
              </w:rPr>
              <w:t>接受分包的第三人资质要求：</w:t>
            </w:r>
          </w:p>
          <w:p>
            <w:pPr>
              <w:snapToGrid w:val="0"/>
              <w:spacing w:line="400" w:lineRule="exact"/>
              <w:ind w:firstLine="420" w:firstLineChars="200"/>
            </w:pPr>
            <w:r>
              <w:rPr>
                <w:rFonts w:hint="eastAsia"/>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40" w:lineRule="exact"/>
              <w:jc w:val="center"/>
              <w:rPr>
                <w:szCs w:val="21"/>
              </w:rPr>
            </w:pPr>
            <w:r>
              <w:rPr>
                <w:rFonts w:ascii="宋体" w:hAnsi="宋体"/>
                <w:kern w:val="0"/>
                <w:szCs w:val="21"/>
              </w:rPr>
              <w:t>1.12</w:t>
            </w:r>
          </w:p>
        </w:tc>
        <w:tc>
          <w:tcPr>
            <w:tcW w:w="1644" w:type="dxa"/>
            <w:vAlign w:val="center"/>
          </w:tcPr>
          <w:p>
            <w:pPr>
              <w:spacing w:line="440" w:lineRule="exact"/>
              <w:jc w:val="center"/>
              <w:rPr>
                <w:szCs w:val="21"/>
              </w:rPr>
            </w:pPr>
            <w:r>
              <w:rPr>
                <w:rFonts w:hint="eastAsia"/>
                <w:szCs w:val="21"/>
              </w:rPr>
              <w:t>偏离</w:t>
            </w:r>
          </w:p>
        </w:tc>
        <w:tc>
          <w:tcPr>
            <w:tcW w:w="6490" w:type="dxa"/>
            <w:vAlign w:val="center"/>
          </w:tcPr>
          <w:p>
            <w:pPr>
              <w:topLinePunct/>
              <w:snapToGrid w:val="0"/>
              <w:spacing w:line="400" w:lineRule="exact"/>
              <w:ind w:firstLine="420" w:firstLineChars="200"/>
              <w:rPr>
                <w:rFonts w:ascii="宋体" w:hAnsi="宋体"/>
                <w:kern w:val="0"/>
                <w:szCs w:val="21"/>
              </w:rPr>
            </w:pPr>
            <w:r>
              <w:rPr>
                <w:rFonts w:hint="eastAsia" w:ascii="宋体" w:hAnsi="宋体"/>
                <w:kern w:val="0"/>
                <w:szCs w:val="21"/>
              </w:rPr>
              <w:t>□不允许</w:t>
            </w:r>
          </w:p>
          <w:p>
            <w:pPr>
              <w:topLinePunct/>
              <w:snapToGrid w:val="0"/>
              <w:spacing w:line="400" w:lineRule="exact"/>
              <w:ind w:firstLine="420" w:firstLineChars="200"/>
              <w:rPr>
                <w:szCs w:val="21"/>
              </w:rPr>
            </w:pPr>
            <w:r>
              <w:rPr>
                <w:rFonts w:hint="eastAsia" w:ascii="宋体" w:hAnsi="宋体"/>
                <w:kern w:val="0"/>
                <w:szCs w:val="21"/>
              </w:rPr>
              <w:t>□允许，允许偏离的内容、偏离范围和幅度：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招标人发出的澄清及修改</w:t>
            </w:r>
            <w:r>
              <w:rPr>
                <w:rFonts w:hint="eastAsia" w:ascii="宋体" w:hAnsi="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投标人在收到招标文件后，应仔细检查招标文件的所有内容，如有残缺或文字表述不清，图纸尺寸标注不明以及存在错、碰、漏、缺、概念模糊和有可能出现歧义或理解上的偏差的内容等应</w:t>
            </w:r>
            <w:r>
              <w:rPr>
                <w:rFonts w:hint="eastAsia" w:ascii="宋体" w:hAnsi="宋体" w:cs="宋体"/>
                <w:kern w:val="0"/>
                <w:szCs w:val="21"/>
              </w:rPr>
              <w:t>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Merge w:val="restart"/>
            <w:vAlign w:val="center"/>
          </w:tcPr>
          <w:p>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招标人对招标文件澄清的截止时间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t>
            </w:r>
            <w:r>
              <w:rPr>
                <w:rFonts w:ascii="宋体" w:hAnsi="宋体"/>
                <w:kern w:val="0"/>
                <w:szCs w:val="21"/>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335" w:type="dxa"/>
            <w:vMerge w:val="continue"/>
            <w:vAlign w:val="center"/>
          </w:tcPr>
          <w:p>
            <w:pPr>
              <w:snapToGrid w:val="0"/>
              <w:spacing w:line="400" w:lineRule="exact"/>
              <w:jc w:val="center"/>
              <w:rPr>
                <w:rFonts w:ascii="宋体" w:hAnsi="宋体"/>
                <w:kern w:val="0"/>
                <w:szCs w:val="21"/>
              </w:rPr>
            </w:pP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2.2.3</w:t>
            </w:r>
          </w:p>
        </w:tc>
        <w:tc>
          <w:tcPr>
            <w:tcW w:w="1644" w:type="dxa"/>
            <w:vAlign w:val="center"/>
          </w:tcPr>
          <w:p>
            <w:pPr>
              <w:snapToGrid w:val="0"/>
              <w:spacing w:after="15" w:afterLines="5" w:line="400" w:lineRule="exact"/>
              <w:jc w:val="center"/>
              <w:rPr>
                <w:rFonts w:ascii="宋体" w:hAnsi="宋体"/>
                <w:kern w:val="0"/>
                <w:szCs w:val="21"/>
              </w:rPr>
            </w:pPr>
            <w:r>
              <w:rPr>
                <w:rFonts w:ascii="宋体" w:hAnsi="宋体"/>
                <w:kern w:val="0"/>
                <w:szCs w:val="21"/>
              </w:rPr>
              <w:t>招标人对招标文件进行修改的时间</w:t>
            </w:r>
          </w:p>
        </w:tc>
        <w:tc>
          <w:tcPr>
            <w:tcW w:w="6490" w:type="dxa"/>
            <w:vAlign w:val="center"/>
          </w:tcPr>
          <w:p>
            <w:pPr>
              <w:snapToGrid w:val="0"/>
              <w:spacing w:line="400" w:lineRule="exact"/>
              <w:ind w:firstLine="420" w:firstLineChars="200"/>
              <w:rPr>
                <w:rFonts w:ascii="宋体" w:hAnsi="宋体"/>
                <w:szCs w:val="21"/>
              </w:rPr>
            </w:pPr>
            <w:r>
              <w:rPr>
                <w:rFonts w:ascii="宋体" w:hAnsi="宋体"/>
                <w:snapToGrid w:val="0"/>
                <w:kern w:val="0"/>
                <w:szCs w:val="21"/>
              </w:rPr>
              <w:t>修改内容可能影响投标文件编制的，须在投标截止时间15日前发布，发布时间至投标截止时间不足15日的，须相应延后投标截止时间。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2.2.4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投标人对招标文件及澄清修改提出异议的截止时间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投标人对招标文件和澄清修改有异议的，应当在投标截止时间10日前，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w:t>
            </w:r>
            <w:r>
              <w:rPr>
                <w:rFonts w:ascii="宋体" w:hAnsi="宋体"/>
                <w:snapToGrid w:val="0"/>
                <w:kern w:val="0"/>
                <w:szCs w:val="21"/>
              </w:rPr>
              <w:t>以修改的形式</w:t>
            </w:r>
            <w:r>
              <w:rPr>
                <w:rFonts w:hint="eastAsia" w:ascii="宋体" w:hAnsi="宋体"/>
                <w:snapToGrid w:val="0"/>
                <w:kern w:val="0"/>
                <w:szCs w:val="21"/>
              </w:rPr>
              <w:t>于投标截止时间15日前</w:t>
            </w:r>
            <w:r>
              <w:rPr>
                <w:rFonts w:ascii="宋体" w:hAnsi="宋体"/>
                <w:snapToGrid w:val="0"/>
                <w:kern w:val="0"/>
                <w:szCs w:val="21"/>
              </w:rPr>
              <w:t>在</w:t>
            </w:r>
            <w:r>
              <w:rPr>
                <w:rFonts w:hint="eastAsia" w:ascii="宋体" w:hAnsi="宋体"/>
                <w:snapToGrid w:val="0"/>
                <w:kern w:val="0"/>
                <w:szCs w:val="21"/>
                <w:u w:val="single"/>
              </w:rPr>
              <w:t>重庆市公共资源交易网</w:t>
            </w:r>
            <w:r>
              <w:fldChar w:fldCharType="begin"/>
            </w:r>
            <w:r>
              <w:instrText xml:space="preserve"> HYPERLINK "http://www.cpcb.com.cn/Front.aspx/Zydy" </w:instrText>
            </w:r>
            <w:r>
              <w:fldChar w:fldCharType="separate"/>
            </w:r>
            <w:r>
              <w:rPr>
                <w:rFonts w:ascii="宋体" w:hAnsi="宋体"/>
                <w:snapToGrid w:val="0"/>
                <w:kern w:val="0"/>
                <w:szCs w:val="21"/>
              </w:rPr>
              <w:t>澄清修改区</w:t>
            </w:r>
            <w:r>
              <w:rPr>
                <w:rFonts w:ascii="宋体" w:hAnsi="宋体"/>
                <w:snapToGrid w:val="0"/>
                <w:kern w:val="0"/>
                <w:szCs w:val="21"/>
              </w:rPr>
              <w:fldChar w:fldCharType="end"/>
            </w:r>
            <w:r>
              <w:rPr>
                <w:rFonts w:ascii="宋体" w:hAnsi="宋体"/>
                <w:snapToGrid w:val="0"/>
                <w:kern w:val="0"/>
                <w:szCs w:val="21"/>
              </w:rPr>
              <w:t>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3.2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投标报价</w:t>
            </w:r>
          </w:p>
        </w:tc>
        <w:tc>
          <w:tcPr>
            <w:tcW w:w="6490" w:type="dxa"/>
            <w:vAlign w:val="center"/>
          </w:tcPr>
          <w:p>
            <w:pPr>
              <w:pStyle w:val="2"/>
              <w:snapToGrid w:val="0"/>
              <w:spacing w:line="400" w:lineRule="exact"/>
              <w:ind w:firstLine="420" w:firstLineChars="200"/>
              <w:rPr>
                <w:rFonts w:ascii="宋体" w:hAnsi="宋体"/>
                <w:bCs/>
                <w:szCs w:val="21"/>
              </w:rPr>
            </w:pPr>
            <w:r>
              <w:rPr>
                <w:rFonts w:hint="eastAsia" w:ascii="宋体" w:hAnsi="宋体"/>
                <w:bCs/>
                <w:i/>
                <w:iCs/>
                <w:szCs w:val="21"/>
              </w:rPr>
              <w:t>方案一：固定总价报价</w:t>
            </w:r>
          </w:p>
          <w:p>
            <w:pPr>
              <w:pStyle w:val="2"/>
              <w:snapToGrid w:val="0"/>
              <w:spacing w:line="400" w:lineRule="exact"/>
              <w:ind w:firstLine="420" w:firstLineChars="200"/>
              <w:rPr>
                <w:rFonts w:ascii="宋体" w:hAnsi="宋体" w:cs="宋体"/>
              </w:rPr>
            </w:pPr>
            <w:r>
              <w:rPr>
                <w:rFonts w:ascii="宋体" w:hAnsi="宋体"/>
                <w:bCs/>
                <w:szCs w:val="21"/>
              </w:rPr>
              <w:t>1</w:t>
            </w:r>
            <w:r>
              <w:rPr>
                <w:rFonts w:hint="eastAsia" w:ascii="宋体" w:hAnsi="宋体"/>
                <w:bCs/>
                <w:szCs w:val="21"/>
              </w:rPr>
              <w:t>.本项目的总承包费用由设计费、</w:t>
            </w:r>
            <w:r>
              <w:rPr>
                <w:rFonts w:hint="eastAsia" w:ascii="宋体" w:hAnsi="宋体"/>
                <w:kern w:val="0"/>
                <w:szCs w:val="21"/>
              </w:rPr>
              <w:t>□</w:t>
            </w:r>
            <w:r>
              <w:rPr>
                <w:rFonts w:hint="eastAsia" w:ascii="宋体" w:hAnsi="宋体"/>
                <w:bCs/>
                <w:szCs w:val="21"/>
              </w:rPr>
              <w:t>专业设备材料费、建筑安装工程费及其他费用组成，</w:t>
            </w:r>
            <w:r>
              <w:rPr>
                <w:rFonts w:hint="eastAsia" w:ascii="宋体" w:hAnsi="宋体" w:cs="宋体"/>
              </w:rPr>
              <w:t>投标报价应为完成投标人须知前附表1</w:t>
            </w:r>
            <w:r>
              <w:rPr>
                <w:rFonts w:ascii="宋体" w:hAnsi="宋体" w:cs="宋体"/>
              </w:rPr>
              <w:t>.3.1</w:t>
            </w:r>
            <w:r>
              <w:rPr>
                <w:rFonts w:hint="eastAsia" w:ascii="宋体" w:hAnsi="宋体" w:cs="宋体"/>
              </w:rPr>
              <w:t>条规定的招标范围内所有工作以及按合同约定</w:t>
            </w:r>
            <w:r>
              <w:rPr>
                <w:rFonts w:hint="eastAsia" w:ascii="宋体" w:hAnsi="宋体"/>
                <w:bCs/>
                <w:szCs w:val="21"/>
              </w:rPr>
              <w:t>交付招标人项目成果</w:t>
            </w:r>
            <w:r>
              <w:rPr>
                <w:rFonts w:hint="eastAsia" w:ascii="宋体" w:hAnsi="宋体" w:cs="宋体"/>
              </w:rPr>
              <w:t>所需的全部费用（包括施工图设计阶段、施工阶段、缺陷责任期全过程）。</w:t>
            </w:r>
          </w:p>
          <w:p>
            <w:pPr>
              <w:pStyle w:val="2"/>
              <w:snapToGrid w:val="0"/>
              <w:spacing w:line="400" w:lineRule="exact"/>
              <w:ind w:firstLine="420" w:firstLineChars="200"/>
            </w:pPr>
            <w:r>
              <w:rPr>
                <w:rFonts w:hint="eastAsia" w:ascii="宋体" w:hAnsi="宋体"/>
                <w:szCs w:val="21"/>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kern w:val="0"/>
                <w:szCs w:val="21"/>
              </w:rPr>
              <w:t>□</w:t>
            </w:r>
            <w:r>
              <w:rPr>
                <w:rFonts w:hint="eastAsia" w:ascii="宋体" w:hAnsi="宋体"/>
                <w:szCs w:val="21"/>
              </w:rPr>
              <w:t>专业设备材料费、</w:t>
            </w:r>
            <w:r>
              <w:rPr>
                <w:rFonts w:hint="eastAsia" w:ascii="宋体" w:hAnsi="宋体"/>
                <w:bCs/>
                <w:szCs w:val="21"/>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pPr>
              <w:pStyle w:val="2"/>
              <w:snapToGrid w:val="0"/>
              <w:spacing w:line="400" w:lineRule="exact"/>
              <w:ind w:firstLine="420" w:firstLineChars="200"/>
              <w:rPr>
                <w:rFonts w:ascii="宋体" w:hAnsi="宋体"/>
                <w:bCs/>
                <w:szCs w:val="21"/>
              </w:rPr>
            </w:pPr>
            <w:r>
              <w:rPr>
                <w:rFonts w:hint="eastAsia" w:ascii="宋体" w:hAnsi="宋体"/>
                <w:bCs/>
                <w:szCs w:val="21"/>
              </w:rPr>
              <w:t>2.报价方式</w:t>
            </w:r>
          </w:p>
          <w:p>
            <w:pPr>
              <w:pStyle w:val="2"/>
              <w:snapToGrid w:val="0"/>
              <w:spacing w:line="400" w:lineRule="exact"/>
              <w:ind w:firstLine="420" w:firstLineChars="200"/>
              <w:rPr>
                <w:rFonts w:ascii="宋体" w:hAnsi="宋体"/>
                <w:bCs/>
                <w:szCs w:val="21"/>
              </w:rPr>
            </w:pPr>
            <w:r>
              <w:rPr>
                <w:rFonts w:hint="eastAsia" w:ascii="宋体" w:hAnsi="宋体"/>
                <w:kern w:val="0"/>
                <w:szCs w:val="21"/>
              </w:rPr>
              <w:t>本项目采用总价包干的方式，</w:t>
            </w:r>
            <w:r>
              <w:rPr>
                <w:rFonts w:hint="eastAsia" w:ascii="宋体" w:hAnsi="宋体"/>
                <w:bCs/>
                <w:kern w:val="0"/>
                <w:szCs w:val="21"/>
              </w:rPr>
              <w:t>投标人根据项目情况、自身实力、市场行情自行填报投标总价</w:t>
            </w:r>
            <w:r>
              <w:rPr>
                <w:rFonts w:hint="eastAsia" w:ascii="宋体" w:hAnsi="宋体"/>
                <w:kern w:val="0"/>
                <w:szCs w:val="21"/>
              </w:rPr>
              <w:t>，</w:t>
            </w:r>
            <w:r>
              <w:rPr>
                <w:rFonts w:hint="eastAsia" w:ascii="宋体" w:hAnsi="宋体"/>
                <w:bCs/>
                <w:szCs w:val="21"/>
              </w:rPr>
              <w:t>投标报价</w:t>
            </w:r>
            <w:r>
              <w:rPr>
                <w:rFonts w:hint="eastAsia"/>
              </w:rPr>
              <w:t>以元为单位，保留小数点后两位，第三位四舍五入，不足两位的按实际位数保留。</w:t>
            </w:r>
            <w:r>
              <w:rPr>
                <w:rFonts w:hint="eastAsia" w:ascii="宋体" w:hAnsi="宋体"/>
                <w:bCs/>
                <w:szCs w:val="21"/>
              </w:rPr>
              <w:t>在工程总承包全过程中，</w:t>
            </w:r>
            <w:r>
              <w:rPr>
                <w:rFonts w:hint="eastAsia" w:ascii="宋体 ，Arial" w:hAnsi="宋体" w:eastAsia="宋体 ，Arial" w:cs="宋体"/>
                <w:kern w:val="0"/>
                <w:szCs w:val="21"/>
              </w:rPr>
              <w:t>除合同约定可以调整的情形外，总价固定不予调整。</w:t>
            </w:r>
            <w:r>
              <w:rPr>
                <w:rFonts w:hint="eastAsia" w:ascii="宋体" w:hAnsi="宋体"/>
                <w:bCs/>
                <w:szCs w:val="21"/>
              </w:rPr>
              <w:t>投标总报价=设计费投标报价+</w:t>
            </w:r>
            <w:r>
              <w:rPr>
                <w:rFonts w:hint="eastAsia" w:ascii="宋体" w:hAnsi="宋体"/>
                <w:kern w:val="0"/>
                <w:szCs w:val="21"/>
              </w:rPr>
              <w:t>□</w:t>
            </w:r>
            <w:r>
              <w:rPr>
                <w:rFonts w:hint="eastAsia" w:ascii="宋体" w:hAnsi="宋体"/>
                <w:bCs/>
                <w:szCs w:val="21"/>
              </w:rPr>
              <w:t>专业设备材料费投标报价+建筑安装工程费投标报价+其他费用投标报价。</w:t>
            </w:r>
          </w:p>
          <w:p>
            <w:pPr>
              <w:pStyle w:val="2"/>
              <w:snapToGrid w:val="0"/>
              <w:spacing w:line="400" w:lineRule="exact"/>
              <w:ind w:firstLine="420" w:firstLineChars="200"/>
              <w:rPr>
                <w:rFonts w:ascii="宋体" w:hAnsi="宋体"/>
                <w:bCs/>
                <w:szCs w:val="21"/>
              </w:rPr>
            </w:pPr>
            <w:r>
              <w:rPr>
                <w:rFonts w:hint="eastAsia" w:ascii="宋体" w:hAnsi="宋体" w:cs="宋体"/>
                <w:szCs w:val="21"/>
                <w:lang w:val="en-US" w:eastAsia="zh-CN"/>
              </w:rPr>
              <w:t>□</w:t>
            </w:r>
            <w:r>
              <w:rPr>
                <w:rFonts w:hint="eastAsia" w:ascii="宋体" w:hAnsi="宋体"/>
                <w:bCs/>
                <w:szCs w:val="21"/>
              </w:rPr>
              <w:t>3.最高限价</w:t>
            </w:r>
            <w:r>
              <w:rPr>
                <w:rFonts w:hint="eastAsia" w:ascii="宋体" w:hAnsi="宋体" w:cs="宋体"/>
                <w:i/>
                <w:szCs w:val="21"/>
              </w:rPr>
              <w:t>[提示：</w:t>
            </w:r>
            <w:r>
              <w:rPr>
                <w:rFonts w:hint="eastAsia" w:ascii="宋体" w:hAnsi="宋体" w:cs="宋体"/>
                <w:i/>
                <w:szCs w:val="21"/>
                <w:lang w:val="en-US" w:eastAsia="zh-CN"/>
              </w:rPr>
              <w:t>建设工程招标设有最高限价的，应按国家有关规定编制最高限价，并在发布招标文件时公布最高限价及编制依据</w:t>
            </w:r>
            <w:r>
              <w:rPr>
                <w:rFonts w:hint="eastAsia" w:ascii="宋体" w:hAnsi="宋体" w:cs="宋体"/>
                <w:i/>
                <w:szCs w:val="21"/>
              </w:rPr>
              <w:t>；不设最高限价的，编制招标文件时取消本条。]</w:t>
            </w:r>
          </w:p>
          <w:p>
            <w:pPr>
              <w:pStyle w:val="2"/>
              <w:snapToGrid w:val="0"/>
              <w:spacing w:line="400" w:lineRule="exact"/>
              <w:ind w:firstLine="420" w:firstLineChars="200"/>
              <w:rPr>
                <w:rFonts w:ascii="宋体" w:hAnsi="宋体"/>
                <w:szCs w:val="21"/>
              </w:rPr>
            </w:pPr>
            <w:r>
              <w:rPr>
                <w:rFonts w:hint="eastAsia" w:ascii="宋体" w:hAnsi="宋体" w:cs="宋体"/>
                <w:szCs w:val="21"/>
              </w:rPr>
              <w:t>本工程招标将设置投标总报价最高限价，投标总报价最高限价</w:t>
            </w:r>
            <w:r>
              <w:rPr>
                <w:rFonts w:hint="eastAsia" w:ascii="宋体" w:hAnsi="宋体" w:cs="宋体"/>
                <w:szCs w:val="21"/>
                <w:u w:val="single"/>
              </w:rPr>
              <w:t>最迟应于投标截止日15日前</w:t>
            </w:r>
            <w:r>
              <w:rPr>
                <w:rFonts w:hint="eastAsia" w:ascii="宋体" w:hAnsi="宋体" w:cs="宋体"/>
                <w:szCs w:val="21"/>
              </w:rPr>
              <w:t>发布，投标人的投标总报价不得超过投标总报价最高限价，否则由评标委员会作</w:t>
            </w:r>
            <w:r>
              <w:rPr>
                <w:rFonts w:hint="eastAsia" w:ascii="宋体" w:hAnsi="宋体"/>
                <w:szCs w:val="21"/>
              </w:rPr>
              <w:t>否决投标处理。</w:t>
            </w:r>
          </w:p>
          <w:p>
            <w:pPr>
              <w:pStyle w:val="2"/>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本工程招标将设置设计费、</w:t>
            </w:r>
            <w:r>
              <w:rPr>
                <w:rFonts w:hint="eastAsia" w:ascii="宋体" w:hAnsi="宋体"/>
                <w:kern w:val="0"/>
                <w:szCs w:val="21"/>
              </w:rPr>
              <w:t>□</w:t>
            </w:r>
            <w:r>
              <w:rPr>
                <w:rFonts w:hint="eastAsia" w:ascii="宋体" w:hAnsi="宋体"/>
                <w:bCs/>
                <w:szCs w:val="21"/>
              </w:rPr>
              <w:t>专业设备材料费、</w:t>
            </w:r>
            <w:r>
              <w:rPr>
                <w:rFonts w:hint="eastAsia" w:ascii="宋体" w:hAnsi="宋体" w:cs="宋体"/>
                <w:szCs w:val="21"/>
              </w:rPr>
              <w:t>建筑安装工程费、其他费用分项报价最高限价，全部分项报价最高限价</w:t>
            </w:r>
            <w:r>
              <w:rPr>
                <w:rFonts w:hint="eastAsia" w:ascii="宋体" w:hAnsi="宋体" w:cs="宋体"/>
                <w:szCs w:val="21"/>
                <w:u w:val="single"/>
              </w:rPr>
              <w:t>最迟应于投标截止日15日前</w:t>
            </w:r>
            <w:r>
              <w:rPr>
                <w:rFonts w:hint="eastAsia" w:ascii="宋体" w:hAnsi="宋体" w:cs="宋体"/>
                <w:szCs w:val="21"/>
              </w:rPr>
              <w:t>发布，投标人的各分项报价不得超过其最高限价，否则由评标委员会作否决投标处理。</w:t>
            </w:r>
          </w:p>
          <w:p>
            <w:pPr>
              <w:pStyle w:val="2"/>
              <w:snapToGrid w:val="0"/>
              <w:spacing w:line="400" w:lineRule="exact"/>
              <w:ind w:firstLine="420" w:firstLineChars="200"/>
              <w:rPr>
                <w:rFonts w:ascii="宋体" w:hAnsi="宋体" w:cs="宋体"/>
                <w:szCs w:val="21"/>
              </w:rPr>
            </w:pPr>
            <w:r>
              <w:rPr>
                <w:rFonts w:hint="eastAsia" w:ascii="宋体" w:hAnsi="宋体" w:cs="宋体"/>
                <w:szCs w:val="21"/>
              </w:rPr>
              <w:t>投标总报价最高限价为</w:t>
            </w:r>
            <w:r>
              <w:rPr>
                <w:rFonts w:hint="eastAsia" w:ascii="宋体" w:hAnsi="宋体" w:cs="宋体"/>
                <w:szCs w:val="21"/>
                <w:u w:val="single"/>
              </w:rPr>
              <w:t xml:space="preserve">       </w:t>
            </w:r>
            <w:r>
              <w:rPr>
                <w:rFonts w:hint="eastAsia" w:ascii="宋体" w:hAnsi="宋体" w:cs="宋体"/>
                <w:szCs w:val="21"/>
              </w:rPr>
              <w:t xml:space="preserve">元。 </w:t>
            </w:r>
          </w:p>
          <w:p>
            <w:pPr>
              <w:pStyle w:val="2"/>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w:t>
            </w:r>
            <w:r>
              <w:rPr>
                <w:rFonts w:ascii="宋体" w:hAnsi="宋体" w:cs="宋体"/>
                <w:szCs w:val="21"/>
              </w:rPr>
              <w:t>1</w:t>
            </w:r>
            <w:r>
              <w:rPr>
                <w:rFonts w:hint="eastAsia" w:ascii="宋体" w:hAnsi="宋体" w:cs="宋体"/>
                <w:szCs w:val="21"/>
              </w:rPr>
              <w:t>）设计费报价最高限价为</w:t>
            </w:r>
            <w:r>
              <w:rPr>
                <w:rFonts w:hint="eastAsia" w:ascii="宋体" w:hAnsi="宋体" w:cs="宋体"/>
                <w:szCs w:val="21"/>
                <w:u w:val="single"/>
              </w:rPr>
              <w:t xml:space="preserve">        </w:t>
            </w:r>
            <w:r>
              <w:rPr>
                <w:rFonts w:hint="eastAsia" w:ascii="宋体" w:hAnsi="宋体" w:cs="宋体"/>
                <w:szCs w:val="21"/>
              </w:rPr>
              <w:t>元；</w:t>
            </w:r>
          </w:p>
          <w:p>
            <w:pPr>
              <w:pStyle w:val="2"/>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（2）专业设备材料费报价最高限价为</w:t>
            </w:r>
            <w:r>
              <w:rPr>
                <w:rFonts w:hint="eastAsia" w:ascii="宋体" w:hAnsi="宋体" w:cs="宋体"/>
                <w:szCs w:val="21"/>
                <w:u w:val="single"/>
              </w:rPr>
              <w:t xml:space="preserve">        </w:t>
            </w:r>
            <w:r>
              <w:rPr>
                <w:rFonts w:hint="eastAsia" w:ascii="宋体" w:hAnsi="宋体" w:cs="宋体"/>
                <w:szCs w:val="21"/>
              </w:rPr>
              <w:t>元；</w:t>
            </w:r>
          </w:p>
          <w:p>
            <w:pPr>
              <w:pStyle w:val="2"/>
              <w:snapToGrid w:val="0"/>
              <w:spacing w:line="400" w:lineRule="exact"/>
              <w:ind w:firstLine="420" w:firstLineChars="200"/>
              <w:rPr>
                <w:rFonts w:ascii="宋体" w:hAnsi="宋体" w:cs="宋体"/>
                <w:szCs w:val="21"/>
              </w:rPr>
            </w:pPr>
            <w:r>
              <w:rPr>
                <w:rFonts w:hint="eastAsia" w:ascii="宋体" w:hAnsi="宋体"/>
                <w:kern w:val="0"/>
                <w:szCs w:val="21"/>
              </w:rPr>
              <w:t>□（3）建筑安装工程费报价</w:t>
            </w:r>
            <w:r>
              <w:rPr>
                <w:rFonts w:hint="eastAsia" w:ascii="宋体" w:hAnsi="宋体" w:cs="宋体"/>
                <w:szCs w:val="21"/>
              </w:rPr>
              <w:t>最高限价为</w:t>
            </w:r>
            <w:r>
              <w:rPr>
                <w:rFonts w:hint="eastAsia" w:ascii="宋体" w:hAnsi="宋体" w:cs="宋体"/>
                <w:szCs w:val="21"/>
                <w:u w:val="single"/>
              </w:rPr>
              <w:t xml:space="preserve">         </w:t>
            </w:r>
            <w:r>
              <w:rPr>
                <w:rFonts w:hint="eastAsia" w:ascii="宋体" w:hAnsi="宋体" w:cs="宋体"/>
                <w:szCs w:val="21"/>
              </w:rPr>
              <w:t>元；</w:t>
            </w:r>
          </w:p>
          <w:p>
            <w:pPr>
              <w:pStyle w:val="2"/>
              <w:snapToGrid w:val="0"/>
              <w:spacing w:line="400" w:lineRule="exact"/>
              <w:ind w:firstLine="420" w:firstLineChars="200"/>
              <w:rPr>
                <w:rFonts w:ascii="宋体" w:hAnsi="宋体" w:cs="宋体"/>
                <w:szCs w:val="21"/>
              </w:rPr>
            </w:pPr>
            <w:r>
              <w:rPr>
                <w:rFonts w:hint="eastAsia" w:ascii="宋体" w:hAnsi="宋体"/>
                <w:kern w:val="0"/>
                <w:szCs w:val="21"/>
              </w:rPr>
              <w:t>□（4）其他费用</w:t>
            </w:r>
            <w:r>
              <w:rPr>
                <w:rFonts w:hint="eastAsia" w:ascii="宋体" w:hAnsi="宋体" w:cs="宋体"/>
                <w:szCs w:val="21"/>
              </w:rPr>
              <w:t>最高限价为</w:t>
            </w:r>
            <w:r>
              <w:rPr>
                <w:rFonts w:hint="eastAsia" w:ascii="宋体" w:hAnsi="宋体" w:cs="宋体"/>
                <w:szCs w:val="21"/>
                <w:u w:val="single"/>
              </w:rPr>
              <w:t xml:space="preserve">         </w:t>
            </w:r>
            <w:r>
              <w:rPr>
                <w:rFonts w:hint="eastAsia" w:ascii="宋体" w:hAnsi="宋体" w:cs="宋体"/>
                <w:szCs w:val="21"/>
              </w:rPr>
              <w:t>元。</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szCs w:val="21"/>
                <w:lang w:val="en-US" w:eastAsia="zh-CN"/>
              </w:rPr>
              <w:t>□4.异常低价警戒线要求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tabs>
                <w:tab w:val="left" w:pos="546"/>
                <w:tab w:val="left" w:pos="711"/>
              </w:tabs>
              <w:snapToGrid w:val="0"/>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snapToGrid w:val="0"/>
              <w:spacing w:line="400" w:lineRule="exact"/>
              <w:ind w:firstLine="420" w:firstLineChars="200"/>
              <w:rPr>
                <w:rFonts w:hint="eastAsia" w:ascii="宋体" w:hAnsi="宋体" w:cs="宋体"/>
                <w:i/>
                <w:kern w:val="0"/>
                <w:szCs w:val="21"/>
                <w:lang w:bidi="ar"/>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pStyle w:val="2"/>
              <w:snapToGrid w:val="0"/>
              <w:spacing w:line="400" w:lineRule="exact"/>
              <w:ind w:firstLine="420" w:firstLineChars="200"/>
              <w:rPr>
                <w:rFonts w:ascii="宋体" w:hAnsi="宋体"/>
                <w:bCs/>
                <w:szCs w:val="21"/>
              </w:rPr>
            </w:pPr>
            <w:r>
              <w:rPr>
                <w:rFonts w:hint="eastAsia" w:ascii="宋体" w:hAnsi="宋体"/>
                <w:bCs/>
                <w:i/>
                <w:iCs/>
                <w:szCs w:val="21"/>
              </w:rPr>
              <w:t>方案二：固定单价/费率报价</w:t>
            </w:r>
          </w:p>
          <w:p>
            <w:pPr>
              <w:pStyle w:val="2"/>
              <w:snapToGrid w:val="0"/>
              <w:spacing w:line="400" w:lineRule="exact"/>
              <w:ind w:firstLine="420" w:firstLineChars="200"/>
              <w:rPr>
                <w:rFonts w:ascii="宋体" w:hAnsi="宋体" w:cs="宋体"/>
              </w:rPr>
            </w:pPr>
            <w:r>
              <w:rPr>
                <w:rFonts w:ascii="宋体" w:hAnsi="宋体"/>
                <w:bCs/>
                <w:szCs w:val="21"/>
              </w:rPr>
              <w:t>1</w:t>
            </w:r>
            <w:r>
              <w:rPr>
                <w:rFonts w:hint="eastAsia" w:ascii="宋体" w:hAnsi="宋体"/>
                <w:bCs/>
                <w:szCs w:val="21"/>
              </w:rPr>
              <w:t>.本项目的总承包费用由设计费、□专业设备材料费、建筑安装工程费及其他费用组成，</w:t>
            </w:r>
            <w:r>
              <w:rPr>
                <w:rFonts w:hint="eastAsia" w:ascii="宋体" w:hAnsi="宋体" w:cs="宋体"/>
              </w:rPr>
              <w:t>投标报价应为完成投标人须知前附表1</w:t>
            </w:r>
            <w:r>
              <w:rPr>
                <w:rFonts w:ascii="宋体" w:hAnsi="宋体" w:cs="宋体"/>
              </w:rPr>
              <w:t>.3.1</w:t>
            </w:r>
            <w:r>
              <w:rPr>
                <w:rFonts w:hint="eastAsia" w:ascii="宋体" w:hAnsi="宋体" w:cs="宋体"/>
              </w:rPr>
              <w:t>条规定的招标范围内所有工作以及按合同约定</w:t>
            </w:r>
            <w:r>
              <w:rPr>
                <w:rFonts w:hint="eastAsia" w:ascii="宋体" w:hAnsi="宋体"/>
                <w:bCs/>
                <w:szCs w:val="21"/>
              </w:rPr>
              <w:t>交付招标人项目成果</w:t>
            </w:r>
            <w:r>
              <w:rPr>
                <w:rFonts w:hint="eastAsia" w:ascii="宋体" w:hAnsi="宋体" w:cs="宋体"/>
              </w:rPr>
              <w:t>所需的全部费用（包括施工图设计阶段、施工阶段、缺陷责任期全过程）。</w:t>
            </w:r>
          </w:p>
          <w:p>
            <w:pPr>
              <w:pStyle w:val="2"/>
              <w:snapToGrid w:val="0"/>
              <w:spacing w:line="400" w:lineRule="exact"/>
              <w:ind w:firstLine="420" w:firstLineChars="200"/>
              <w:rPr>
                <w:rFonts w:ascii="宋体" w:hAnsi="宋体"/>
                <w:bCs/>
                <w:szCs w:val="21"/>
              </w:rPr>
            </w:pPr>
            <w:r>
              <w:rPr>
                <w:rFonts w:hint="eastAsia" w:ascii="宋体" w:hAnsi="宋体"/>
                <w:szCs w:val="21"/>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kern w:val="0"/>
                <w:szCs w:val="21"/>
              </w:rPr>
              <w:t>□</w:t>
            </w:r>
            <w:r>
              <w:rPr>
                <w:rFonts w:hint="eastAsia" w:ascii="宋体" w:hAnsi="宋体"/>
                <w:szCs w:val="21"/>
              </w:rPr>
              <w:t>专业设备材料费、</w:t>
            </w:r>
            <w:r>
              <w:rPr>
                <w:rFonts w:hint="eastAsia" w:ascii="宋体" w:hAnsi="宋体"/>
                <w:bCs/>
                <w:szCs w:val="21"/>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pPr>
              <w:pStyle w:val="2"/>
              <w:snapToGrid w:val="0"/>
              <w:spacing w:line="400" w:lineRule="exact"/>
              <w:ind w:firstLine="420" w:firstLineChars="200"/>
              <w:rPr>
                <w:rFonts w:ascii="宋体" w:hAnsi="宋体"/>
                <w:bCs/>
                <w:szCs w:val="21"/>
              </w:rPr>
            </w:pPr>
            <w:r>
              <w:rPr>
                <w:rFonts w:hint="eastAsia" w:ascii="宋体" w:hAnsi="宋体"/>
                <w:bCs/>
                <w:szCs w:val="21"/>
              </w:rPr>
              <w:t>2.报价方式</w:t>
            </w:r>
          </w:p>
          <w:p>
            <w:pPr>
              <w:pStyle w:val="2"/>
              <w:snapToGrid w:val="0"/>
              <w:spacing w:line="400" w:lineRule="exact"/>
              <w:ind w:firstLine="420" w:firstLineChars="200"/>
            </w:pPr>
            <w:r>
              <w:rPr>
                <w:rFonts w:hint="eastAsia" w:ascii="宋体" w:hAnsi="宋体"/>
                <w:kern w:val="0"/>
                <w:szCs w:val="21"/>
              </w:rPr>
              <w:t>本项目采用固定单价/费率包干的方式，</w:t>
            </w:r>
            <w:r>
              <w:rPr>
                <w:rFonts w:hint="eastAsia" w:ascii="宋体" w:hAnsi="宋体"/>
                <w:bCs/>
                <w:kern w:val="0"/>
                <w:szCs w:val="21"/>
              </w:rPr>
              <w:t>投标人根据项目情况、自身实力、市场行情分别填报</w:t>
            </w:r>
            <w:r>
              <w:rPr>
                <w:rFonts w:hint="eastAsia" w:ascii="宋体" w:hAnsi="宋体"/>
                <w:bCs/>
                <w:szCs w:val="21"/>
              </w:rPr>
              <w:t>设计费投标报价、建筑安装工程费投标报价、其他费用投标报价。投标报价保留两位小数，小数点后第三位四舍五入。在工程总承包全过程中，</w:t>
            </w:r>
            <w:r>
              <w:rPr>
                <w:rFonts w:hint="eastAsia" w:ascii="宋体 ，Arial" w:hAnsi="宋体" w:eastAsia="宋体 ，Arial" w:cs="宋体"/>
                <w:kern w:val="0"/>
                <w:szCs w:val="21"/>
              </w:rPr>
              <w:t>除合同约定可以调整的情形外，</w:t>
            </w:r>
            <w:r>
              <w:rPr>
                <w:rFonts w:hint="eastAsia" w:ascii="宋体" w:hAnsi="宋体"/>
                <w:kern w:val="0"/>
                <w:szCs w:val="21"/>
              </w:rPr>
              <w:t>固定单价/费率</w:t>
            </w:r>
            <w:r>
              <w:rPr>
                <w:rFonts w:hint="eastAsia" w:ascii="宋体 ，Arial" w:hAnsi="宋体" w:eastAsia="宋体 ，Arial" w:cs="宋体"/>
                <w:kern w:val="0"/>
                <w:szCs w:val="21"/>
              </w:rPr>
              <w:t>不予调整。</w:t>
            </w:r>
            <w:r>
              <w:rPr>
                <w:rFonts w:hint="eastAsia" w:ascii="宋体" w:hAnsi="宋体"/>
                <w:bCs/>
                <w:szCs w:val="21"/>
              </w:rPr>
              <w:t>投标总报价=设计费投标报价+□专业设备材料费投标报价+建筑安装工程费投标报价+其他费用投标报价。</w:t>
            </w:r>
          </w:p>
          <w:p>
            <w:pPr>
              <w:pStyle w:val="2"/>
              <w:snapToGrid w:val="0"/>
              <w:spacing w:line="400" w:lineRule="exact"/>
              <w:ind w:firstLine="420" w:firstLineChars="200"/>
              <w:rPr>
                <w:rFonts w:ascii="宋体" w:hAnsi="宋体"/>
              </w:rPr>
            </w:pPr>
            <w:r>
              <w:rPr>
                <w:rFonts w:hint="eastAsia" w:ascii="宋体" w:hAnsi="宋体"/>
              </w:rPr>
              <w:t>2.</w:t>
            </w:r>
            <w:r>
              <w:rPr>
                <w:rFonts w:ascii="宋体" w:hAnsi="宋体"/>
              </w:rPr>
              <w:t>1</w:t>
            </w:r>
            <w:r>
              <w:rPr>
                <w:rFonts w:hint="eastAsia" w:ascii="宋体" w:hAnsi="宋体"/>
              </w:rPr>
              <w:t>设计费</w:t>
            </w:r>
          </w:p>
          <w:p>
            <w:pPr>
              <w:pStyle w:val="2"/>
              <w:snapToGrid w:val="0"/>
              <w:spacing w:line="400" w:lineRule="exact"/>
              <w:ind w:firstLine="420" w:firstLineChars="200"/>
            </w:pPr>
            <w:r>
              <w:rPr>
                <w:rFonts w:hint="eastAsia" w:ascii="宋体" w:hAnsi="宋体"/>
                <w:szCs w:val="21"/>
              </w:rPr>
              <w:t>设计费投标报价应为完成招标文件所确定的委托设计的范围和设计业务所需的全部费用（包含施工图设计阶段、施工阶段、缺陷责任全阶段）。具体包括为实施和完成本项目全部设计工作所需的管理费、资料费、劳务费、技术服务费、办公家具、办公设施、通讯工具、通讯费用、交通工具、编制BIM模型、保险、税费、利润及协调费等实施工程设计所产生的一切费用。</w:t>
            </w:r>
          </w:p>
          <w:p>
            <w:pPr>
              <w:pStyle w:val="2"/>
              <w:snapToGrid w:val="0"/>
              <w:spacing w:line="400" w:lineRule="exact"/>
              <w:ind w:firstLine="420" w:firstLineChars="200"/>
              <w:rPr>
                <w:rFonts w:ascii="宋体" w:hAnsi="宋体"/>
                <w:szCs w:val="21"/>
              </w:rPr>
            </w:pPr>
            <w:r>
              <w:rPr>
                <w:rFonts w:hint="eastAsia" w:ascii="宋体" w:hAnsi="宋体"/>
                <w:szCs w:val="21"/>
              </w:rPr>
              <w:t>□暂定设计费投标报价=估算建筑安装工程费</w:t>
            </w:r>
            <w:r>
              <w:rPr>
                <w:rFonts w:hint="eastAsia" w:ascii="宋体" w:hAnsi="宋体"/>
                <w:szCs w:val="21"/>
                <w:u w:val="single"/>
              </w:rPr>
              <w:t xml:space="preserve">   </w:t>
            </w:r>
            <w:r>
              <w:rPr>
                <w:rFonts w:hint="eastAsia" w:ascii="宋体" w:hAnsi="宋体"/>
                <w:szCs w:val="21"/>
              </w:rPr>
              <w:t>元×固定费率报价。</w:t>
            </w:r>
            <w:r>
              <w:rPr>
                <w:rFonts w:hint="eastAsia" w:ascii="宋体" w:hAnsi="宋体"/>
                <w:i/>
                <w:szCs w:val="21"/>
              </w:rPr>
              <w:t>[提示:</w:t>
            </w:r>
            <w:r>
              <w:rPr>
                <w:rFonts w:hint="eastAsia" w:ascii="宋体" w:hAnsi="宋体"/>
                <w:szCs w:val="21"/>
              </w:rPr>
              <w:t xml:space="preserve"> 招标人应在编制招标文件时列出估算建筑安装工程费具体金额，作为计算暂定设计费投标报价及其最高限价的依据</w:t>
            </w:r>
            <w:r>
              <w:rPr>
                <w:rFonts w:hint="eastAsia" w:ascii="宋体" w:hAnsi="宋体"/>
                <w:i/>
                <w:iCs/>
                <w:szCs w:val="21"/>
              </w:rPr>
              <w:t>。</w:t>
            </w:r>
            <w:r>
              <w:rPr>
                <w:rFonts w:hint="eastAsia" w:ascii="宋体" w:hAnsi="宋体"/>
                <w:szCs w:val="21"/>
              </w:rPr>
              <w:t>暂定设计费投标报价最高限价=估算建筑安装工程费×固定费率最高限价</w:t>
            </w:r>
            <w:r>
              <w:rPr>
                <w:rFonts w:hint="eastAsia" w:ascii="宋体" w:hAnsi="宋体"/>
                <w:i/>
                <w:szCs w:val="21"/>
              </w:rPr>
              <w:t>]</w:t>
            </w:r>
          </w:p>
          <w:p>
            <w:pPr>
              <w:pStyle w:val="2"/>
              <w:snapToGrid w:val="0"/>
              <w:spacing w:line="400" w:lineRule="exact"/>
              <w:ind w:firstLine="420" w:firstLineChars="200"/>
              <w:rPr>
                <w:rFonts w:hint="eastAsia" w:ascii="宋体" w:hAnsi="宋体"/>
                <w:szCs w:val="21"/>
              </w:rPr>
            </w:pPr>
            <w:r>
              <w:rPr>
                <w:rFonts w:hint="eastAsia"/>
                <w:lang w:eastAsia="zh-CN"/>
              </w:rPr>
              <w:t>设计费</w:t>
            </w:r>
            <w:r>
              <w:rPr>
                <w:rFonts w:hint="eastAsia"/>
              </w:rPr>
              <w:t>固定费率报价以百分号为单位，百分号前保留两位小数，第三位四舍五入，不足两位的按实际位数保留。</w:t>
            </w:r>
          </w:p>
          <w:p>
            <w:pPr>
              <w:pStyle w:val="2"/>
              <w:snapToGrid w:val="0"/>
              <w:spacing w:line="400" w:lineRule="exact"/>
              <w:ind w:firstLine="420" w:firstLineChars="200"/>
              <w:rPr>
                <w:rFonts w:ascii="宋体" w:hAnsi="宋体"/>
                <w:szCs w:val="21"/>
              </w:rPr>
            </w:pPr>
            <w:r>
              <w:rPr>
                <w:rFonts w:hint="eastAsia" w:ascii="宋体" w:hAnsi="宋体"/>
                <w:szCs w:val="21"/>
              </w:rPr>
              <w:t>□暂定设计费投标报价=</w:t>
            </w:r>
            <w:r>
              <w:rPr>
                <w:rFonts w:hint="eastAsia" w:ascii="宋体" w:hAnsi="宋体"/>
                <w:bCs/>
                <w:szCs w:val="21"/>
              </w:rPr>
              <w:t>∑</w:t>
            </w:r>
            <w:r>
              <w:rPr>
                <w:rFonts w:hint="eastAsia" w:ascii="宋体" w:hAnsi="宋体"/>
                <w:szCs w:val="21"/>
              </w:rPr>
              <w:t>暂定工作量×</w:t>
            </w:r>
            <w:r>
              <w:rPr>
                <w:rFonts w:hint="eastAsia" w:ascii="宋体" w:hAnsi="宋体"/>
                <w:bCs/>
                <w:szCs w:val="21"/>
              </w:rPr>
              <w:t>固定综合单价报价</w:t>
            </w:r>
            <w:r>
              <w:rPr>
                <w:rFonts w:hint="eastAsia" w:ascii="宋体" w:hAnsi="宋体"/>
                <w:szCs w:val="21"/>
              </w:rPr>
              <w:t>。</w:t>
            </w:r>
            <w:r>
              <w:rPr>
                <w:rFonts w:hint="eastAsia" w:ascii="宋体" w:hAnsi="宋体"/>
                <w:i/>
                <w:szCs w:val="21"/>
              </w:rPr>
              <w:t>[提示:</w:t>
            </w:r>
            <w:r>
              <w:rPr>
                <w:rFonts w:hint="eastAsia" w:ascii="宋体" w:hAnsi="宋体"/>
                <w:szCs w:val="21"/>
              </w:rPr>
              <w:t xml:space="preserve"> </w:t>
            </w:r>
            <w:r>
              <w:rPr>
                <w:rFonts w:hint="eastAsia" w:ascii="宋体" w:hAnsi="宋体"/>
                <w:i/>
                <w:iCs/>
                <w:szCs w:val="21"/>
              </w:rPr>
              <w:t>招标人应在编制招标文件时列出暂定工作量具体数值，作为计算暂定设计费投标报价及其最高限价的依据。暂定设计费投标报价最高限价=</w:t>
            </w:r>
            <w:r>
              <w:rPr>
                <w:rFonts w:hint="eastAsia" w:ascii="宋体" w:hAnsi="宋体"/>
                <w:bCs/>
                <w:i/>
                <w:iCs/>
                <w:szCs w:val="21"/>
              </w:rPr>
              <w:t>∑</w:t>
            </w:r>
            <w:r>
              <w:rPr>
                <w:rFonts w:hint="eastAsia" w:ascii="宋体" w:hAnsi="宋体"/>
                <w:i/>
                <w:iCs/>
                <w:szCs w:val="21"/>
              </w:rPr>
              <w:t>暂定工作量×</w:t>
            </w:r>
            <w:r>
              <w:rPr>
                <w:rFonts w:hint="eastAsia" w:ascii="宋体" w:hAnsi="宋体"/>
                <w:bCs/>
                <w:i/>
                <w:iCs/>
                <w:szCs w:val="21"/>
              </w:rPr>
              <w:t>固定综合单价</w:t>
            </w:r>
            <w:r>
              <w:rPr>
                <w:rFonts w:hint="eastAsia" w:ascii="宋体" w:hAnsi="宋体"/>
                <w:i/>
                <w:iCs/>
                <w:szCs w:val="21"/>
              </w:rPr>
              <w:t>最高限价</w:t>
            </w:r>
            <w:r>
              <w:rPr>
                <w:rFonts w:hint="eastAsia" w:ascii="宋体" w:hAnsi="宋体"/>
                <w:i/>
                <w:iCs/>
                <w:szCs w:val="21"/>
                <w:lang w:eastAsia="zh-CN"/>
              </w:rPr>
              <w:t>。</w:t>
            </w:r>
            <w:r>
              <w:rPr>
                <w:rFonts w:hint="eastAsia"/>
                <w:i/>
                <w:iCs/>
              </w:rPr>
              <w:t>固定</w:t>
            </w:r>
            <w:r>
              <w:rPr>
                <w:rFonts w:hint="eastAsia"/>
                <w:i/>
                <w:iCs/>
                <w:lang w:eastAsia="zh-CN"/>
              </w:rPr>
              <w:t>综合</w:t>
            </w:r>
            <w:r>
              <w:rPr>
                <w:rFonts w:hint="eastAsia"/>
                <w:i/>
                <w:iCs/>
              </w:rPr>
              <w:t>单价报价的单位由招标人根据项目具体情况在《投标函》中进行设置。</w:t>
            </w:r>
            <w:r>
              <w:rPr>
                <w:rFonts w:hint="eastAsia" w:ascii="宋体" w:hAnsi="宋体"/>
                <w:i/>
                <w:szCs w:val="21"/>
              </w:rPr>
              <w:t>]</w:t>
            </w:r>
          </w:p>
          <w:p>
            <w:pPr>
              <w:pStyle w:val="2"/>
              <w:snapToGrid w:val="0"/>
              <w:spacing w:line="400" w:lineRule="exact"/>
              <w:ind w:firstLine="420" w:firstLineChars="200"/>
              <w:rPr>
                <w:rFonts w:hint="eastAsia" w:ascii="宋体" w:hAnsi="宋体"/>
                <w:szCs w:val="21"/>
              </w:rPr>
            </w:pPr>
            <w:r>
              <w:rPr>
                <w:rFonts w:hint="eastAsia"/>
                <w:lang w:eastAsia="zh-CN"/>
              </w:rPr>
              <w:t>设计费</w:t>
            </w:r>
            <w:r>
              <w:rPr>
                <w:rFonts w:hint="eastAsia"/>
              </w:rPr>
              <w:t>固定</w:t>
            </w:r>
            <w:r>
              <w:rPr>
                <w:rFonts w:hint="eastAsia"/>
                <w:lang w:eastAsia="zh-CN"/>
              </w:rPr>
              <w:t>综合</w:t>
            </w:r>
            <w:r>
              <w:rPr>
                <w:rFonts w:hint="eastAsia"/>
              </w:rPr>
              <w:t>单价报价的数值保留两位小数，第三位四舍五入，不足两位的按实际位数保留。</w:t>
            </w:r>
          </w:p>
          <w:p>
            <w:pPr>
              <w:pStyle w:val="2"/>
              <w:snapToGrid w:val="0"/>
              <w:spacing w:line="400" w:lineRule="exact"/>
              <w:ind w:firstLine="420" w:firstLineChars="200"/>
              <w:rPr>
                <w:rFonts w:ascii="宋体" w:hAnsi="宋体"/>
                <w:szCs w:val="21"/>
              </w:rPr>
            </w:pPr>
            <w:r>
              <w:rPr>
                <w:rFonts w:hint="eastAsia" w:ascii="宋体" w:hAnsi="宋体"/>
                <w:szCs w:val="21"/>
              </w:rPr>
              <w:t>□其他报价方式：</w:t>
            </w:r>
            <w:r>
              <w:rPr>
                <w:rFonts w:hint="eastAsia" w:ascii="宋体" w:hAnsi="宋体"/>
                <w:szCs w:val="21"/>
                <w:u w:val="single"/>
              </w:rPr>
              <w:t xml:space="preserve"> （固定总价或设计费用清单等） </w:t>
            </w:r>
            <w:r>
              <w:rPr>
                <w:rFonts w:hint="eastAsia" w:ascii="宋体" w:hAnsi="宋体"/>
                <w:szCs w:val="21"/>
              </w:rPr>
              <w:t>。</w:t>
            </w:r>
          </w:p>
          <w:p>
            <w:pPr>
              <w:pStyle w:val="2"/>
              <w:snapToGrid w:val="0"/>
              <w:spacing w:line="400" w:lineRule="exact"/>
              <w:ind w:firstLine="420" w:firstLineChars="200"/>
              <w:rPr>
                <w:rFonts w:ascii="宋体" w:hAnsi="宋体"/>
                <w:bCs/>
                <w:szCs w:val="21"/>
              </w:rPr>
            </w:pPr>
            <w:r>
              <w:rPr>
                <w:rFonts w:hint="eastAsia" w:ascii="宋体" w:hAnsi="宋体"/>
                <w:szCs w:val="21"/>
              </w:rPr>
              <w:t>□</w:t>
            </w:r>
            <w:r>
              <w:rPr>
                <w:rFonts w:hint="eastAsia" w:ascii="宋体" w:hAnsi="宋体"/>
                <w:bCs/>
                <w:szCs w:val="21"/>
              </w:rPr>
              <w:t>2.2专业设备材料费</w:t>
            </w:r>
          </w:p>
          <w:p>
            <w:pPr>
              <w:pStyle w:val="2"/>
              <w:snapToGrid w:val="0"/>
              <w:spacing w:line="400" w:lineRule="exact"/>
              <w:ind w:firstLine="420" w:firstLineChars="200"/>
              <w:rPr>
                <w:szCs w:val="21"/>
              </w:rPr>
            </w:pPr>
            <w:r>
              <w:rPr>
                <w:rFonts w:hint="eastAsia" w:ascii="宋体" w:hAnsi="宋体"/>
                <w:bCs/>
                <w:szCs w:val="21"/>
              </w:rPr>
              <w:t>专业设备材料费</w:t>
            </w:r>
            <w:r>
              <w:rPr>
                <w:rFonts w:hint="eastAsia" w:ascii="宋体" w:hAnsi="宋体"/>
                <w:szCs w:val="21"/>
              </w:rPr>
              <w:t>报价应为完成满足</w:t>
            </w:r>
            <w:r>
              <w:rPr>
                <w:rFonts w:hint="eastAsia" w:ascii="宋体" w:hAnsi="宋体"/>
                <w:bCs/>
                <w:szCs w:val="21"/>
              </w:rPr>
              <w:t>招标文件要求的专业设备材料的</w:t>
            </w:r>
            <w:r>
              <w:rPr>
                <w:rFonts w:hint="eastAsia"/>
                <w:szCs w:val="21"/>
              </w:rPr>
              <w:t>供货（含备品、备件、专用工器具等）、装配（如有）、检验检测、包装、运输和保险、装卸、安全保证、安装、调试（如有）、税费、质保期服务（含维修、维护、保养、人员培训）以及其它相关伴随服务等所需的全部费用。</w:t>
            </w:r>
          </w:p>
          <w:p>
            <w:pPr>
              <w:pStyle w:val="2"/>
              <w:snapToGrid w:val="0"/>
              <w:spacing w:line="400" w:lineRule="exact"/>
              <w:ind w:firstLine="420" w:firstLineChars="200"/>
              <w:rPr>
                <w:rFonts w:ascii="宋体" w:hAnsi="宋体"/>
                <w:szCs w:val="21"/>
              </w:rPr>
            </w:pPr>
            <w:r>
              <w:rPr>
                <w:rFonts w:hint="eastAsia" w:ascii="宋体" w:hAnsi="宋体"/>
                <w:szCs w:val="21"/>
              </w:rPr>
              <w:t>□暂定</w:t>
            </w:r>
            <w:r>
              <w:rPr>
                <w:rFonts w:hint="eastAsia" w:ascii="宋体" w:hAnsi="宋体"/>
                <w:bCs/>
                <w:szCs w:val="21"/>
              </w:rPr>
              <w:t>专业设备材料费</w:t>
            </w:r>
            <w:r>
              <w:rPr>
                <w:rFonts w:hint="eastAsia" w:ascii="宋体" w:hAnsi="宋体"/>
                <w:szCs w:val="21"/>
              </w:rPr>
              <w:t>投标报价=</w:t>
            </w:r>
            <w:r>
              <w:rPr>
                <w:rFonts w:hint="eastAsia" w:ascii="宋体" w:hAnsi="宋体"/>
                <w:bCs/>
                <w:szCs w:val="21"/>
              </w:rPr>
              <w:t>∑</w:t>
            </w:r>
            <w:r>
              <w:rPr>
                <w:rFonts w:hint="eastAsia" w:ascii="宋体" w:hAnsi="宋体"/>
                <w:szCs w:val="21"/>
              </w:rPr>
              <w:t>暂定采购量×</w:t>
            </w:r>
            <w:r>
              <w:rPr>
                <w:rFonts w:hint="eastAsia" w:ascii="宋体" w:hAnsi="宋体"/>
                <w:bCs/>
                <w:szCs w:val="21"/>
              </w:rPr>
              <w:t>固定综合单价报价</w:t>
            </w:r>
            <w:r>
              <w:rPr>
                <w:rFonts w:hint="eastAsia" w:ascii="宋体" w:hAnsi="宋体"/>
                <w:szCs w:val="21"/>
              </w:rPr>
              <w:t>。</w:t>
            </w:r>
            <w:r>
              <w:rPr>
                <w:rFonts w:hint="eastAsia" w:ascii="宋体" w:hAnsi="宋体"/>
                <w:i/>
                <w:szCs w:val="21"/>
              </w:rPr>
              <w:t>[提示:</w:t>
            </w:r>
            <w:r>
              <w:rPr>
                <w:rFonts w:hint="eastAsia" w:ascii="宋体" w:hAnsi="宋体"/>
                <w:i/>
                <w:iCs/>
                <w:szCs w:val="21"/>
              </w:rPr>
              <w:t xml:space="preserve"> 招标人应在编制招标文件时列出暂定采购量具体数值，作为计算暂定</w:t>
            </w:r>
            <w:r>
              <w:rPr>
                <w:rFonts w:hint="eastAsia" w:ascii="宋体" w:hAnsi="宋体"/>
                <w:bCs/>
                <w:i/>
                <w:iCs/>
                <w:szCs w:val="21"/>
              </w:rPr>
              <w:t>专业设备材料费</w:t>
            </w:r>
            <w:r>
              <w:rPr>
                <w:rFonts w:hint="eastAsia" w:ascii="宋体" w:hAnsi="宋体"/>
                <w:i/>
                <w:iCs/>
                <w:szCs w:val="21"/>
              </w:rPr>
              <w:t>投标报价及其最高限价的依据。暂定</w:t>
            </w:r>
            <w:r>
              <w:rPr>
                <w:rFonts w:hint="eastAsia" w:ascii="宋体" w:hAnsi="宋体"/>
                <w:bCs/>
                <w:i/>
                <w:iCs/>
                <w:szCs w:val="21"/>
              </w:rPr>
              <w:t>专业设备材料费</w:t>
            </w:r>
            <w:r>
              <w:rPr>
                <w:rFonts w:hint="eastAsia" w:ascii="宋体" w:hAnsi="宋体"/>
                <w:i/>
                <w:iCs/>
                <w:szCs w:val="21"/>
              </w:rPr>
              <w:t>投标报价最高限价=</w:t>
            </w:r>
            <w:r>
              <w:rPr>
                <w:rFonts w:hint="eastAsia" w:ascii="宋体" w:hAnsi="宋体"/>
                <w:bCs/>
                <w:i/>
                <w:iCs/>
                <w:szCs w:val="21"/>
              </w:rPr>
              <w:t>∑</w:t>
            </w:r>
            <w:r>
              <w:rPr>
                <w:rFonts w:hint="eastAsia" w:ascii="宋体" w:hAnsi="宋体"/>
                <w:i/>
                <w:iCs/>
                <w:szCs w:val="21"/>
              </w:rPr>
              <w:t>暂定采购量×</w:t>
            </w:r>
            <w:r>
              <w:rPr>
                <w:rFonts w:hint="eastAsia" w:ascii="宋体" w:hAnsi="宋体"/>
                <w:bCs/>
                <w:i/>
                <w:iCs/>
                <w:szCs w:val="21"/>
              </w:rPr>
              <w:t>固定综合单价</w:t>
            </w:r>
            <w:r>
              <w:rPr>
                <w:rFonts w:hint="eastAsia" w:ascii="宋体" w:hAnsi="宋体"/>
                <w:i/>
                <w:iCs/>
                <w:szCs w:val="21"/>
              </w:rPr>
              <w:t>最高限价</w:t>
            </w:r>
            <w:r>
              <w:rPr>
                <w:rFonts w:hint="eastAsia" w:ascii="宋体" w:hAnsi="宋体"/>
                <w:i/>
                <w:szCs w:val="21"/>
              </w:rPr>
              <w:t>]</w:t>
            </w:r>
          </w:p>
          <w:p>
            <w:pPr>
              <w:pStyle w:val="2"/>
              <w:snapToGrid w:val="0"/>
              <w:spacing w:line="400" w:lineRule="exact"/>
              <w:ind w:firstLine="420" w:firstLineChars="200"/>
              <w:rPr>
                <w:rFonts w:hint="eastAsia" w:ascii="宋体" w:hAnsi="宋体"/>
                <w:szCs w:val="21"/>
              </w:rPr>
            </w:pPr>
            <w:r>
              <w:rPr>
                <w:rFonts w:hint="eastAsia"/>
                <w:lang w:eastAsia="zh-CN"/>
              </w:rPr>
              <w:t>专业设备材料费</w:t>
            </w:r>
            <w:r>
              <w:rPr>
                <w:rFonts w:hint="eastAsia"/>
              </w:rPr>
              <w:t>固定</w:t>
            </w:r>
            <w:r>
              <w:rPr>
                <w:rFonts w:hint="eastAsia"/>
                <w:lang w:eastAsia="zh-CN"/>
              </w:rPr>
              <w:t>综合</w:t>
            </w:r>
            <w:r>
              <w:rPr>
                <w:rFonts w:hint="eastAsia"/>
              </w:rPr>
              <w:t>单价报价保留两位小数，第三位四舍五入，不足两位的按实际位数保留。</w:t>
            </w:r>
          </w:p>
          <w:p>
            <w:pPr>
              <w:pStyle w:val="2"/>
              <w:snapToGrid w:val="0"/>
              <w:spacing w:line="400" w:lineRule="exact"/>
              <w:ind w:firstLine="420" w:firstLineChars="200"/>
              <w:rPr>
                <w:rFonts w:ascii="宋体" w:hAnsi="宋体"/>
                <w:szCs w:val="21"/>
              </w:rPr>
            </w:pPr>
            <w:r>
              <w:rPr>
                <w:rFonts w:hint="eastAsia" w:ascii="宋体" w:hAnsi="宋体"/>
                <w:szCs w:val="21"/>
              </w:rPr>
              <w:t>□其他报价方式：</w:t>
            </w:r>
            <w:r>
              <w:rPr>
                <w:rFonts w:hint="eastAsia" w:ascii="宋体" w:hAnsi="宋体"/>
                <w:szCs w:val="21"/>
                <w:u w:val="single"/>
              </w:rPr>
              <w:t xml:space="preserve"> （固定总价等） </w:t>
            </w:r>
            <w:r>
              <w:rPr>
                <w:rFonts w:hint="eastAsia" w:ascii="宋体" w:hAnsi="宋体"/>
                <w:szCs w:val="21"/>
              </w:rPr>
              <w:t>。</w:t>
            </w:r>
          </w:p>
          <w:p>
            <w:pPr>
              <w:pStyle w:val="2"/>
              <w:snapToGrid w:val="0"/>
              <w:spacing w:line="400" w:lineRule="exact"/>
              <w:ind w:firstLine="420" w:firstLineChars="200"/>
              <w:rPr>
                <w:rFonts w:ascii="宋体" w:hAnsi="宋体"/>
                <w:bCs/>
                <w:szCs w:val="21"/>
              </w:rPr>
            </w:pPr>
            <w:r>
              <w:rPr>
                <w:rFonts w:hint="eastAsia" w:ascii="宋体" w:hAnsi="宋体"/>
                <w:bCs/>
                <w:szCs w:val="21"/>
              </w:rPr>
              <w:t>2.3建筑安装工程费</w:t>
            </w:r>
          </w:p>
          <w:p>
            <w:pPr>
              <w:pStyle w:val="2"/>
              <w:snapToGrid w:val="0"/>
              <w:spacing w:line="400" w:lineRule="exact"/>
              <w:ind w:firstLine="420" w:firstLineChars="200"/>
            </w:pPr>
            <w:r>
              <w:rPr>
                <w:rFonts w:hint="eastAsia" w:ascii="宋体" w:hAnsi="宋体"/>
                <w:bCs/>
                <w:szCs w:val="21"/>
              </w:rPr>
              <w:t>建筑安装工程费投标报价包括完成招标范围内工程项目的人工费、建筑设备材料费、施工机具使用费、企业管理费、利润、一般风险费、措施项目费（含临时设施费、检验检测费、系统集成费、安全文明施工费）、其他项目费、规费、税金、招标文件及合同约定的相关费用、政策性文件规定的所有费用。</w:t>
            </w:r>
          </w:p>
          <w:p>
            <w:pPr>
              <w:pStyle w:val="2"/>
              <w:snapToGrid w:val="0"/>
              <w:spacing w:line="400" w:lineRule="exact"/>
              <w:ind w:firstLine="420" w:firstLineChars="200"/>
              <w:rPr>
                <w:rFonts w:ascii="宋体" w:hAnsi="宋体"/>
                <w:bCs/>
                <w:szCs w:val="21"/>
              </w:rPr>
            </w:pPr>
            <w:r>
              <w:rPr>
                <w:rFonts w:hint="eastAsia" w:ascii="宋体" w:hAnsi="宋体"/>
                <w:szCs w:val="21"/>
              </w:rPr>
              <w:t>□暂定</w:t>
            </w:r>
            <w:r>
              <w:rPr>
                <w:rFonts w:hint="eastAsia" w:ascii="宋体" w:hAnsi="宋体"/>
                <w:bCs/>
                <w:szCs w:val="21"/>
              </w:rPr>
              <w:t>建筑安装工程费投标报价=估算建筑安装工程费</w:t>
            </w:r>
            <w:r>
              <w:rPr>
                <w:rFonts w:hint="eastAsia" w:ascii="宋体" w:hAnsi="宋体"/>
                <w:bCs/>
                <w:szCs w:val="21"/>
                <w:u w:val="single"/>
              </w:rPr>
              <w:t xml:space="preserve">   </w:t>
            </w:r>
            <w:r>
              <w:rPr>
                <w:rFonts w:hint="eastAsia" w:ascii="宋体" w:hAnsi="宋体"/>
                <w:bCs/>
                <w:szCs w:val="21"/>
              </w:rPr>
              <w:t>元×固定费率报价。</w:t>
            </w:r>
            <w:r>
              <w:rPr>
                <w:rFonts w:hint="eastAsia" w:ascii="宋体" w:hAnsi="宋体"/>
                <w:bCs/>
                <w:i/>
                <w:szCs w:val="21"/>
              </w:rPr>
              <w:t>[提示:</w:t>
            </w:r>
            <w:r>
              <w:rPr>
                <w:rFonts w:hint="eastAsia" w:ascii="宋体" w:hAnsi="宋体"/>
                <w:bCs/>
                <w:szCs w:val="21"/>
              </w:rPr>
              <w:t xml:space="preserve"> </w:t>
            </w:r>
            <w:r>
              <w:rPr>
                <w:rFonts w:hint="eastAsia" w:ascii="宋体" w:hAnsi="宋体"/>
                <w:bCs/>
                <w:i/>
                <w:iCs/>
                <w:szCs w:val="21"/>
              </w:rPr>
              <w:t>招标人应在编制招标文件时列出估算建筑安装工程费具体金额，作为计算暂定建筑安装工程费投标报价及其最高限价的依据。暂定建筑安装工程费投标报价最高限价=估算建筑安装工程费×固定费率最高限价</w:t>
            </w:r>
            <w:r>
              <w:rPr>
                <w:rFonts w:hint="eastAsia" w:ascii="宋体" w:hAnsi="宋体"/>
                <w:bCs/>
                <w:i/>
                <w:szCs w:val="21"/>
              </w:rPr>
              <w:t>]</w:t>
            </w:r>
          </w:p>
          <w:p>
            <w:pPr>
              <w:pStyle w:val="2"/>
              <w:snapToGrid w:val="0"/>
              <w:spacing w:line="400" w:lineRule="exact"/>
              <w:ind w:firstLine="420" w:firstLineChars="200"/>
              <w:rPr>
                <w:rFonts w:hint="eastAsia" w:ascii="宋体" w:hAnsi="宋体"/>
                <w:szCs w:val="21"/>
              </w:rPr>
            </w:pPr>
            <w:r>
              <w:rPr>
                <w:rFonts w:hint="eastAsia"/>
                <w:lang w:eastAsia="zh-CN"/>
              </w:rPr>
              <w:t>建筑安装工程费</w:t>
            </w:r>
            <w:r>
              <w:rPr>
                <w:rFonts w:hint="eastAsia"/>
              </w:rPr>
              <w:t>固定费率报价以百分号为单位，百分号前保留两位小数，第三位四舍五入，不足两位的按实际位数保留。</w:t>
            </w:r>
          </w:p>
          <w:p>
            <w:pPr>
              <w:pStyle w:val="2"/>
              <w:snapToGrid w:val="0"/>
              <w:spacing w:line="400" w:lineRule="exact"/>
              <w:ind w:firstLine="420" w:firstLineChars="200"/>
              <w:rPr>
                <w:rFonts w:ascii="宋体" w:hAnsi="宋体"/>
                <w:bCs/>
                <w:szCs w:val="21"/>
              </w:rPr>
            </w:pPr>
            <w:r>
              <w:rPr>
                <w:rFonts w:hint="eastAsia" w:ascii="宋体" w:hAnsi="宋体"/>
                <w:szCs w:val="21"/>
              </w:rPr>
              <w:t>□</w:t>
            </w:r>
            <w:r>
              <w:rPr>
                <w:rFonts w:hint="eastAsia" w:ascii="宋体" w:hAnsi="宋体"/>
                <w:bCs/>
                <w:szCs w:val="21"/>
              </w:rPr>
              <w:t>其他报价方式：</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w:t>
            </w:r>
          </w:p>
          <w:p>
            <w:pPr>
              <w:pStyle w:val="2"/>
              <w:snapToGrid w:val="0"/>
              <w:spacing w:line="400" w:lineRule="exact"/>
              <w:ind w:firstLine="420" w:firstLineChars="200"/>
              <w:rPr>
                <w:rFonts w:hint="eastAsia" w:ascii="宋体" w:hAnsi="宋体" w:eastAsia="宋体"/>
                <w:bCs/>
                <w:szCs w:val="21"/>
                <w:lang w:eastAsia="zh-CN"/>
              </w:rPr>
            </w:pPr>
            <w:r>
              <w:rPr>
                <w:rFonts w:hint="eastAsia" w:ascii="宋体" w:hAnsi="宋体"/>
                <w:szCs w:val="21"/>
              </w:rPr>
              <w:t>建筑安装工程费计价原则</w:t>
            </w:r>
            <w:r>
              <w:rPr>
                <w:rFonts w:hint="eastAsia" w:ascii="宋体" w:hAnsi="宋体"/>
                <w:szCs w:val="21"/>
                <w:lang w:eastAsia="zh-CN"/>
              </w:rPr>
              <w:t>：</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szCs w:val="21"/>
              </w:rPr>
              <w:t>（1）</w:t>
            </w:r>
            <w:r>
              <w:rPr>
                <w:rFonts w:hint="eastAsia" w:ascii="宋体" w:hAnsi="宋体" w:cs="宋体"/>
                <w:szCs w:val="21"/>
              </w:rPr>
              <w:t>使用</w:t>
            </w:r>
            <w:r>
              <w:rPr>
                <w:rFonts w:hint="eastAsia" w:ascii="宋体" w:hAnsi="宋体" w:cs="宋体"/>
                <w:szCs w:val="21"/>
                <w:lang w:val="en-US" w:eastAsia="zh-CN"/>
              </w:rPr>
              <w:t>财政资金或</w:t>
            </w:r>
            <w:r>
              <w:rPr>
                <w:rFonts w:hint="eastAsia" w:ascii="宋体" w:hAnsi="宋体" w:cs="宋体"/>
                <w:szCs w:val="21"/>
              </w:rPr>
              <w:t>国有资金投资的建设工程，</w:t>
            </w:r>
            <w:r>
              <w:rPr>
                <w:rFonts w:hint="eastAsia" w:ascii="宋体" w:hAnsi="宋体" w:cs="宋体"/>
                <w:szCs w:val="21"/>
                <w:lang w:val="en-US" w:eastAsia="zh-CN"/>
              </w:rPr>
              <w:t>应按国家及行业工程量计算标准编制工程量清单</w:t>
            </w:r>
            <w:r>
              <w:rPr>
                <w:rFonts w:hint="eastAsia" w:ascii="宋体" w:hAnsi="宋体" w:cs="宋体"/>
                <w:szCs w:val="21"/>
                <w:lang w:eastAsia="zh-CN"/>
              </w:rPr>
              <w:t>，</w:t>
            </w:r>
            <w:r>
              <w:rPr>
                <w:rFonts w:hint="eastAsia" w:ascii="宋体" w:hAnsi="宋体" w:cs="宋体"/>
                <w:szCs w:val="21"/>
                <w:lang w:val="en-US" w:eastAsia="zh-CN"/>
              </w:rPr>
              <w:t>采用工程量清单计价</w:t>
            </w:r>
            <w:r>
              <w:rPr>
                <w:rFonts w:hint="eastAsia" w:ascii="宋体" w:hAnsi="宋体" w:cs="宋体"/>
                <w:szCs w:val="21"/>
              </w:rPr>
              <w:t>。</w:t>
            </w:r>
          </w:p>
          <w:p>
            <w:pPr>
              <w:pStyle w:val="2"/>
              <w:tabs>
                <w:tab w:val="left" w:pos="546"/>
                <w:tab w:val="left" w:pos="711"/>
              </w:tabs>
              <w:snapToGrid w:val="0"/>
              <w:spacing w:after="0" w:line="400" w:lineRule="exact"/>
              <w:ind w:left="0" w:leftChars="0" w:firstLine="420" w:firstLineChars="200"/>
              <w:rPr>
                <w:rFonts w:ascii="宋体" w:hAnsi="宋体" w:cs="宋体"/>
                <w:szCs w:val="21"/>
              </w:rPr>
            </w:pPr>
            <w:r>
              <w:rPr>
                <w:rFonts w:hint="eastAsia" w:ascii="宋体" w:hAnsi="宋体" w:cs="宋体"/>
                <w:szCs w:val="21"/>
              </w:rPr>
              <w:t>（2）以</w:t>
            </w:r>
            <w:r>
              <w:rPr>
                <w:rFonts w:hint="eastAsia" w:ascii="宋体" w:hAnsi="宋体" w:cs="宋体"/>
                <w:szCs w:val="21"/>
                <w:lang w:val="en-US" w:eastAsia="zh-CN"/>
              </w:rPr>
              <w:t>住房城乡建设行业主管部门相关规定</w:t>
            </w:r>
            <w:r>
              <w:rPr>
                <w:rFonts w:hint="eastAsia" w:ascii="宋体" w:hAnsi="宋体"/>
                <w:bCs/>
                <w:szCs w:val="21"/>
              </w:rPr>
              <w:t>为依据。</w:t>
            </w:r>
          </w:p>
          <w:p>
            <w:pPr>
              <w:pStyle w:val="2"/>
              <w:tabs>
                <w:tab w:val="left" w:pos="546"/>
                <w:tab w:val="left" w:pos="711"/>
              </w:tabs>
              <w:snapToGrid w:val="0"/>
              <w:spacing w:after="0" w:line="400" w:lineRule="exact"/>
              <w:ind w:left="0" w:leftChars="0" w:firstLine="420" w:firstLineChars="200"/>
              <w:rPr>
                <w:rFonts w:ascii="宋体" w:hAnsi="宋体"/>
                <w:bCs/>
                <w:szCs w:val="21"/>
              </w:rPr>
            </w:pPr>
            <w:r>
              <w:rPr>
                <w:rFonts w:hint="eastAsia" w:ascii="宋体" w:hAnsi="宋体"/>
                <w:bCs/>
                <w:szCs w:val="21"/>
              </w:rPr>
              <w:t>（3）</w:t>
            </w:r>
            <w:r>
              <w:rPr>
                <w:rFonts w:hint="eastAsia" w:ascii="宋体" w:hAnsi="宋体"/>
                <w:szCs w:val="21"/>
              </w:rPr>
              <w:t>本工程所需</w:t>
            </w:r>
            <w:r>
              <w:rPr>
                <w:rFonts w:hint="eastAsia" w:ascii="宋体" w:hAnsi="宋体"/>
                <w:szCs w:val="21"/>
                <w:lang w:val="en-US" w:eastAsia="zh-CN"/>
              </w:rPr>
              <w:t>人工、</w:t>
            </w:r>
            <w:r>
              <w:rPr>
                <w:rFonts w:hint="eastAsia" w:ascii="宋体" w:hAnsi="宋体"/>
                <w:szCs w:val="21"/>
              </w:rPr>
              <w:t>材料（含设备）价格</w:t>
            </w:r>
            <w:r>
              <w:rPr>
                <w:rFonts w:hint="eastAsia" w:ascii="宋体" w:hAnsi="宋体"/>
                <w:szCs w:val="21"/>
                <w:lang w:val="en-US" w:eastAsia="zh-CN"/>
              </w:rPr>
              <w:t>按照</w:t>
            </w:r>
            <w:r>
              <w:rPr>
                <w:rFonts w:hint="eastAsia" w:ascii="宋体" w:hAnsi="宋体" w:cs="宋体"/>
                <w:szCs w:val="21"/>
              </w:rPr>
              <w:t>工程造价管理机构发布的工程造价信息（造价信息引用时限为招标公告发布日期前一期）</w:t>
            </w:r>
            <w:r>
              <w:rPr>
                <w:rFonts w:hint="eastAsia" w:ascii="宋体" w:hAnsi="宋体" w:cs="宋体"/>
                <w:szCs w:val="21"/>
                <w:lang w:val="en-US" w:eastAsia="zh-CN"/>
              </w:rPr>
              <w:t>执行。</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4</w:t>
            </w:r>
            <w:r>
              <w:rPr>
                <w:rFonts w:hint="eastAsia" w:ascii="宋体" w:hAnsi="宋体" w:cs="宋体"/>
                <w:szCs w:val="21"/>
              </w:rPr>
              <w:t>）</w:t>
            </w:r>
            <w:r>
              <w:rPr>
                <w:rFonts w:ascii="宋体" w:hAnsi="宋体" w:cs="宋体"/>
                <w:szCs w:val="21"/>
              </w:rPr>
              <w:t>安全文明施工费：</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a.根据</w:t>
            </w:r>
            <w:r>
              <w:rPr>
                <w:rFonts w:hint="eastAsia" w:ascii="宋体" w:hAnsi="宋体" w:cs="宋体"/>
                <w:szCs w:val="21"/>
                <w:lang w:val="en-US" w:eastAsia="zh-CN"/>
              </w:rPr>
              <w:t>住房城乡建设行业主管部门相关</w:t>
            </w:r>
            <w:r>
              <w:rPr>
                <w:rFonts w:hint="eastAsia" w:ascii="宋体" w:hAnsi="宋体" w:cs="宋体"/>
                <w:szCs w:val="21"/>
              </w:rPr>
              <w:t>规定，安全文明施工费由安全施工费、文明施工费、环境保护费及临时设施费组成。</w:t>
            </w:r>
          </w:p>
          <w:p>
            <w:pPr>
              <w:pStyle w:val="2"/>
              <w:tabs>
                <w:tab w:val="left" w:pos="546"/>
                <w:tab w:val="left" w:pos="711"/>
              </w:tabs>
              <w:snapToGrid w:val="0"/>
              <w:spacing w:line="400" w:lineRule="exact"/>
              <w:ind w:firstLineChars="200"/>
              <w:rPr>
                <w:sz w:val="21"/>
                <w:szCs w:val="21"/>
              </w:rPr>
            </w:pPr>
            <w:r>
              <w:rPr>
                <w:rFonts w:hint="eastAsia"/>
                <w:sz w:val="21"/>
                <w:szCs w:val="21"/>
              </w:rPr>
              <w:t>b.</w:t>
            </w:r>
            <w:r>
              <w:rPr>
                <w:sz w:val="21"/>
                <w:szCs w:val="21"/>
              </w:rPr>
              <w:t>本工程安全文明施工费根据</w:t>
            </w:r>
            <w:r>
              <w:rPr>
                <w:rFonts w:hint="default" w:ascii="宋体" w:hAnsi="宋体" w:cs="宋体"/>
                <w:sz w:val="21"/>
                <w:szCs w:val="21"/>
                <w:lang w:val="en-US" w:eastAsia="zh-CN"/>
              </w:rPr>
              <w:t>住房城乡建设行业主管部门</w:t>
            </w:r>
            <w:r>
              <w:rPr>
                <w:sz w:val="21"/>
                <w:szCs w:val="21"/>
              </w:rPr>
              <w:t>相关规定和费用标准单列计算。</w:t>
            </w:r>
          </w:p>
          <w:p>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w:t>
            </w:r>
            <w:r>
              <w:rPr>
                <w:rFonts w:hint="eastAsia" w:ascii="宋体" w:hAnsi="宋体" w:cs="宋体"/>
                <w:szCs w:val="21"/>
                <w:lang w:val="en-US" w:eastAsia="zh-CN"/>
              </w:rPr>
              <w:t>5</w:t>
            </w:r>
            <w:r>
              <w:rPr>
                <w:rFonts w:hint="eastAsia" w:ascii="宋体" w:hAnsi="宋体" w:cs="宋体"/>
                <w:szCs w:val="21"/>
              </w:rPr>
              <w:t>）本项目建筑安装材料价格风险按照</w:t>
            </w:r>
            <w:r>
              <w:rPr>
                <w:rFonts w:hint="eastAsia" w:ascii="宋体" w:hAnsi="宋体" w:cs="宋体"/>
                <w:szCs w:val="21"/>
                <w:lang w:val="en-US" w:eastAsia="zh-CN"/>
              </w:rPr>
              <w:t>住房城乡建设行业主管部门相关规定</w:t>
            </w:r>
            <w:r>
              <w:rPr>
                <w:rFonts w:hint="eastAsia" w:ascii="宋体" w:hAnsi="宋体" w:cs="宋体"/>
                <w:szCs w:val="21"/>
              </w:rPr>
              <w:t>执行。本项目主要材料及设备价格风险内容、范围及调整方法为：</w:t>
            </w:r>
            <w:r>
              <w:rPr>
                <w:rFonts w:hint="eastAsia" w:ascii="宋体" w:hAnsi="宋体" w:cs="宋体"/>
                <w:szCs w:val="21"/>
                <w:u w:val="single"/>
              </w:rPr>
              <w:t xml:space="preserve">        </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6</w:t>
            </w:r>
            <w:r>
              <w:rPr>
                <w:rFonts w:hint="eastAsia" w:ascii="宋体" w:hAnsi="宋体" w:cs="宋体"/>
                <w:szCs w:val="21"/>
              </w:rPr>
              <w:t>）本项目所采用技术、工艺和产品等</w:t>
            </w:r>
            <w:r>
              <w:rPr>
                <w:rFonts w:hint="eastAsia" w:ascii="宋体" w:hAnsi="宋体" w:cs="宋体"/>
                <w:szCs w:val="21"/>
                <w:lang w:val="en-US" w:eastAsia="zh-CN"/>
              </w:rPr>
              <w:t>按照住房城乡建设行业主管部门相关规定执行</w:t>
            </w:r>
            <w:r>
              <w:rPr>
                <w:rFonts w:hint="eastAsia" w:ascii="宋体" w:hAnsi="宋体" w:cs="宋体"/>
                <w:szCs w:val="21"/>
              </w:rPr>
              <w:t>。</w:t>
            </w:r>
          </w:p>
          <w:p>
            <w:pPr>
              <w:pStyle w:val="2"/>
              <w:tabs>
                <w:tab w:val="left" w:pos="546"/>
                <w:tab w:val="left" w:pos="711"/>
              </w:tabs>
              <w:snapToGrid w:val="0"/>
              <w:spacing w:after="0" w:line="400" w:lineRule="exact"/>
              <w:ind w:left="0" w:leftChars="0"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7</w:t>
            </w:r>
            <w:r>
              <w:rPr>
                <w:rFonts w:hint="eastAsia" w:ascii="宋体" w:hAnsi="宋体" w:cs="宋体"/>
                <w:szCs w:val="21"/>
              </w:rPr>
              <w:t>）增值税计税方法由招标人依据国家税法规定选择：</w:t>
            </w:r>
          </w:p>
          <w:p>
            <w:pPr>
              <w:pStyle w:val="2"/>
              <w:tabs>
                <w:tab w:val="left" w:pos="546"/>
                <w:tab w:val="left" w:pos="711"/>
              </w:tabs>
              <w:snapToGrid w:val="0"/>
              <w:spacing w:after="0" w:line="400" w:lineRule="exact"/>
              <w:ind w:left="0" w:leftChars="0" w:firstLine="420" w:firstLineChars="200"/>
              <w:rPr>
                <w:rFonts w:ascii="宋体" w:hAnsi="宋体" w:cs="宋体"/>
                <w:szCs w:val="21"/>
              </w:rPr>
            </w:pPr>
            <w:r>
              <w:rPr>
                <w:rFonts w:hint="eastAsia" w:ascii="宋体" w:hAnsi="宋体" w:cs="宋体"/>
                <w:szCs w:val="21"/>
              </w:rPr>
              <w:t>□一般计税法</w:t>
            </w:r>
          </w:p>
          <w:p>
            <w:pPr>
              <w:pStyle w:val="2"/>
              <w:tabs>
                <w:tab w:val="left" w:pos="546"/>
                <w:tab w:val="left" w:pos="711"/>
              </w:tabs>
              <w:snapToGrid w:val="0"/>
              <w:spacing w:after="0" w:line="400" w:lineRule="exact"/>
              <w:ind w:left="0" w:leftChars="0" w:firstLine="420" w:firstLineChars="200"/>
              <w:rPr>
                <w:rFonts w:ascii="宋体" w:hAnsi="宋体" w:cs="宋体"/>
                <w:szCs w:val="21"/>
              </w:rPr>
            </w:pPr>
            <w:r>
              <w:rPr>
                <w:rFonts w:hint="eastAsia" w:ascii="宋体" w:hAnsi="宋体" w:cs="宋体"/>
                <w:szCs w:val="21"/>
              </w:rPr>
              <w:t>□简易计税法</w:t>
            </w:r>
          </w:p>
          <w:p>
            <w:pPr>
              <w:pStyle w:val="2"/>
              <w:tabs>
                <w:tab w:val="left" w:pos="546"/>
                <w:tab w:val="left" w:pos="711"/>
              </w:tabs>
              <w:snapToGrid w:val="0"/>
              <w:spacing w:after="0" w:line="400" w:lineRule="exact"/>
              <w:ind w:left="0" w:leftChars="0" w:firstLine="420" w:firstLineChars="200"/>
              <w:rPr>
                <w:rFonts w:ascii="宋体" w:hAnsi="宋体" w:cs="宋体"/>
                <w:szCs w:val="21"/>
              </w:rPr>
            </w:pPr>
            <w:r>
              <w:rPr>
                <w:rFonts w:hint="eastAsia" w:ascii="宋体" w:hAnsi="宋体" w:cs="宋体"/>
                <w:i/>
                <w:szCs w:val="21"/>
              </w:rPr>
              <w:t>[提示：招标人在编制招标文件时增值税计算方法选其一。]</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8</w:t>
            </w:r>
            <w:r>
              <w:rPr>
                <w:rFonts w:hint="eastAsia" w:ascii="宋体" w:hAnsi="宋体" w:cs="宋体"/>
                <w:szCs w:val="21"/>
              </w:rPr>
              <w:t>）本工程主体结构若需混凝土，则必须使用商品混凝土，不得自建搅拌站。</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9</w:t>
            </w:r>
            <w:r>
              <w:rPr>
                <w:rFonts w:hint="eastAsia" w:ascii="宋体" w:hAnsi="宋体" w:cs="宋体"/>
                <w:szCs w:val="21"/>
              </w:rPr>
              <w:t>）本工程存在跨越既有城市道路的桥梁施工，要求采用无支架施工技术，其技术方案和投标报价按照无支架施工编、报。</w:t>
            </w:r>
          </w:p>
          <w:p>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[提示：存在跨越既有城市道路的桥梁施工项目招标须使用此条]</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bCs/>
                <w:szCs w:val="21"/>
              </w:rPr>
              <w:t>2.4</w:t>
            </w:r>
            <w:r>
              <w:rPr>
                <w:rFonts w:hint="eastAsia" w:ascii="宋体" w:hAnsi="宋体"/>
                <w:szCs w:val="21"/>
              </w:rPr>
              <w:t>其他费用</w:t>
            </w:r>
            <w:r>
              <w:rPr>
                <w:rFonts w:hint="eastAsia" w:ascii="宋体" w:hAnsi="宋体"/>
              </w:rPr>
              <w:t>投标报价</w:t>
            </w:r>
            <w:r>
              <w:rPr>
                <w:rFonts w:hint="eastAsia" w:ascii="宋体" w:hAnsi="宋体"/>
                <w:szCs w:val="21"/>
              </w:rPr>
              <w:t>（如有）</w:t>
            </w:r>
          </w:p>
          <w:p>
            <w:pPr>
              <w:pStyle w:val="2"/>
              <w:snapToGrid w:val="0"/>
              <w:spacing w:line="400" w:lineRule="exact"/>
              <w:ind w:firstLine="420" w:firstLineChars="200"/>
              <w:rPr>
                <w:rFonts w:ascii="宋体" w:hAnsi="宋体"/>
                <w:bCs/>
                <w:szCs w:val="21"/>
              </w:rPr>
            </w:pPr>
            <w:r>
              <w:rPr>
                <w:rFonts w:hint="eastAsia"/>
                <w:u w:val="single"/>
              </w:rPr>
              <w:t xml:space="preserve">                                          </w:t>
            </w:r>
            <w:r>
              <w:rPr>
                <w:rFonts w:hint="eastAsia"/>
              </w:rPr>
              <w:t>。</w:t>
            </w:r>
          </w:p>
          <w:p>
            <w:pPr>
              <w:pStyle w:val="2"/>
              <w:snapToGrid w:val="0"/>
              <w:spacing w:line="400" w:lineRule="exact"/>
              <w:ind w:firstLine="420" w:firstLineChars="200"/>
              <w:rPr>
                <w:rFonts w:ascii="宋体" w:hAnsi="宋体"/>
                <w:bCs/>
                <w:szCs w:val="21"/>
              </w:rPr>
            </w:pPr>
            <w:r>
              <w:rPr>
                <w:rFonts w:hint="eastAsia" w:ascii="宋体" w:hAnsi="宋体" w:cs="宋体"/>
                <w:szCs w:val="21"/>
                <w:lang w:val="en-US" w:eastAsia="zh-CN"/>
              </w:rPr>
              <w:t>□</w:t>
            </w:r>
            <w:r>
              <w:rPr>
                <w:rFonts w:hint="eastAsia" w:ascii="宋体" w:hAnsi="宋体"/>
                <w:bCs/>
                <w:szCs w:val="21"/>
              </w:rPr>
              <w:t>3.最高限价</w:t>
            </w:r>
            <w:r>
              <w:rPr>
                <w:rFonts w:hint="eastAsia" w:ascii="宋体" w:hAnsi="宋体" w:cs="宋体"/>
                <w:i/>
                <w:szCs w:val="21"/>
              </w:rPr>
              <w:t>[提示：</w:t>
            </w:r>
            <w:r>
              <w:rPr>
                <w:rFonts w:hint="eastAsia" w:ascii="宋体" w:hAnsi="宋体" w:cs="宋体"/>
                <w:i/>
                <w:szCs w:val="21"/>
                <w:lang w:val="en-US" w:eastAsia="zh-CN"/>
              </w:rPr>
              <w:t>建设工程招标设有最高限价的，应按国家有关规定编制最高限价，并在发布招标文件时公布最高限价及编制依据</w:t>
            </w:r>
            <w:r>
              <w:rPr>
                <w:rFonts w:hint="eastAsia" w:ascii="宋体" w:hAnsi="宋体" w:cs="宋体"/>
                <w:i/>
                <w:szCs w:val="21"/>
              </w:rPr>
              <w:t>；不设最高限价的，编制招标文件时取消本条。]</w:t>
            </w:r>
          </w:p>
          <w:p>
            <w:pPr>
              <w:pStyle w:val="2"/>
              <w:snapToGrid w:val="0"/>
              <w:spacing w:line="400" w:lineRule="exact"/>
              <w:ind w:firstLine="420" w:firstLineChars="200"/>
              <w:rPr>
                <w:rFonts w:ascii="宋体" w:hAnsi="宋体"/>
                <w:szCs w:val="21"/>
              </w:rPr>
            </w:pPr>
            <w:r>
              <w:rPr>
                <w:rFonts w:hint="eastAsia" w:ascii="宋体" w:hAnsi="宋体" w:cs="宋体"/>
                <w:szCs w:val="21"/>
              </w:rPr>
              <w:t>本工程招标将设置投标总报价最高限价，投标总报价最高限价</w:t>
            </w:r>
            <w:r>
              <w:rPr>
                <w:rFonts w:hint="eastAsia" w:ascii="宋体" w:hAnsi="宋体" w:cs="宋体"/>
                <w:szCs w:val="21"/>
                <w:u w:val="single"/>
              </w:rPr>
              <w:t>最迟应于投标截止日15日前</w:t>
            </w:r>
            <w:r>
              <w:rPr>
                <w:rFonts w:hint="eastAsia" w:ascii="宋体" w:hAnsi="宋体" w:cs="宋体"/>
                <w:szCs w:val="21"/>
              </w:rPr>
              <w:t>发布，投标人的投标总报价不得超过投标总报价最高限价，否则由评标委员会作</w:t>
            </w:r>
            <w:r>
              <w:rPr>
                <w:rFonts w:hint="eastAsia" w:ascii="宋体" w:hAnsi="宋体"/>
                <w:szCs w:val="21"/>
              </w:rPr>
              <w:t>否决投标处理。</w:t>
            </w:r>
          </w:p>
          <w:p>
            <w:pPr>
              <w:pStyle w:val="2"/>
              <w:snapToGrid w:val="0"/>
              <w:spacing w:line="400" w:lineRule="exact"/>
              <w:ind w:firstLine="420" w:firstLineChars="200"/>
              <w:rPr>
                <w:rFonts w:ascii="宋体" w:hAnsi="宋体" w:cs="宋体"/>
                <w:szCs w:val="21"/>
              </w:rPr>
            </w:pPr>
            <w:r>
              <w:rPr>
                <w:rFonts w:hint="eastAsia" w:ascii="宋体" w:hAnsi="宋体" w:cs="宋体"/>
                <w:szCs w:val="21"/>
              </w:rPr>
              <w:t>本工程招标将设置设计费、</w:t>
            </w:r>
            <w:r>
              <w:rPr>
                <w:rFonts w:hint="eastAsia" w:ascii="宋体" w:hAnsi="宋体"/>
                <w:szCs w:val="21"/>
              </w:rPr>
              <w:t>□专业设备材料费、</w:t>
            </w:r>
            <w:r>
              <w:rPr>
                <w:rFonts w:hint="eastAsia" w:ascii="宋体" w:hAnsi="宋体" w:cs="宋体"/>
                <w:szCs w:val="21"/>
              </w:rPr>
              <w:t>建筑安装工程费、其他费用分项报价最高限价，全部分项报价最高限价</w:t>
            </w:r>
            <w:r>
              <w:rPr>
                <w:rFonts w:hint="eastAsia" w:ascii="宋体" w:hAnsi="宋体" w:cs="宋体"/>
                <w:szCs w:val="21"/>
                <w:u w:val="single"/>
              </w:rPr>
              <w:t>最迟应于投标截止日15日前</w:t>
            </w:r>
            <w:r>
              <w:rPr>
                <w:rFonts w:hint="eastAsia" w:ascii="宋体" w:hAnsi="宋体" w:cs="宋体"/>
                <w:szCs w:val="21"/>
              </w:rPr>
              <w:t>发布，投标人的各分项报价不得超过其最高限价，否则由评标委员会作否决投标处理。</w:t>
            </w:r>
          </w:p>
          <w:p>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[提示：国有资金投资的建设工程招标，招标人必须编制最高限价。]</w:t>
            </w:r>
          </w:p>
          <w:p>
            <w:pPr>
              <w:pStyle w:val="2"/>
              <w:tabs>
                <w:tab w:val="left" w:pos="546"/>
                <w:tab w:val="left" w:pos="711"/>
              </w:tabs>
              <w:snapToGrid w:val="0"/>
              <w:spacing w:after="0" w:line="400" w:lineRule="exact"/>
              <w:ind w:firstLine="420" w:firstLineChars="200"/>
              <w:rPr>
                <w:rFonts w:ascii="宋体" w:hAnsi="宋体"/>
                <w:szCs w:val="21"/>
                <w:u w:val="single"/>
              </w:rPr>
            </w:pPr>
            <w:r>
              <w:rPr>
                <w:rFonts w:hint="eastAsia" w:ascii="宋体" w:hAnsi="宋体" w:cs="宋体"/>
                <w:szCs w:val="21"/>
              </w:rPr>
              <w:t>3</w:t>
            </w:r>
            <w:r>
              <w:rPr>
                <w:rFonts w:ascii="宋体" w:hAnsi="宋体" w:cs="宋体"/>
                <w:szCs w:val="21"/>
              </w:rPr>
              <w:t>.1</w:t>
            </w:r>
            <w:r>
              <w:rPr>
                <w:rFonts w:hint="eastAsia" w:ascii="宋体" w:hAnsi="宋体"/>
                <w:szCs w:val="21"/>
              </w:rPr>
              <w:t>设计费</w:t>
            </w:r>
            <w:r>
              <w:rPr>
                <w:rFonts w:hint="eastAsia" w:ascii="宋体" w:hAnsi="宋体"/>
                <w:bCs/>
                <w:szCs w:val="21"/>
              </w:rPr>
              <w:t>最高限价：</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1</w:t>
            </w:r>
            <w:r>
              <w:rPr>
                <w:rFonts w:hint="eastAsia" w:ascii="宋体" w:hAnsi="宋体"/>
                <w:szCs w:val="21"/>
              </w:rPr>
              <w:t>）固定费率最高限价为</w:t>
            </w:r>
            <w:r>
              <w:rPr>
                <w:rFonts w:hint="eastAsia" w:ascii="宋体" w:hAnsi="宋体"/>
                <w:szCs w:val="21"/>
                <w:u w:val="single"/>
              </w:rPr>
              <w:t xml:space="preserve">        </w:t>
            </w:r>
            <w:r>
              <w:rPr>
                <w:rFonts w:hint="eastAsia" w:ascii="宋体" w:hAnsi="宋体"/>
                <w:szCs w:val="21"/>
              </w:rPr>
              <w:t>%，暂定设计费投标报价最高限价为</w:t>
            </w:r>
            <w:r>
              <w:rPr>
                <w:rFonts w:hint="eastAsia" w:ascii="宋体" w:hAnsi="宋体"/>
                <w:szCs w:val="21"/>
                <w:u w:val="single"/>
              </w:rPr>
              <w:t xml:space="preserve">       </w:t>
            </w:r>
            <w:r>
              <w:rPr>
                <w:rFonts w:hint="eastAsia" w:ascii="宋体" w:hAnsi="宋体"/>
                <w:szCs w:val="21"/>
              </w:rPr>
              <w:t>元；</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2</w:t>
            </w:r>
            <w:r>
              <w:rPr>
                <w:rFonts w:hint="eastAsia" w:ascii="宋体" w:hAnsi="宋体"/>
                <w:szCs w:val="21"/>
              </w:rPr>
              <w:t>）固定综合单价最高限价为</w:t>
            </w:r>
            <w:r>
              <w:rPr>
                <w:rFonts w:hint="eastAsia" w:ascii="宋体" w:hAnsi="宋体"/>
                <w:szCs w:val="21"/>
                <w:u w:val="single"/>
              </w:rPr>
              <w:t xml:space="preserve">       </w:t>
            </w:r>
            <w:r>
              <w:rPr>
                <w:rFonts w:hint="eastAsia" w:ascii="宋体" w:hAnsi="宋体"/>
                <w:szCs w:val="21"/>
              </w:rPr>
              <w:t>，暂定设计费投标报价最高限价为</w:t>
            </w:r>
            <w:r>
              <w:rPr>
                <w:rFonts w:hint="eastAsia" w:ascii="宋体" w:hAnsi="宋体"/>
                <w:szCs w:val="21"/>
                <w:u w:val="single"/>
              </w:rPr>
              <w:t xml:space="preserve">       </w:t>
            </w:r>
            <w:r>
              <w:rPr>
                <w:rFonts w:hint="eastAsia" w:ascii="宋体" w:hAnsi="宋体"/>
                <w:szCs w:val="21"/>
              </w:rPr>
              <w:t>元；</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3</w:t>
            </w:r>
            <w:r>
              <w:rPr>
                <w:rFonts w:hint="eastAsia" w:ascii="宋体" w:hAnsi="宋体"/>
                <w:szCs w:val="21"/>
              </w:rPr>
              <w:t>）其他报价方式最高限价为</w:t>
            </w:r>
            <w:r>
              <w:rPr>
                <w:rFonts w:hint="eastAsia" w:ascii="宋体" w:hAnsi="宋体"/>
                <w:szCs w:val="21"/>
                <w:u w:val="single"/>
              </w:rPr>
              <w:t xml:space="preserve">       </w:t>
            </w:r>
            <w:r>
              <w:rPr>
                <w:rFonts w:hint="eastAsia" w:ascii="宋体" w:hAnsi="宋体"/>
                <w:szCs w:val="21"/>
              </w:rPr>
              <w:t>；</w:t>
            </w:r>
          </w:p>
          <w:p>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szCs w:val="21"/>
              </w:rPr>
              <w:t>□</w:t>
            </w:r>
            <w:r>
              <w:rPr>
                <w:rFonts w:hint="eastAsia" w:ascii="宋体" w:hAnsi="宋体" w:cs="宋体"/>
                <w:szCs w:val="21"/>
              </w:rPr>
              <w:t>3</w:t>
            </w:r>
            <w:r>
              <w:rPr>
                <w:rFonts w:ascii="宋体" w:hAnsi="宋体" w:cs="宋体"/>
                <w:szCs w:val="21"/>
              </w:rPr>
              <w:t>.</w:t>
            </w:r>
            <w:r>
              <w:rPr>
                <w:rFonts w:hint="eastAsia" w:ascii="宋体" w:hAnsi="宋体" w:cs="宋体"/>
                <w:szCs w:val="21"/>
              </w:rPr>
              <w:t>2</w:t>
            </w:r>
            <w:r>
              <w:rPr>
                <w:rFonts w:hint="eastAsia" w:ascii="宋体" w:hAnsi="宋体"/>
                <w:szCs w:val="21"/>
              </w:rPr>
              <w:t>专业设备材料费</w:t>
            </w:r>
            <w:r>
              <w:rPr>
                <w:rFonts w:hint="eastAsia" w:ascii="宋体" w:hAnsi="宋体"/>
                <w:bCs/>
                <w:szCs w:val="21"/>
              </w:rPr>
              <w:t>最高限价：</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（1）固定综合单价最高限价见设备材料最高限价清单，暂定专业设备材料费投标报价最高限价为</w:t>
            </w:r>
            <w:r>
              <w:rPr>
                <w:rFonts w:hint="eastAsia" w:ascii="宋体" w:hAnsi="宋体"/>
                <w:szCs w:val="21"/>
                <w:u w:val="single"/>
              </w:rPr>
              <w:t xml:space="preserve">       </w:t>
            </w:r>
            <w:r>
              <w:rPr>
                <w:rFonts w:hint="eastAsia" w:ascii="宋体" w:hAnsi="宋体"/>
                <w:szCs w:val="21"/>
              </w:rPr>
              <w:t>元；</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（2）其他报价方式最高限价为</w:t>
            </w:r>
            <w:r>
              <w:rPr>
                <w:rFonts w:hint="eastAsia" w:ascii="宋体" w:hAnsi="宋体"/>
                <w:szCs w:val="21"/>
                <w:u w:val="single"/>
              </w:rPr>
              <w:t xml:space="preserve">       </w:t>
            </w:r>
            <w:r>
              <w:rPr>
                <w:rFonts w:hint="eastAsia" w:ascii="宋体" w:hAnsi="宋体"/>
                <w:szCs w:val="21"/>
              </w:rPr>
              <w:t>；</w:t>
            </w:r>
          </w:p>
          <w:p>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3</w:t>
            </w:r>
            <w:r>
              <w:rPr>
                <w:rFonts w:hint="eastAsia" w:ascii="宋体" w:hAnsi="宋体"/>
                <w:szCs w:val="21"/>
              </w:rPr>
              <w:t>建筑安装工程费</w:t>
            </w:r>
            <w:r>
              <w:rPr>
                <w:rFonts w:hint="eastAsia" w:ascii="宋体" w:hAnsi="宋体"/>
                <w:bCs/>
                <w:szCs w:val="21"/>
              </w:rPr>
              <w:t>最高限价：</w:t>
            </w:r>
          </w:p>
          <w:p>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1</w:t>
            </w:r>
            <w:r>
              <w:rPr>
                <w:rFonts w:hint="eastAsia" w:ascii="宋体" w:hAnsi="宋体"/>
                <w:szCs w:val="21"/>
              </w:rPr>
              <w:t>）固定费率最高限价为</w:t>
            </w:r>
            <w:r>
              <w:rPr>
                <w:rFonts w:hint="eastAsia" w:ascii="宋体" w:hAnsi="宋体"/>
                <w:szCs w:val="21"/>
                <w:u w:val="single"/>
              </w:rPr>
              <w:t xml:space="preserve">        </w:t>
            </w:r>
            <w:r>
              <w:rPr>
                <w:rFonts w:hint="eastAsia" w:ascii="宋体" w:hAnsi="宋体"/>
                <w:szCs w:val="21"/>
              </w:rPr>
              <w:t>%，暂定建筑安装工程费投标报价最高限价为</w:t>
            </w:r>
            <w:r>
              <w:rPr>
                <w:rFonts w:hint="eastAsia" w:ascii="宋体" w:hAnsi="宋体"/>
                <w:szCs w:val="21"/>
                <w:u w:val="single"/>
              </w:rPr>
              <w:t xml:space="preserve">       </w:t>
            </w:r>
            <w:r>
              <w:rPr>
                <w:rFonts w:hint="eastAsia" w:ascii="宋体" w:hAnsi="宋体"/>
                <w:szCs w:val="21"/>
              </w:rPr>
              <w:t>元；</w:t>
            </w:r>
          </w:p>
          <w:p>
            <w:pPr>
              <w:pStyle w:val="2"/>
              <w:tabs>
                <w:tab w:val="left" w:pos="546"/>
                <w:tab w:val="left" w:pos="711"/>
              </w:tabs>
              <w:snapToGrid w:val="0"/>
              <w:spacing w:after="0" w:line="400" w:lineRule="exact"/>
              <w:ind w:firstLine="420" w:firstLineChars="200"/>
            </w:pPr>
            <w:r>
              <w:rPr>
                <w:rFonts w:hint="eastAsia" w:ascii="宋体" w:hAnsi="宋体" w:cs="宋体"/>
                <w:szCs w:val="21"/>
              </w:rPr>
              <w:t>□</w:t>
            </w:r>
            <w:r>
              <w:rPr>
                <w:rFonts w:hint="eastAsia" w:ascii="宋体" w:hAnsi="宋体"/>
                <w:szCs w:val="21"/>
              </w:rPr>
              <w:t>（</w:t>
            </w:r>
            <w:r>
              <w:rPr>
                <w:rFonts w:ascii="宋体" w:hAnsi="宋体"/>
                <w:szCs w:val="21"/>
              </w:rPr>
              <w:t>2</w:t>
            </w:r>
            <w:r>
              <w:rPr>
                <w:rFonts w:hint="eastAsia" w:ascii="宋体" w:hAnsi="宋体"/>
                <w:szCs w:val="21"/>
              </w:rPr>
              <w:t>）其他报价方式最高限价为</w:t>
            </w:r>
            <w:r>
              <w:rPr>
                <w:rFonts w:hint="eastAsia" w:ascii="宋体" w:hAnsi="宋体"/>
                <w:szCs w:val="21"/>
                <w:u w:val="single"/>
              </w:rPr>
              <w:t xml:space="preserve">       </w:t>
            </w:r>
            <w:r>
              <w:rPr>
                <w:rFonts w:hint="eastAsia" w:ascii="宋体" w:hAnsi="宋体"/>
                <w:szCs w:val="21"/>
              </w:rPr>
              <w:t>；</w:t>
            </w:r>
          </w:p>
          <w:p>
            <w:pPr>
              <w:pStyle w:val="2"/>
              <w:snapToGrid w:val="0"/>
              <w:spacing w:line="400" w:lineRule="exact"/>
              <w:ind w:firstLine="420" w:firstLineChars="200"/>
              <w:rPr>
                <w:rFonts w:ascii="宋体" w:hAnsi="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4</w:t>
            </w:r>
            <w:r>
              <w:rPr>
                <w:rFonts w:hint="eastAsia" w:ascii="宋体" w:hAnsi="宋体"/>
                <w:szCs w:val="21"/>
              </w:rPr>
              <w:t>其他费用</w:t>
            </w:r>
            <w:r>
              <w:rPr>
                <w:rFonts w:hint="eastAsia" w:ascii="宋体" w:hAnsi="宋体"/>
                <w:bCs/>
                <w:szCs w:val="21"/>
              </w:rPr>
              <w:t>最高限价</w:t>
            </w:r>
            <w:r>
              <w:rPr>
                <w:rFonts w:hint="eastAsia" w:ascii="宋体" w:hAnsi="宋体"/>
                <w:szCs w:val="21"/>
              </w:rPr>
              <w:t>：</w:t>
            </w:r>
          </w:p>
          <w:p>
            <w:pPr>
              <w:pStyle w:val="2"/>
              <w:tabs>
                <w:tab w:val="left" w:pos="546"/>
                <w:tab w:val="left" w:pos="711"/>
              </w:tabs>
              <w:snapToGrid w:val="0"/>
              <w:spacing w:after="0" w:line="400" w:lineRule="exact"/>
              <w:ind w:firstLine="420" w:firstLineChars="200"/>
            </w:pPr>
            <w:r>
              <w:rPr>
                <w:rFonts w:hint="eastAsia"/>
                <w:u w:val="single"/>
              </w:rPr>
              <w:t xml:space="preserve">                                          </w:t>
            </w:r>
            <w:r>
              <w:rPr>
                <w:rFonts w:hint="eastAsia"/>
              </w:rPr>
              <w:t>。</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szCs w:val="21"/>
                <w:lang w:val="en-US" w:eastAsia="zh-CN"/>
              </w:rPr>
              <w:t>□4.异常低价警戒线要求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tabs>
                <w:tab w:val="left" w:pos="546"/>
                <w:tab w:val="left" w:pos="711"/>
              </w:tabs>
              <w:snapToGrid w:val="0"/>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tabs>
                <w:tab w:val="left" w:pos="546"/>
                <w:tab w:val="left" w:pos="711"/>
              </w:tabs>
              <w:snapToGrid w:val="0"/>
              <w:spacing w:after="0" w:line="400" w:lineRule="exact"/>
              <w:ind w:firstLine="420" w:firstLineChars="200"/>
              <w:rPr>
                <w:rFonts w:hint="eastAsia"/>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pStyle w:val="2"/>
              <w:tabs>
                <w:tab w:val="left" w:pos="546"/>
                <w:tab w:val="left" w:pos="711"/>
              </w:tabs>
              <w:snapToGrid w:val="0"/>
              <w:spacing w:after="0" w:line="400" w:lineRule="exact"/>
              <w:ind w:firstLine="420" w:firstLineChars="200"/>
            </w:pPr>
            <w:r>
              <w:rPr>
                <w:rFonts w:hint="eastAsia"/>
                <w:lang w:val="en-US" w:eastAsia="zh-CN"/>
              </w:rPr>
              <w:t>5</w:t>
            </w:r>
            <w:r>
              <w:t>.</w:t>
            </w:r>
            <w:r>
              <w:rPr>
                <w:rFonts w:hint="eastAsia"/>
              </w:rPr>
              <w:t>限额设计和结算</w:t>
            </w:r>
          </w:p>
          <w:p>
            <w:pPr>
              <w:pStyle w:val="2"/>
              <w:tabs>
                <w:tab w:val="left" w:pos="546"/>
                <w:tab w:val="left" w:pos="711"/>
              </w:tabs>
              <w:snapToGrid w:val="0"/>
              <w:spacing w:after="0" w:line="400" w:lineRule="exact"/>
              <w:ind w:firstLine="420" w:firstLineChars="200"/>
              <w:rPr>
                <w:rFonts w:ascii="宋体" w:hAnsi="宋体" w:cs="宋体"/>
                <w:kern w:val="0"/>
                <w:szCs w:val="21"/>
                <w:lang w:bidi="ar"/>
              </w:rPr>
            </w:pPr>
            <w:r>
              <w:rPr>
                <w:rFonts w:hint="eastAsia" w:ascii="宋体" w:hAnsi="宋体" w:cs="宋体"/>
                <w:kern w:val="0"/>
                <w:szCs w:val="21"/>
                <w:lang w:bidi="ar"/>
              </w:rPr>
              <w:t>本项目施工图设计应按照初步设计文件和发包人要求进行编制。除发生重大设计变更外，施工图设计对应的预算审核建筑安装工程费不能超过初设批复中的概算建筑安装工程费，否则应调整设计直至满足限额要求，由此增加的设计费不计取；除发生重大设计变更外，按合同约定的结算原则计算出的合同工程竣工结算价超过批准概算金额的，原则上以经批准的概算金额为限价进行结算。</w:t>
            </w:r>
          </w:p>
          <w:p>
            <w:pPr>
              <w:pStyle w:val="2"/>
              <w:tabs>
                <w:tab w:val="left" w:pos="546"/>
                <w:tab w:val="left" w:pos="711"/>
              </w:tabs>
              <w:snapToGrid w:val="0"/>
              <w:spacing w:after="0" w:line="400" w:lineRule="exact"/>
              <w:ind w:firstLine="420" w:firstLineChars="200"/>
              <w:rPr>
                <w:rFonts w:ascii="宋体" w:hAnsi="宋体" w:cs="宋体"/>
                <w:kern w:val="0"/>
                <w:szCs w:val="21"/>
                <w:lang w:bidi="ar"/>
              </w:rPr>
            </w:pPr>
            <w:r>
              <w:rPr>
                <w:rFonts w:hint="eastAsia" w:ascii="宋体" w:hAnsi="宋体" w:cs="宋体"/>
                <w:kern w:val="0"/>
                <w:szCs w:val="21"/>
                <w:lang w:bidi="ar"/>
              </w:rPr>
              <w:t>工程总承包项目超过限额设计和结算产生的风险，投标人应在投标报价时综合考虑，合同履行阶段不得以此为由向招标人索赔。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pPr>
              <w:snapToGrid w:val="0"/>
              <w:spacing w:line="400" w:lineRule="exact"/>
              <w:ind w:firstLine="420" w:firstLineChars="200"/>
            </w:pPr>
            <w:r>
              <w:rPr>
                <w:rFonts w:hint="eastAsia"/>
              </w:rPr>
              <w:t>投标保证金的交纳方式：投标人可选择以下三种方式之一。</w:t>
            </w:r>
          </w:p>
          <w:p>
            <w:pPr>
              <w:snapToGrid w:val="0"/>
              <w:spacing w:line="400" w:lineRule="exact"/>
              <w:ind w:firstLine="420" w:firstLineChars="200"/>
            </w:pPr>
            <w:r>
              <w:rPr>
                <w:rFonts w:hint="eastAsia"/>
              </w:rPr>
              <w:t>方式一</w:t>
            </w:r>
          </w:p>
          <w:p>
            <w:pPr>
              <w:snapToGrid w:val="0"/>
              <w:spacing w:line="400" w:lineRule="exact"/>
              <w:ind w:firstLine="420" w:firstLineChars="200"/>
            </w:pPr>
            <w:r>
              <w:t>一、</w:t>
            </w:r>
            <w:r>
              <w:rPr>
                <w:rFonts w:hint="eastAsia"/>
              </w:rPr>
              <w:t>以电子投标保函形式交纳投标保证金</w:t>
            </w:r>
          </w:p>
          <w:p>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snapToGrid w:val="0"/>
              <w:spacing w:line="400" w:lineRule="exact"/>
              <w:ind w:firstLine="420" w:firstLineChars="200"/>
            </w:pPr>
            <w:r>
              <w:rPr>
                <w:rFonts w:hint="eastAsia"/>
              </w:rPr>
              <w:t>若投标截止时间延期，则电子投标保函提交的截止时间和投标截止时间应当保持一致。</w:t>
            </w:r>
          </w:p>
          <w:p>
            <w:pPr>
              <w:snapToGrid w:val="0"/>
              <w:spacing w:line="400" w:lineRule="exact"/>
              <w:ind w:firstLine="420" w:firstLineChars="200"/>
            </w:pPr>
            <w:r>
              <w:rPr>
                <w:rFonts w:hint="eastAsia"/>
              </w:rPr>
              <w:t>不满足上述要求的电子</w:t>
            </w:r>
            <w:r>
              <w:t>投标保函</w:t>
            </w:r>
            <w:r>
              <w:rPr>
                <w:rFonts w:hint="eastAsia"/>
                <w:lang w:val="en-US" w:eastAsia="zh-CN"/>
              </w:rPr>
              <w:t>视为</w:t>
            </w:r>
            <w:r>
              <w:t>无效。</w:t>
            </w:r>
          </w:p>
          <w:p>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，重庆市工程建设领域招标投标守信激励对象名单（以下简称红名单）中的投标人按所属红名单类别享受优惠政策，</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val="en-US" w:eastAsia="zh-CN"/>
              </w:rPr>
              <w:t>共同投标</w:t>
            </w:r>
            <w:r>
              <w:rPr>
                <w:rFonts w:hint="eastAsia"/>
              </w:rPr>
              <w:t>协议牵头人所属红名单类别包含在其工作范围内。投标人是否属于红名单，以开标环节信用状况查询结果为准。</w:t>
            </w:r>
          </w:p>
          <w:p>
            <w:pPr>
              <w:snapToGrid w:val="0"/>
              <w:spacing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pPr>
              <w:snapToGrid w:val="0"/>
              <w:spacing w:line="400" w:lineRule="exact"/>
              <w:ind w:firstLine="420" w:firstLineChars="200"/>
            </w:pPr>
            <w:r>
              <w:rPr>
                <w:rFonts w:hint="eastAsia"/>
              </w:rPr>
              <w:t>3. 电子投标保函以</w:t>
            </w:r>
            <w:r>
              <w:rPr>
                <w:rFonts w:hint="eastAsia"/>
                <w:u w:val="single"/>
              </w:rPr>
              <w:t>重庆市公共资源交易中心</w:t>
            </w:r>
            <w:r>
              <w:rPr>
                <w:rFonts w:hint="eastAsia"/>
              </w:rPr>
              <w:t>开标现场展示的电子投标保函交纳情况为准，投标人在投标时无须再提供电子投标保函的相关资料。</w:t>
            </w:r>
          </w:p>
          <w:p>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pPr>
              <w:snapToGrid w:val="0"/>
              <w:spacing w:line="400" w:lineRule="exact"/>
              <w:ind w:firstLine="420" w:firstLineChars="200"/>
            </w:pPr>
            <w:r>
              <w:t>二、</w:t>
            </w:r>
            <w:r>
              <w:rPr>
                <w:rFonts w:hint="eastAsia"/>
              </w:rPr>
              <w:t>电子</w:t>
            </w:r>
            <w:r>
              <w:t>投标保函的</w:t>
            </w:r>
            <w:r>
              <w:rPr>
                <w:rFonts w:hint="eastAsia"/>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方式二</w:t>
            </w:r>
          </w:p>
          <w:p>
            <w:pPr>
              <w:snapToGrid w:val="0"/>
              <w:spacing w:line="400" w:lineRule="exact"/>
              <w:ind w:firstLine="420" w:firstLineChars="200"/>
            </w:pPr>
            <w:r>
              <w:rPr>
                <w:rFonts w:hint="eastAsia"/>
              </w:rPr>
              <w:t>一、以转账支票或电汇形式交纳投标保证金</w:t>
            </w:r>
          </w:p>
          <w:p>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rPr>
                <w:rFonts w:hint="eastAsia"/>
                <w:lang w:val="en-US" w:eastAsia="zh-CN"/>
              </w:rPr>
              <w:t>视为</w:t>
            </w:r>
            <w:r>
              <w:t>无效。</w:t>
            </w:r>
          </w:p>
          <w:p>
            <w:pPr>
              <w:snapToGrid w:val="0"/>
              <w:spacing w:line="400" w:lineRule="exact"/>
              <w:ind w:firstLine="420" w:firstLineChars="200"/>
            </w:pPr>
            <w:r>
              <w:rPr>
                <w:rFonts w:hint="eastAsia"/>
              </w:rPr>
              <w:t>投标人自行考虑汇入时间风险，如同城汇入、异地汇入、跨行汇入的时间要求。</w:t>
            </w:r>
          </w:p>
          <w:p>
            <w:pPr>
              <w:snapToGrid w:val="0"/>
              <w:spacing w:line="400" w:lineRule="exact"/>
              <w:ind w:firstLine="420" w:firstLineChars="200"/>
            </w:pPr>
            <w:r>
              <w:rPr>
                <w:rFonts w:hint="eastAsia"/>
              </w:rPr>
              <w:t>2、以转账支票或电汇形式提交投标保证金的金额：</w:t>
            </w:r>
            <w:r>
              <w:rPr>
                <w:rFonts w:hint="eastAsia"/>
                <w:u w:val="single"/>
              </w:rPr>
              <w:t xml:space="preserve">    </w:t>
            </w:r>
            <w:r>
              <w:rPr>
                <w:rFonts w:hint="eastAsia"/>
              </w:rPr>
              <w:t>万元整（人民币），红名单中的投标人按所属红名单类别享受优惠政策，</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val="en-US" w:eastAsia="zh-CN"/>
              </w:rPr>
              <w:t>共同投标</w:t>
            </w:r>
            <w:r>
              <w:rPr>
                <w:rFonts w:hint="eastAsia"/>
              </w:rPr>
              <w:t>协议牵头人所属红名单类别包含在其工作范围内。投标人是否属于红名单，以开标环节信用状况查询结果为准。</w:t>
            </w:r>
          </w:p>
          <w:p>
            <w:pPr>
              <w:snapToGrid w:val="0"/>
              <w:spacing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w:t>
            </w:r>
            <w:bookmarkStart w:id="200" w:name="_Hlk45893164"/>
          </w:p>
          <w:bookmarkEnd w:id="200"/>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eastAsia="宋体"/>
                <w:lang w:eastAsia="zh-CN"/>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pPr>
              <w:snapToGrid w:val="0"/>
              <w:spacing w:line="400" w:lineRule="exact"/>
              <w:ind w:firstLine="420" w:firstLineChars="200"/>
            </w:pPr>
            <w:r>
              <w:rPr>
                <w:rFonts w:hint="eastAsia"/>
              </w:rPr>
              <w:t>3、投标保证金账户及账号（任选其一）：</w:t>
            </w:r>
          </w:p>
          <w:p>
            <w:pPr>
              <w:snapToGrid w:val="0"/>
              <w:spacing w:line="400" w:lineRule="exact"/>
              <w:ind w:firstLine="420" w:firstLineChars="200"/>
            </w:pPr>
            <w:r>
              <w:rPr>
                <w:rFonts w:hint="eastAsia"/>
              </w:rPr>
              <w:t>详见</w:t>
            </w:r>
            <w:r>
              <w:rPr>
                <w:rFonts w:hint="eastAsia"/>
                <w:u w:val="single"/>
              </w:rPr>
              <w:t>重庆市公共资源交易网</w:t>
            </w:r>
            <w:r>
              <w:rPr>
                <w:rFonts w:hint="eastAsia"/>
              </w:rPr>
              <w:t>对应本项目招标公告信息栏中的保证金信息。</w:t>
            </w:r>
          </w:p>
          <w:p>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开标现场展示的保证金交纳情况为准。投标人须在投标文件资格审查部分“其他资料”中提供企业基本账户开户证明文件。</w:t>
            </w:r>
          </w:p>
          <w:p>
            <w:pPr>
              <w:snapToGrid w:val="0"/>
              <w:spacing w:line="400" w:lineRule="exact"/>
              <w:ind w:firstLine="420" w:firstLineChars="200"/>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pPr>
              <w:snapToGrid w:val="0"/>
              <w:spacing w:line="400" w:lineRule="exact"/>
              <w:ind w:firstLine="420" w:firstLineChars="200"/>
            </w:pPr>
            <w:r>
              <w:rPr>
                <w:rFonts w:hint="eastAsia"/>
              </w:rPr>
              <w:t>5、投标保证金有效期与投标有效期一致。</w:t>
            </w:r>
          </w:p>
          <w:p>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snapToGrid w:val="0"/>
              <w:spacing w:line="400" w:lineRule="exact"/>
              <w:ind w:firstLine="420" w:firstLineChars="200"/>
            </w:pPr>
            <w:r>
              <w:rPr>
                <w:rFonts w:hint="eastAsia"/>
              </w:rPr>
              <w:t>7、若投标人为联合体，则由联合体牵头人提交投标保证金。</w:t>
            </w:r>
          </w:p>
          <w:p>
            <w:pPr>
              <w:snapToGrid w:val="0"/>
              <w:spacing w:line="400" w:lineRule="exact"/>
              <w:ind w:firstLine="420" w:firstLineChars="200"/>
            </w:pPr>
            <w:r>
              <w:rPr>
                <w:rFonts w:hint="eastAsia"/>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rPr>
              <w:t>。</w:t>
            </w:r>
          </w:p>
          <w:p>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lang w:val="en-US" w:eastAsia="zh-CN"/>
              </w:rPr>
              <w:t>指定</w:t>
            </w:r>
            <w:r>
              <w:rPr>
                <w:rFonts w:hint="eastAsia"/>
              </w:rPr>
              <w:t>，关于保证金相关情况的问题请咨询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方式三</w:t>
            </w:r>
          </w:p>
          <w:p>
            <w:pPr>
              <w:snapToGrid w:val="0"/>
              <w:spacing w:line="400" w:lineRule="exact"/>
              <w:ind w:firstLine="420" w:firstLineChars="200"/>
            </w:pPr>
            <w:r>
              <w:t>一、</w:t>
            </w:r>
            <w:r>
              <w:rPr>
                <w:rFonts w:hint="eastAsia"/>
              </w:rPr>
              <w:t>以纸质投标保函形式交纳投标保证金</w:t>
            </w:r>
          </w:p>
          <w:p>
            <w:pPr>
              <w:snapToGrid w:val="0"/>
              <w:spacing w:line="400" w:lineRule="exact"/>
              <w:ind w:firstLine="420" w:firstLineChars="200"/>
            </w:pPr>
            <w:r>
              <w:t>1</w:t>
            </w:r>
            <w:r>
              <w:rPr>
                <w:rFonts w:hint="eastAsia"/>
              </w:rPr>
              <w:t>. 纸质投标保函</w:t>
            </w:r>
            <w:r>
              <w:t>交纳形式及要求：</w:t>
            </w:r>
          </w:p>
          <w:p>
            <w:pPr>
              <w:snapToGrid w:val="0"/>
              <w:spacing w:line="400" w:lineRule="exact"/>
              <w:ind w:firstLine="420" w:firstLineChars="200"/>
            </w:pPr>
            <w: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pPr>
              <w:snapToGrid w:val="0"/>
              <w:spacing w:line="400" w:lineRule="exact"/>
              <w:ind w:firstLine="420" w:firstLineChars="200"/>
              <w:rPr>
                <w:rFonts w:hint="eastAsia" w:ascii="宋体" w:hAnsi="宋体"/>
                <w:kern w:val="0"/>
                <w:szCs w:val="21"/>
                <w:lang w:val="en-US" w:eastAsia="zh-CN"/>
              </w:rPr>
            </w:pPr>
            <w: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pPr>
              <w:snapToGrid w:val="0"/>
              <w:spacing w:line="400" w:lineRule="exact"/>
              <w:ind w:firstLine="420" w:firstLineChars="200"/>
            </w:pPr>
            <w:r>
              <w:t>投标人</w:t>
            </w:r>
            <w:r>
              <w:rPr>
                <w:rFonts w:hint="eastAsia"/>
              </w:rPr>
              <w:t>须在投标文件资格审查部分“其他资料”中</w:t>
            </w:r>
            <w:r>
              <w:t>提供</w:t>
            </w:r>
            <w:r>
              <w:rPr>
                <w:rFonts w:hint="eastAsia"/>
              </w:rPr>
              <w:t>纸质</w:t>
            </w:r>
            <w:r>
              <w:t>投标保函</w:t>
            </w:r>
            <w:r>
              <w:rPr>
                <w:rFonts w:hint="eastAsia"/>
              </w:rPr>
              <w:t>扫描件，纸质</w:t>
            </w:r>
            <w:r>
              <w:t>投标保函</w:t>
            </w:r>
            <w:r>
              <w:rPr>
                <w:rFonts w:hint="eastAsia"/>
              </w:rPr>
              <w:t>原件应当于投标截止时间前在开标现场递交招标人保管。</w:t>
            </w:r>
          </w:p>
          <w:p>
            <w:pPr>
              <w:snapToGrid w:val="0"/>
              <w:spacing w:line="400" w:lineRule="exact"/>
              <w:ind w:firstLine="420" w:firstLineChars="200"/>
            </w:pPr>
            <w:r>
              <w:rPr>
                <w:rFonts w:hint="eastAsia"/>
              </w:rPr>
              <w:t>若投标截止时间延期，则纸质投标保函递交的截止时间和投标截止时间保持一致。</w:t>
            </w:r>
          </w:p>
          <w:p>
            <w:pPr>
              <w:snapToGrid w:val="0"/>
              <w:spacing w:line="400" w:lineRule="exact"/>
              <w:ind w:firstLine="420" w:firstLineChars="200"/>
            </w:pPr>
            <w:r>
              <w:rPr>
                <w:rFonts w:hint="eastAsia"/>
              </w:rPr>
              <w:t>不满足上述要求的纸质</w:t>
            </w:r>
            <w:r>
              <w:t>投标保函</w:t>
            </w:r>
            <w:r>
              <w:rPr>
                <w:rFonts w:hint="eastAsia"/>
                <w:lang w:val="en-US" w:eastAsia="zh-CN"/>
              </w:rPr>
              <w:t>视为</w:t>
            </w:r>
            <w:r>
              <w:t>无效。</w:t>
            </w:r>
          </w:p>
          <w:p>
            <w:pPr>
              <w:snapToGrid w:val="0"/>
              <w:spacing w:line="400" w:lineRule="exact"/>
              <w:ind w:firstLine="420" w:firstLineChars="200"/>
            </w:pPr>
            <w:r>
              <w:t>2</w:t>
            </w:r>
            <w:r>
              <w:rPr>
                <w:rFonts w:hint="eastAsia"/>
              </w:rPr>
              <w:t>. 以纸质投标保函形式担保的</w:t>
            </w:r>
            <w:r>
              <w:t>投标保证金的金额：</w:t>
            </w:r>
            <w:r>
              <w:rPr>
                <w:u w:val="single"/>
              </w:rPr>
              <w:t xml:space="preserve">    </w:t>
            </w:r>
            <w:r>
              <w:t>万元整（人民币）</w:t>
            </w:r>
            <w:r>
              <w:rPr>
                <w:rFonts w:hint="eastAsia"/>
              </w:rPr>
              <w:t>，红名单中的投标人</w:t>
            </w:r>
            <w:r>
              <w:rPr>
                <w:rFonts w:hint="eastAsia" w:ascii="宋体" w:hAnsi="宋体"/>
                <w:iCs/>
                <w:kern w:val="0"/>
                <w:szCs w:val="21"/>
              </w:rPr>
              <w:t>按所属红名单类别享受优惠政策</w:t>
            </w:r>
            <w:r>
              <w:rPr>
                <w:rFonts w:hint="eastAsia"/>
              </w:rPr>
              <w:t>，</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val="en-US" w:eastAsia="zh-CN"/>
              </w:rPr>
              <w:t>共同投标</w:t>
            </w:r>
            <w:r>
              <w:rPr>
                <w:rFonts w:hint="eastAsia"/>
              </w:rPr>
              <w:t>协议牵头人所属红名单类别包含在其工作范围内。投标人是否属于红名单，以开标环节信用状况查询结果为准。</w:t>
            </w:r>
          </w:p>
          <w:p>
            <w:pPr>
              <w:snapToGrid w:val="0"/>
              <w:spacing w:line="400" w:lineRule="exact"/>
              <w:ind w:firstLine="420" w:firstLineChars="200"/>
              <w:rPr>
                <w:i/>
                <w:iCs/>
              </w:rPr>
            </w:pPr>
            <w:r>
              <w:rPr>
                <w:i/>
                <w:iCs/>
              </w:rPr>
              <w:t>[提示：投标保证金金额不超过该招标项目估算价或经批准的概算金额或最高限价的2%。]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rPr>
            </w:pPr>
            <w:r>
              <w:rPr>
                <w:rFonts w:hint="eastAsia" w:ascii="宋体" w:hAnsi="宋体" w:cs="宋体"/>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 xml:space="preserve">3. </w:t>
            </w:r>
            <w: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rPr>
              <w:t>确保其递交的纸质</w:t>
            </w:r>
            <w:r>
              <w:t>投标保函能在</w:t>
            </w:r>
            <w:r>
              <w:rPr>
                <w:rFonts w:hint="eastAsia"/>
              </w:rPr>
              <w:t>开立人在渝的总部或者分支机构</w:t>
            </w:r>
            <w:r>
              <w:rPr>
                <w:rFonts w:hint="eastAsia"/>
                <w:lang w:val="en-US" w:eastAsia="zh-CN"/>
              </w:rPr>
              <w:t>进行</w:t>
            </w:r>
            <w:r>
              <w:rPr>
                <w:rFonts w:hint="eastAsia"/>
              </w:rPr>
              <w:t>核验。</w:t>
            </w:r>
          </w:p>
          <w:p>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pPr>
              <w:snapToGrid w:val="0"/>
              <w:spacing w:line="400" w:lineRule="exact"/>
              <w:ind w:firstLine="420" w:firstLineChars="200"/>
            </w:pPr>
            <w:r>
              <w:rPr>
                <w:rFonts w:hint="eastAsia"/>
              </w:rPr>
              <w:t>5. 在发出中标通知书前，招标人应当对投标人（至少中标候选人或中标人）</w:t>
            </w:r>
            <w:r>
              <w:rPr>
                <w:rFonts w:hint="eastAsia"/>
                <w:lang w:eastAsia="zh-CN"/>
              </w:rPr>
              <w:t>递交</w:t>
            </w:r>
            <w:r>
              <w:rPr>
                <w:rFonts w:hint="eastAsia"/>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rPr>
              <w:t>，对已取得中标候选人资格或中标资格的投标人，按相关规定取消中标候选人资格或中标资格，给招标人造成损失的，投标人依法承担赔偿责任。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t>。</w:t>
            </w:r>
          </w:p>
          <w:p>
            <w:pPr>
              <w:snapToGrid w:val="0"/>
              <w:spacing w:line="400" w:lineRule="exact"/>
              <w:ind w:firstLine="420" w:firstLineChars="200"/>
            </w:pPr>
            <w:r>
              <w:rPr>
                <w:rFonts w:hint="eastAsia"/>
              </w:rPr>
              <w:t>6. 若投标人为联合体，则由联合体牵头人提供纸质投标保函。</w:t>
            </w:r>
          </w:p>
          <w:p>
            <w:pPr>
              <w:snapToGrid w:val="0"/>
              <w:spacing w:line="400" w:lineRule="exact"/>
              <w:ind w:firstLine="420" w:firstLineChars="200"/>
            </w:pPr>
            <w:r>
              <w:t>二、</w:t>
            </w:r>
            <w:r>
              <w:rPr>
                <w:rFonts w:hint="eastAsia"/>
              </w:rPr>
              <w:t>纸质</w:t>
            </w:r>
            <w:r>
              <w:t>投标保函的</w:t>
            </w:r>
            <w:r>
              <w:rPr>
                <w:rFonts w:hint="eastAsia"/>
              </w:rPr>
              <w:t>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t>。</w:t>
            </w:r>
          </w:p>
          <w:p>
            <w:pPr>
              <w:snapToGrid w:val="0"/>
              <w:spacing w:line="400" w:lineRule="exact"/>
              <w:ind w:firstLine="420" w:firstLineChars="200"/>
            </w:pPr>
          </w:p>
          <w:p>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w:t>
            </w:r>
            <w:r>
              <w:rPr>
                <w:rFonts w:hint="eastAsia" w:ascii="宋体" w:hAnsi="宋体" w:cs="宋体"/>
                <w:lang w:eastAsia="zh-CN"/>
              </w:rPr>
              <w:t>中小企业声明函</w:t>
            </w:r>
            <w:r>
              <w:rPr>
                <w:rFonts w:hint="eastAsia" w:ascii="宋体" w:hAnsi="宋体" w:cs="宋体"/>
              </w:rPr>
              <w:t>》（格式详见第八章）。以联合体形式参与投标的，符合中小微企业认定标准的联合体成员单位需提供《</w:t>
            </w:r>
            <w:r>
              <w:rPr>
                <w:rFonts w:hint="eastAsia" w:ascii="宋体" w:hAnsi="宋体" w:cs="宋体"/>
                <w:lang w:eastAsia="zh-CN"/>
              </w:rPr>
              <w:t>中小企业声明函</w:t>
            </w:r>
            <w:r>
              <w:rPr>
                <w:rFonts w:hint="eastAsia" w:ascii="宋体" w:hAnsi="宋体" w:cs="宋体"/>
              </w:rPr>
              <w:t>》（格式详见第八章）。</w:t>
            </w:r>
          </w:p>
          <w:p>
            <w:pPr>
              <w:snapToGrid w:val="0"/>
              <w:spacing w:line="400" w:lineRule="exact"/>
              <w:ind w:firstLine="420" w:firstLineChars="200"/>
            </w:pPr>
            <w:r>
              <w:rPr>
                <w:rFonts w:hint="eastAsia" w:ascii="宋体" w:hAnsi="宋体" w:cs="宋体"/>
              </w:rPr>
              <w:t>2.提供了《</w:t>
            </w:r>
            <w:r>
              <w:rPr>
                <w:rFonts w:hint="eastAsia" w:ascii="宋体" w:hAnsi="宋体" w:cs="宋体"/>
                <w:lang w:eastAsia="zh-CN"/>
              </w:rPr>
              <w:t>中小企业声明函</w:t>
            </w:r>
            <w:r>
              <w:rPr>
                <w:rFonts w:hint="eastAsia" w:ascii="宋体" w:hAnsi="宋体" w:cs="宋体"/>
              </w:rPr>
              <w:t>》且未在规定时间内足额递交投标保证金的中标候选人，经查实不属于中小微企业的，将依照相关法律法规进行处理</w:t>
            </w:r>
            <w:r>
              <w:rPr>
                <w:rFonts w:hint="eastAsia"/>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3.6</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是否允许递交</w:t>
            </w:r>
          </w:p>
          <w:p>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cs="宋体"/>
              </w:rPr>
              <w:t>□</w:t>
            </w:r>
            <w:r>
              <w:rPr>
                <w:rFonts w:ascii="宋体" w:hAnsi="宋体"/>
                <w:kern w:val="0"/>
                <w:szCs w:val="21"/>
              </w:rPr>
              <w:t>不允许</w:t>
            </w:r>
          </w:p>
          <w:p>
            <w:pPr>
              <w:snapToGrid w:val="0"/>
              <w:spacing w:line="400" w:lineRule="exact"/>
              <w:ind w:firstLine="420" w:firstLineChars="200"/>
              <w:rPr>
                <w:rFonts w:ascii="宋体" w:hAnsi="宋体"/>
                <w:kern w:val="0"/>
                <w:szCs w:val="21"/>
              </w:rPr>
            </w:pPr>
            <w:r>
              <w:rPr>
                <w:rFonts w:hint="eastAsia" w:ascii="宋体" w:hAnsi="宋体" w:cs="宋体"/>
              </w:rPr>
              <w:t>□</w:t>
            </w:r>
            <w:r>
              <w:rPr>
                <w:rFonts w:ascii="宋体" w:hAnsi="宋体"/>
                <w:kern w:val="0"/>
                <w:szCs w:val="21"/>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.7.1</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编制投标文件时不得对第八章“投标文件格式”的相应要素作实质性修改，否则视为重大偏差，由评标委员会作否决投标处理。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签名盖章要求</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投标文件应使用专用的“新点投标文件制作软件（重庆版）”编制而成。第八章</w:t>
            </w:r>
            <w:r>
              <w:rPr>
                <w:rFonts w:hint="eastAsia" w:ascii="宋体" w:hAnsi="宋体"/>
                <w:szCs w:val="21"/>
                <w:lang w:val="en-US" w:eastAsia="zh-CN"/>
              </w:rPr>
              <w:t xml:space="preserve"> </w:t>
            </w:r>
            <w:r>
              <w:rPr>
                <w:rFonts w:hint="eastAsia" w:ascii="宋体" w:hAnsi="宋体"/>
                <w:szCs w:val="21"/>
              </w:rPr>
              <w:t>投标文件格式要求法定代表人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szCs w:val="21"/>
              </w:rPr>
              <w:t>签名（或盖章）的须齐全。要求签名的，签名采用手写签名或签章或加盖CA数字证书均可。</w:t>
            </w:r>
            <w:r>
              <w:rPr>
                <w:rFonts w:hint="eastAsia" w:ascii="宋体" w:hAnsi="宋体" w:cs="宋体"/>
                <w:kern w:val="0"/>
              </w:rPr>
              <w:t>要求加盖单位法人章的，应使用 CA 数字证书加盖投标人的单位电子印章。</w:t>
            </w:r>
          </w:p>
          <w:p>
            <w:pPr>
              <w:snapToGrid w:val="0"/>
              <w:spacing w:line="400" w:lineRule="exact"/>
              <w:ind w:firstLine="420" w:firstLineChars="200"/>
              <w:rPr>
                <w:rFonts w:ascii="宋体" w:hAnsi="宋体"/>
                <w:szCs w:val="21"/>
              </w:rPr>
            </w:pPr>
            <w:r>
              <w:rPr>
                <w:rFonts w:hint="eastAsia" w:ascii="宋体" w:hAnsi="宋体" w:cs="宋体"/>
                <w:snapToGrid w:val="0"/>
                <w:kern w:val="0"/>
                <w:szCs w:val="21"/>
              </w:rPr>
              <w:t>若投标单位为联合体，则</w:t>
            </w:r>
            <w:r>
              <w:rPr>
                <w:rFonts w:hint="eastAsia" w:ascii="宋体" w:hAnsi="宋体" w:cs="宋体"/>
                <w:snapToGrid w:val="0"/>
                <w:kern w:val="0"/>
                <w:szCs w:val="21"/>
                <w:lang w:val="en-US" w:eastAsia="zh-CN"/>
              </w:rPr>
              <w:t>共同投标</w:t>
            </w:r>
            <w:r>
              <w:rPr>
                <w:rFonts w:hint="eastAsia" w:ascii="宋体" w:hAnsi="宋体" w:cs="宋体"/>
                <w:snapToGrid w:val="0"/>
                <w:kern w:val="0"/>
                <w:szCs w:val="21"/>
              </w:rPr>
              <w:t>协议中各联合体成员单位签名（或盖章）须齐全，要求各联合体成员盖单位法人章的，各联合体成员盖章须齐全；</w:t>
            </w:r>
            <w:r>
              <w:rPr>
                <w:rFonts w:hint="eastAsia" w:ascii="宋体" w:hAnsi="宋体" w:cs="宋体"/>
                <w:snapToGrid w:val="0"/>
                <w:kern w:val="0"/>
                <w:szCs w:val="21"/>
                <w:lang w:val="en-US" w:eastAsia="zh-CN"/>
              </w:rPr>
              <w:t>共同投标</w:t>
            </w:r>
            <w:r>
              <w:rPr>
                <w:rFonts w:hint="eastAsia" w:ascii="宋体" w:hAnsi="宋体" w:cs="宋体"/>
                <w:snapToGrid w:val="0"/>
                <w:kern w:val="0"/>
                <w:szCs w:val="21"/>
              </w:rPr>
              <w:t>协议以外的</w:t>
            </w:r>
            <w:r>
              <w:rPr>
                <w:rFonts w:hint="eastAsia" w:ascii="宋体" w:hAnsi="宋体" w:cs="宋体"/>
                <w:kern w:val="0"/>
              </w:rPr>
              <w:t>投标文件格式中，要求法定代表人</w:t>
            </w:r>
            <w:r>
              <w:rPr>
                <w:rFonts w:hint="eastAsia" w:ascii="宋体" w:hAnsi="宋体" w:cs="宋体"/>
                <w:kern w:val="0"/>
                <w:lang w:eastAsia="zh-CN"/>
              </w:rPr>
              <w:t>（</w:t>
            </w:r>
            <w:r>
              <w:rPr>
                <w:rFonts w:hint="eastAsia" w:ascii="宋体" w:hAnsi="宋体" w:cs="宋体"/>
                <w:kern w:val="0"/>
              </w:rPr>
              <w:t>或其委托代理人</w:t>
            </w:r>
            <w:r>
              <w:rPr>
                <w:rFonts w:hint="eastAsia" w:ascii="宋体" w:hAnsi="宋体" w:cs="宋体"/>
                <w:kern w:val="0"/>
                <w:lang w:eastAsia="zh-CN"/>
              </w:rPr>
              <w:t>）</w:t>
            </w:r>
            <w:r>
              <w:rPr>
                <w:rFonts w:hint="eastAsia" w:ascii="宋体" w:hAnsi="宋体" w:cs="宋体"/>
                <w:kern w:val="0"/>
              </w:rPr>
              <w:t>签名（或盖章）的均由</w:t>
            </w:r>
            <w:r>
              <w:rPr>
                <w:rFonts w:hint="eastAsia" w:ascii="宋体" w:hAnsi="宋体" w:cs="宋体"/>
                <w:snapToGrid w:val="0"/>
                <w:kern w:val="0"/>
                <w:szCs w:val="21"/>
              </w:rPr>
              <w:t>联合体牵头人</w:t>
            </w:r>
            <w:r>
              <w:rPr>
                <w:rFonts w:hint="eastAsia" w:ascii="宋体" w:hAnsi="宋体" w:cs="宋体"/>
                <w:kern w:val="0"/>
              </w:rPr>
              <w:t>法定代表人</w:t>
            </w:r>
            <w:r>
              <w:rPr>
                <w:rFonts w:hint="eastAsia" w:ascii="宋体" w:hAnsi="宋体" w:cs="宋体"/>
                <w:kern w:val="0"/>
                <w:lang w:eastAsia="zh-CN"/>
              </w:rPr>
              <w:t>（</w:t>
            </w:r>
            <w:r>
              <w:rPr>
                <w:rFonts w:hint="eastAsia" w:ascii="宋体" w:hAnsi="宋体" w:cs="宋体"/>
                <w:kern w:val="0"/>
              </w:rPr>
              <w:t>或其委托代理人</w:t>
            </w:r>
            <w:r>
              <w:rPr>
                <w:rFonts w:hint="eastAsia" w:ascii="宋体" w:hAnsi="宋体" w:cs="宋体"/>
                <w:kern w:val="0"/>
                <w:lang w:eastAsia="zh-CN"/>
              </w:rPr>
              <w:t>）</w:t>
            </w:r>
            <w:r>
              <w:rPr>
                <w:rFonts w:hint="eastAsia" w:ascii="宋体" w:hAnsi="宋体" w:cs="宋体"/>
                <w:kern w:val="0"/>
              </w:rPr>
              <w:t>签名（或盖章），</w:t>
            </w:r>
            <w:r>
              <w:rPr>
                <w:rFonts w:hint="eastAsia" w:ascii="宋体" w:hAnsi="宋体" w:cs="宋体"/>
                <w:snapToGrid w:val="0"/>
                <w:kern w:val="0"/>
                <w:szCs w:val="21"/>
              </w:rPr>
              <w:t>要求投标人加盖单位法人章的，均由联合体牵头人使用 CA 数字证书加盖其单位电子印章。</w:t>
            </w:r>
          </w:p>
          <w:p>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pPr>
              <w:autoSpaceDE w:val="0"/>
              <w:autoSpaceDN w:val="0"/>
              <w:adjustRightInd w:val="0"/>
              <w:snapToGrid w:val="0"/>
              <w:spacing w:after="93"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490" w:type="dxa"/>
            <w:vAlign w:val="center"/>
          </w:tcPr>
          <w:p>
            <w:pPr>
              <w:adjustRightInd w:val="0"/>
              <w:snapToGrid w:val="0"/>
              <w:spacing w:line="400" w:lineRule="exact"/>
              <w:ind w:firstLine="420" w:firstLineChars="200"/>
              <w:rPr>
                <w:i/>
                <w:iCs/>
              </w:rPr>
            </w:pPr>
            <w:r>
              <w:rPr>
                <w:i/>
                <w:iCs/>
              </w:rPr>
              <w:t>[提示：适用于电子标暗标编制要求]</w:t>
            </w:r>
          </w:p>
          <w:p>
            <w:pPr>
              <w:adjustRightInd w:val="0"/>
              <w:snapToGrid w:val="0"/>
              <w:spacing w:line="400" w:lineRule="exact"/>
              <w:ind w:firstLine="420" w:firstLineChars="200"/>
            </w:pPr>
            <w:r>
              <w:rPr>
                <w:rFonts w:hint="eastAsia"/>
              </w:rPr>
              <w:t>具体要求：</w:t>
            </w:r>
          </w:p>
          <w:p>
            <w:pPr>
              <w:adjustRightInd w:val="0"/>
              <w:snapToGrid w:val="0"/>
              <w:spacing w:line="400" w:lineRule="exact"/>
              <w:ind w:firstLine="420" w:firstLineChars="200"/>
            </w:pPr>
            <w:r>
              <w:rPr>
                <w:rFonts w:hint="eastAsia"/>
              </w:rPr>
              <w:t>（1）投标函部分</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2</w:t>
            </w:r>
            <w:r>
              <w:rPr>
                <w:rFonts w:hint="eastAsia"/>
              </w:rPr>
              <w:t>）</w:t>
            </w:r>
            <w:r>
              <w:rPr>
                <w:rFonts w:hint="eastAsia"/>
                <w:lang w:val="en-US" w:eastAsia="zh-CN"/>
              </w:rPr>
              <w:t>报价</w:t>
            </w:r>
            <w:r>
              <w:rPr>
                <w:rFonts w:hint="eastAsia"/>
              </w:rPr>
              <w:t>部分</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3</w:t>
            </w:r>
            <w:r>
              <w:rPr>
                <w:rFonts w:hint="eastAsia"/>
              </w:rPr>
              <w:t>）商务部分（如有）</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4</w:t>
            </w:r>
            <w:r>
              <w:rPr>
                <w:rFonts w:hint="eastAsia"/>
              </w:rPr>
              <w:t>）技术部分（如有）</w:t>
            </w:r>
          </w:p>
          <w:p>
            <w:pPr>
              <w:adjustRightInd w:val="0"/>
              <w:snapToGrid w:val="0"/>
              <w:spacing w:line="400" w:lineRule="exact"/>
              <w:ind w:firstLine="420" w:firstLineChars="200"/>
            </w:pPr>
            <w:r>
              <w:rPr>
                <w:rFonts w:hint="eastAsia"/>
              </w:rPr>
              <w:t>电子投标文件技术暗标不设封面，整个技术暗标均不得出现白页和倒页；不得出现与本工程无关的内容；不得显示与投标人企业有关的任何信息；技术暗标的文本部分的文字采用四号仿宋字体，文本部分采用A4页面；图表内的字体、字号大小不限，图表部分采用A3或A4页面；文字、图表不得使用彩色（效果图除外）和不得编制页码。违反上述任何一项，采用经评审的最低投标价法的其投标文件技术部分符合性评审不合格，由评标委员会作否决投标处理；采用综合评估法的其投标文件技术部分为零分。</w:t>
            </w:r>
          </w:p>
          <w:p>
            <w:pPr>
              <w:adjustRightInd w:val="0"/>
              <w:snapToGrid w:val="0"/>
              <w:spacing w:line="400" w:lineRule="exact"/>
              <w:ind w:firstLine="420" w:firstLineChars="200"/>
              <w:rPr>
                <w:rFonts w:hint="eastAsia"/>
              </w:rPr>
            </w:pPr>
            <w:r>
              <w:rPr>
                <w:rFonts w:hint="eastAsia" w:ascii="Times New Roman" w:hAnsi="Times New Roman"/>
                <w:szCs w:val="24"/>
              </w:rPr>
              <w:t>（技术</w:t>
            </w:r>
            <w:r>
              <w:rPr>
                <w:rFonts w:hint="eastAsia"/>
                <w:szCs w:val="24"/>
                <w:lang w:val="en-US" w:eastAsia="zh-CN"/>
              </w:rPr>
              <w:t>部分</w:t>
            </w:r>
            <w:r>
              <w:rPr>
                <w:rFonts w:hint="eastAsia" w:ascii="Times New Roman" w:hAnsi="Times New Roman"/>
                <w:szCs w:val="24"/>
              </w:rPr>
              <w:t>原则上不超过</w:t>
            </w:r>
            <w:r>
              <w:rPr>
                <w:rFonts w:hint="eastAsia" w:ascii="Times New Roman" w:hAnsi="Times New Roman"/>
                <w:szCs w:val="24"/>
                <w:u w:val="single"/>
              </w:rPr>
              <w:t xml:space="preserve">    </w:t>
            </w:r>
            <w:r>
              <w:rPr>
                <w:rFonts w:hint="eastAsia" w:ascii="Times New Roman" w:hAnsi="Times New Roman"/>
                <w:szCs w:val="24"/>
              </w:rPr>
              <w:t>页</w:t>
            </w:r>
            <w:r>
              <w:rPr>
                <w:rFonts w:hint="eastAsia"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但不得将页数作为评审因素</w:t>
            </w:r>
            <w:r>
              <w:rPr>
                <w:rFonts w:hint="eastAsia" w:ascii="Times New Roman" w:hAnsi="Times New Roman"/>
                <w:szCs w:val="24"/>
              </w:rPr>
              <w:t>。）</w:t>
            </w:r>
          </w:p>
          <w:p>
            <w:pPr>
              <w:adjustRightInd w:val="0"/>
              <w:snapToGrid w:val="0"/>
              <w:spacing w:line="400" w:lineRule="exact"/>
              <w:ind w:firstLine="420" w:firstLineChars="200"/>
            </w:pPr>
            <w:r>
              <w:rPr>
                <w:rFonts w:hint="eastAsia"/>
              </w:rPr>
              <w:t>（</w:t>
            </w:r>
            <w:r>
              <w:rPr>
                <w:rFonts w:hint="eastAsia"/>
                <w:lang w:val="en-US" w:eastAsia="zh-CN"/>
              </w:rPr>
              <w:t>5</w:t>
            </w:r>
            <w:r>
              <w:rPr>
                <w:rFonts w:hint="eastAsia"/>
              </w:rPr>
              <w:t>）资格审查部分</w:t>
            </w:r>
          </w:p>
          <w:p>
            <w:pPr>
              <w:adjustRightInd w:val="0"/>
              <w:snapToGrid w:val="0"/>
              <w:spacing w:line="400" w:lineRule="exact"/>
              <w:ind w:firstLine="420" w:firstLineChars="200"/>
              <w:rPr>
                <w:rFonts w:hint="eastAsia"/>
              </w:rPr>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vAlign w:val="center"/>
          </w:tcPr>
          <w:p>
            <w:pPr>
              <w:adjustRightInd w:val="0"/>
              <w:snapToGrid w:val="0"/>
              <w:spacing w:line="400" w:lineRule="exact"/>
              <w:ind w:firstLine="420" w:firstLineChars="200"/>
              <w:rPr>
                <w:i/>
                <w:iCs/>
              </w:rPr>
            </w:pPr>
            <w:r>
              <w:rPr>
                <w:i/>
                <w:iCs/>
              </w:rPr>
              <w:t>[提示：适用于电子标明标编制要求]</w:t>
            </w:r>
          </w:p>
          <w:p>
            <w:pPr>
              <w:adjustRightInd w:val="0"/>
              <w:snapToGrid w:val="0"/>
              <w:spacing w:line="400" w:lineRule="exact"/>
              <w:ind w:firstLine="420" w:firstLineChars="200"/>
            </w:pPr>
            <w:r>
              <w:rPr>
                <w:rFonts w:hint="eastAsia"/>
              </w:rPr>
              <w:t>具体要求：</w:t>
            </w:r>
          </w:p>
          <w:p>
            <w:pPr>
              <w:adjustRightInd w:val="0"/>
              <w:snapToGrid w:val="0"/>
              <w:spacing w:line="400" w:lineRule="exact"/>
              <w:ind w:firstLine="420" w:firstLineChars="200"/>
            </w:pPr>
            <w:r>
              <w:rPr>
                <w:rFonts w:hint="eastAsia"/>
              </w:rPr>
              <w:t>（1）投标函部分</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2</w:t>
            </w:r>
            <w:r>
              <w:rPr>
                <w:rFonts w:hint="eastAsia"/>
              </w:rPr>
              <w:t>）</w:t>
            </w:r>
            <w:r>
              <w:rPr>
                <w:rFonts w:hint="eastAsia"/>
                <w:lang w:val="en-US" w:eastAsia="zh-CN"/>
              </w:rPr>
              <w:t>报价</w:t>
            </w:r>
            <w:r>
              <w:rPr>
                <w:rFonts w:hint="eastAsia"/>
              </w:rPr>
              <w:t>部分</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3</w:t>
            </w:r>
            <w:r>
              <w:rPr>
                <w:rFonts w:hint="eastAsia"/>
              </w:rPr>
              <w:t>）商务部分（如有）</w:t>
            </w:r>
          </w:p>
          <w:p>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rPr>
              <w:t>（</w:t>
            </w:r>
            <w:r>
              <w:rPr>
                <w:rFonts w:hint="eastAsia"/>
                <w:lang w:val="en-US" w:eastAsia="zh-CN"/>
              </w:rPr>
              <w:t>4</w:t>
            </w:r>
            <w:r>
              <w:rPr>
                <w:rFonts w:hint="eastAsia"/>
              </w:rPr>
              <w:t>）技术部分（如有）</w:t>
            </w:r>
          </w:p>
          <w:p>
            <w:pPr>
              <w:adjustRightInd w:val="0"/>
              <w:snapToGrid w:val="0"/>
              <w:spacing w:line="400" w:lineRule="exact"/>
              <w:ind w:firstLine="420" w:firstLineChars="200"/>
              <w:rPr>
                <w:rFonts w:hint="eastAsia"/>
              </w:rPr>
            </w:pPr>
            <w:r>
              <w:rPr>
                <w:rFonts w:hint="eastAsia"/>
              </w:rPr>
              <w:t>电子投标文件技术明标不设封面，应按照第八章规定格式排版，</w:t>
            </w:r>
            <w:r>
              <w:rPr>
                <w:rFonts w:hint="eastAsia"/>
                <w:lang w:val="en-US" w:eastAsia="zh-CN"/>
              </w:rPr>
              <w:t>原则上</w:t>
            </w:r>
            <w:r>
              <w:rPr>
                <w:rFonts w:hint="eastAsia"/>
              </w:rPr>
              <w:t>应编制目录，</w:t>
            </w:r>
            <w:r>
              <w:rPr>
                <w:rFonts w:hint="eastAsia"/>
                <w:lang w:val="en-US" w:eastAsia="zh-CN"/>
              </w:rPr>
              <w:t>但不得将封面设置、目录编制作为评审因素</w:t>
            </w:r>
            <w:r>
              <w:rPr>
                <w:rFonts w:hint="eastAsia"/>
              </w:rPr>
              <w:t>。注：技术部分采用明标评审时，不因形式问题（包括但不限于封面、页码、目录、字体、格式等）而被否决投标。</w:t>
            </w:r>
          </w:p>
          <w:p>
            <w:pPr>
              <w:adjustRightInd w:val="0"/>
              <w:snapToGrid w:val="0"/>
              <w:spacing w:line="400" w:lineRule="exact"/>
              <w:ind w:firstLine="420" w:firstLineChars="200"/>
              <w:rPr>
                <w:rFonts w:hint="eastAsia"/>
              </w:rPr>
            </w:pPr>
            <w:r>
              <w:rPr>
                <w:rFonts w:hint="eastAsia" w:ascii="Times New Roman" w:hAnsi="Times New Roman"/>
                <w:szCs w:val="24"/>
              </w:rPr>
              <w:t>（技术</w:t>
            </w:r>
            <w:r>
              <w:rPr>
                <w:rFonts w:hint="eastAsia"/>
                <w:szCs w:val="24"/>
                <w:lang w:val="en-US" w:eastAsia="zh-CN"/>
              </w:rPr>
              <w:t>部分</w:t>
            </w:r>
            <w:r>
              <w:rPr>
                <w:rFonts w:hint="eastAsia" w:ascii="Times New Roman" w:hAnsi="Times New Roman"/>
                <w:szCs w:val="24"/>
              </w:rPr>
              <w:t>原则上不超过</w:t>
            </w:r>
            <w:r>
              <w:rPr>
                <w:rFonts w:hint="eastAsia" w:ascii="Times New Roman" w:hAnsi="Times New Roman"/>
                <w:szCs w:val="24"/>
                <w:u w:val="single"/>
              </w:rPr>
              <w:t xml:space="preserve">    </w:t>
            </w:r>
            <w:r>
              <w:rPr>
                <w:rFonts w:hint="eastAsia" w:ascii="Times New Roman" w:hAnsi="Times New Roman"/>
                <w:szCs w:val="24"/>
              </w:rPr>
              <w:t>页</w:t>
            </w:r>
            <w:r>
              <w:rPr>
                <w:rFonts w:hint="eastAsia"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但不得将页数作为评审因素</w:t>
            </w:r>
            <w:r>
              <w:rPr>
                <w:rFonts w:hint="eastAsia" w:ascii="Times New Roman" w:hAnsi="Times New Roman"/>
                <w:szCs w:val="24"/>
              </w:rPr>
              <w:t>。）</w:t>
            </w:r>
          </w:p>
          <w:p>
            <w:pPr>
              <w:adjustRightInd w:val="0"/>
              <w:snapToGrid w:val="0"/>
              <w:spacing w:line="400" w:lineRule="exact"/>
              <w:ind w:firstLine="420" w:firstLineChars="200"/>
            </w:pPr>
            <w:r>
              <w:rPr>
                <w:rFonts w:hint="eastAsia"/>
              </w:rPr>
              <w:t>（</w:t>
            </w:r>
            <w:r>
              <w:rPr>
                <w:rFonts w:hint="eastAsia"/>
                <w:lang w:val="en-US" w:eastAsia="zh-CN"/>
              </w:rPr>
              <w:t>5</w:t>
            </w:r>
            <w:r>
              <w:rPr>
                <w:rFonts w:hint="eastAsia"/>
              </w:rPr>
              <w:t>）资格审查部分</w:t>
            </w:r>
          </w:p>
          <w:p>
            <w:pPr>
              <w:adjustRightInd w:val="0"/>
              <w:snapToGrid w:val="0"/>
              <w:spacing w:line="400" w:lineRule="exact"/>
              <w:ind w:firstLine="420" w:firstLineChars="200"/>
              <w:rPr>
                <w:rFonts w:hint="eastAsia"/>
              </w:rPr>
            </w:pPr>
            <w:r>
              <w:rPr>
                <w:rFonts w:hint="eastAsia"/>
              </w:rPr>
              <w:t>应按照第八章规定格式排版，</w:t>
            </w:r>
            <w:r>
              <w:rPr>
                <w:rFonts w:hint="eastAsia"/>
                <w:lang w:val="en-US" w:eastAsia="zh-CN"/>
              </w:rPr>
              <w:t>原则上</w:t>
            </w:r>
            <w:r>
              <w:rPr>
                <w:rFonts w:hint="eastAsia"/>
              </w:rPr>
              <w:t>应编制目录，但不得将目录编制作为评审因素。</w:t>
            </w:r>
          </w:p>
          <w:p>
            <w:pPr>
              <w:adjustRightInd w:val="0"/>
              <w:snapToGrid w:val="0"/>
              <w:spacing w:line="400" w:lineRule="exact"/>
              <w:ind w:firstLine="420" w:firstLineChars="200"/>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490" w:type="dxa"/>
            <w:vAlign w:val="center"/>
          </w:tcPr>
          <w:p>
            <w:pPr>
              <w:spacing w:line="400" w:lineRule="exact"/>
              <w:ind w:firstLine="420" w:firstLineChars="200"/>
            </w:pPr>
            <w:r>
              <w:rPr>
                <w:rFonts w:hint="eastAsia"/>
              </w:rPr>
              <w:t>电子投标文件的加密</w:t>
            </w:r>
          </w:p>
          <w:p>
            <w:pPr>
              <w:spacing w:line="400" w:lineRule="exact"/>
              <w:ind w:firstLine="420" w:firstLineChars="200"/>
            </w:pPr>
            <w:r>
              <w:rPr>
                <w:rFonts w:hint="eastAsia"/>
              </w:rPr>
              <w:t>加密的电子投标文件应按照本章第4.1.3项要求制作并加密，未按要求加密的电子投标文件，将无法上传至重庆市电子招投标系统，逾期未完成投标文件上传的，视为撤回投标文件。</w:t>
            </w:r>
          </w:p>
          <w:p>
            <w:pPr>
              <w:adjustRightInd w:val="0"/>
              <w:snapToGrid w:val="0"/>
              <w:spacing w:line="400" w:lineRule="exact"/>
              <w:ind w:firstLine="420" w:firstLineChars="200"/>
            </w:pPr>
            <w:r>
              <w:rPr>
                <w:rFonts w:hint="eastAsia"/>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lang w:val="en-US" w:eastAsia="zh-CN"/>
              </w:rPr>
              <w:t>应当</w:t>
            </w:r>
            <w:r>
              <w:rPr>
                <w:rFonts w:hint="eastAsia"/>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封套上写明</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重庆市公共资源交易中心开标区</w:t>
            </w:r>
            <w:r>
              <w:rPr>
                <w:rFonts w:hint="eastAsia" w:ascii="宋体" w:hAnsi="宋体"/>
                <w:bCs/>
                <w:szCs w:val="21"/>
              </w:rPr>
              <w:t>（具体请</w:t>
            </w:r>
            <w:r>
              <w:rPr>
                <w:rFonts w:hint="eastAsia" w:ascii="宋体" w:hAnsi="宋体"/>
                <w:bCs/>
                <w:szCs w:val="21"/>
                <w:lang w:eastAsia="zh-CN"/>
              </w:rPr>
              <w:t>登录</w:t>
            </w:r>
            <w:r>
              <w:rPr>
                <w:rFonts w:hint="eastAsia" w:ascii="宋体" w:hAnsi="宋体"/>
                <w:bCs/>
                <w:szCs w:val="21"/>
                <w:u w:val="single"/>
              </w:rPr>
              <w:t>重庆市公共资源交易网</w:t>
            </w:r>
            <w:r>
              <w:rPr>
                <w:rFonts w:hint="eastAsia" w:ascii="宋体" w:hAnsi="宋体"/>
                <w:bCs/>
                <w:szCs w:val="21"/>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是否退还投标文件</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开标时间和</w:t>
            </w:r>
          </w:p>
          <w:p>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pPr>
              <w:snapToGrid w:val="0"/>
              <w:spacing w:line="400" w:lineRule="exact"/>
              <w:ind w:firstLine="420" w:firstLineChars="200"/>
            </w:pPr>
            <w:r>
              <w:t>开标时间：同投标截止时间</w:t>
            </w:r>
          </w:p>
          <w:p>
            <w:pPr>
              <w:snapToGrid w:val="0"/>
              <w:spacing w:line="400" w:lineRule="exact"/>
              <w:ind w:firstLine="420" w:firstLineChars="200"/>
            </w:pPr>
            <w:r>
              <w:t>开标地点：</w:t>
            </w:r>
            <w:r>
              <w:rPr>
                <w:u w:val="single"/>
              </w:rPr>
              <w:t>重庆市</w:t>
            </w:r>
            <w:r>
              <w:rPr>
                <w:rFonts w:hint="eastAsia"/>
                <w:u w:val="single"/>
              </w:rPr>
              <w:t>公共资源</w:t>
            </w:r>
            <w:r>
              <w:rPr>
                <w:u w:val="single"/>
              </w:rPr>
              <w:t>交易中</w:t>
            </w:r>
            <w:bookmarkStart w:id="3352" w:name="_GoBack"/>
            <w:bookmarkEnd w:id="3352"/>
            <w:r>
              <w:rPr>
                <w:u w:val="single"/>
              </w:rPr>
              <w:t>心开标室</w:t>
            </w:r>
            <w:r>
              <w:t>（具体请</w:t>
            </w:r>
            <w:r>
              <w:rPr>
                <w:rFonts w:hint="eastAsia"/>
                <w:lang w:eastAsia="zh-CN"/>
              </w:rPr>
              <w:t>登录</w:t>
            </w:r>
            <w:r>
              <w:rPr>
                <w:rFonts w:hint="eastAsia"/>
                <w:u w:val="single"/>
              </w:rPr>
              <w:t>重庆市公共资源交易网</w:t>
            </w:r>
            <w:r>
              <w:t>查询或递交文件当日见交易中心大厅电子显示屏）。</w:t>
            </w:r>
          </w:p>
          <w:p>
            <w:pPr>
              <w:snapToGrid w:val="0"/>
              <w:spacing w:line="400" w:lineRule="exact"/>
              <w:ind w:firstLine="420" w:firstLineChars="200"/>
            </w:pPr>
            <w:r>
              <w:rPr>
                <w:rFonts w:hint="eastAsia"/>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snapToGrid w:val="0"/>
              <w:spacing w:line="400" w:lineRule="exact"/>
              <w:ind w:firstLine="420" w:firstLineChars="200"/>
            </w:pPr>
            <w:r>
              <w:rPr>
                <w:rFonts w:hint="eastAsia"/>
                <w:bCs/>
              </w:rPr>
              <w:t>2、本项目开标</w:t>
            </w:r>
            <w:r>
              <w:rPr>
                <w:rFonts w:hint="eastAsia"/>
                <w:bCs/>
                <w:lang w:val="en-US" w:eastAsia="zh-CN"/>
              </w:rPr>
              <w:t>采用</w:t>
            </w:r>
            <w:r>
              <w:rPr>
                <w:rFonts w:hint="eastAsia"/>
                <w:bCs/>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w:t>
            </w:r>
            <w:r>
              <w:rPr>
                <w:rFonts w:hint="eastAsia" w:ascii="宋体" w:hAnsi="宋体"/>
                <w:bCs/>
                <w:szCs w:val="21"/>
              </w:rPr>
              <w:t>延长解密时间；</w:t>
            </w:r>
            <w:r>
              <w:rPr>
                <w:rFonts w:hint="eastAsia" w:ascii="宋体" w:hAnsi="宋体"/>
                <w:kern w:val="0"/>
                <w:szCs w:val="21"/>
              </w:rPr>
              <w:t>因投标人原因未完成解密工作的，视为撤销其投标文件，其投标保证金</w:t>
            </w:r>
            <w:r>
              <w:rPr>
                <w:rFonts w:hint="eastAsia" w:ascii="宋体" w:hAnsi="宋体"/>
                <w:kern w:val="0"/>
                <w:szCs w:val="21"/>
                <w:lang w:val="en-US" w:eastAsia="zh-CN"/>
              </w:rPr>
              <w:t>以现金形式交纳的</w:t>
            </w:r>
            <w:r>
              <w:rPr>
                <w:rFonts w:hint="eastAsia" w:ascii="宋体" w:hAnsi="宋体"/>
                <w:kern w:val="0"/>
                <w:szCs w:val="21"/>
              </w:rPr>
              <w:t>不予退还</w:t>
            </w:r>
            <w:r>
              <w:rPr>
                <w:rFonts w:hint="eastAsia" w:ascii="宋体" w:hAnsi="宋体" w:eastAsia="宋体" w:cs="Times New Roman"/>
                <w:kern w:val="0"/>
                <w:szCs w:val="21"/>
                <w:lang w:eastAsia="zh-CN"/>
              </w:rPr>
              <w:t>，</w:t>
            </w:r>
            <w:r>
              <w:rPr>
                <w:rFonts w:hint="eastAsia" w:ascii="宋体" w:hAnsi="宋体" w:eastAsia="宋体" w:cs="Times New Roman"/>
                <w:kern w:val="0"/>
                <w:szCs w:val="21"/>
              </w:rPr>
              <w:t>以保函形式交纳的由保函开立人支付保函担保的与投标保证金等额的款项</w:t>
            </w:r>
            <w:r>
              <w:rPr>
                <w:rFonts w:hint="eastAsia"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pPr>
              <w:snapToGrid w:val="0"/>
              <w:spacing w:line="400" w:lineRule="exact"/>
              <w:jc w:val="center"/>
              <w:rPr>
                <w:rFonts w:ascii="宋体" w:hAnsi="宋体"/>
                <w:szCs w:val="21"/>
              </w:rPr>
            </w:pPr>
            <w:r>
              <w:rPr>
                <w:rFonts w:hint="eastAsia" w:ascii="宋体" w:hAnsi="宋体"/>
                <w:szCs w:val="21"/>
              </w:rPr>
              <w:t>开标程序</w:t>
            </w:r>
          </w:p>
        </w:tc>
        <w:tc>
          <w:tcPr>
            <w:tcW w:w="6490" w:type="dxa"/>
            <w:vAlign w:val="center"/>
          </w:tcPr>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 汇总投标保证金交纳情况</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 公布最高限价。</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6. 公布投标人名称、投标报价、质量目标、工期及其他内容。</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□7. 对采用综合评估法的项目，需要抽取</w:t>
            </w:r>
            <w:r>
              <w:rPr>
                <w:rFonts w:hint="eastAsia" w:ascii="宋体" w:hAnsi="宋体"/>
                <w:szCs w:val="21"/>
                <w:lang w:val="en-US" w:eastAsia="zh-CN"/>
              </w:rPr>
              <w:t>下浮系数N</w:t>
            </w:r>
            <w:r>
              <w:rPr>
                <w:rFonts w:hint="eastAsia" w:ascii="宋体" w:hAnsi="宋体"/>
                <w:szCs w:val="21"/>
              </w:rPr>
              <w:t>的，在开标现场完成抽取，抽取结果记入开标记录表。相关系数抽取方式如下：</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纸质投标保函原件、投标保证金缴纳情况表、开标记录表、投标人信用情况汇总表一并交由评标委员会评审。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7.1</w:t>
            </w:r>
          </w:p>
        </w:tc>
        <w:tc>
          <w:tcPr>
            <w:tcW w:w="1644" w:type="dxa"/>
            <w:vAlign w:val="center"/>
          </w:tcPr>
          <w:p>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w:t>
            </w:r>
            <w:r>
              <w:rPr>
                <w:rFonts w:hint="eastAsia" w:ascii="宋体" w:hAnsi="宋体"/>
                <w:kern w:val="0"/>
                <w:szCs w:val="21"/>
                <w:lang w:val="en-US" w:eastAsia="zh-CN"/>
              </w:rPr>
              <w:t>3</w:t>
            </w:r>
            <w:r>
              <w:rPr>
                <w:rFonts w:ascii="宋体" w:hAnsi="宋体"/>
                <w:kern w:val="0"/>
                <w:szCs w:val="21"/>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ascii="宋体" w:hAnsi="宋体"/>
                <w:kern w:val="0"/>
                <w:szCs w:val="21"/>
              </w:rPr>
              <w:t>。</w:t>
            </w:r>
          </w:p>
          <w:p>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w:t>
            </w:r>
            <w:r>
              <w:rPr>
                <w:rFonts w:hint="eastAsia" w:ascii="宋体" w:hAnsi="宋体"/>
                <w:kern w:val="0"/>
                <w:szCs w:val="21"/>
                <w:lang w:val="en-US" w:eastAsia="zh-CN"/>
              </w:rPr>
              <w:t>3</w:t>
            </w:r>
            <w:r>
              <w:rPr>
                <w:rFonts w:ascii="宋体" w:hAnsi="宋体"/>
                <w:kern w:val="0"/>
                <w:szCs w:val="21"/>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ascii="宋体" w:hAnsi="宋体"/>
                <w:kern w:val="0"/>
                <w:szCs w:val="21"/>
              </w:rPr>
              <w:t>。</w:t>
            </w:r>
          </w:p>
          <w:p>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snapToGrid w:val="0"/>
              <w:spacing w:line="400" w:lineRule="exact"/>
              <w:jc w:val="center"/>
              <w:rPr>
                <w:rFonts w:ascii="宋体" w:hAnsi="宋体"/>
                <w:kern w:val="0"/>
                <w:szCs w:val="21"/>
              </w:rPr>
            </w:pPr>
            <w:r>
              <w:rPr>
                <w:rFonts w:hint="eastAsia" w:ascii="宋体" w:hAnsi="宋体"/>
                <w:kern w:val="0"/>
                <w:szCs w:val="21"/>
              </w:rPr>
              <w:t>7.2</w:t>
            </w:r>
          </w:p>
        </w:tc>
        <w:tc>
          <w:tcPr>
            <w:tcW w:w="1644" w:type="dxa"/>
            <w:vAlign w:val="center"/>
          </w:tcPr>
          <w:p>
            <w:pPr>
              <w:snapToGrid w:val="0"/>
              <w:spacing w:after="62" w:afterLines="20" w:line="400" w:lineRule="exact"/>
              <w:jc w:val="center"/>
              <w:rPr>
                <w:rFonts w:ascii="宋体" w:hAnsi="宋体"/>
                <w:kern w:val="0"/>
                <w:szCs w:val="21"/>
              </w:rPr>
            </w:pPr>
            <w:r>
              <w:rPr>
                <w:rFonts w:ascii="宋体" w:hAnsi="宋体"/>
                <w:kern w:val="0"/>
                <w:szCs w:val="21"/>
              </w:rPr>
              <w:t>中标</w:t>
            </w:r>
            <w:r>
              <w:rPr>
                <w:rFonts w:hint="eastAsia" w:ascii="宋体" w:hAnsi="宋体"/>
                <w:kern w:val="0"/>
                <w:szCs w:val="21"/>
                <w:lang w:val="en-US" w:eastAsia="zh-CN"/>
              </w:rPr>
              <w:t>候选人</w:t>
            </w:r>
            <w:r>
              <w:rPr>
                <w:rFonts w:ascii="宋体" w:hAnsi="宋体"/>
                <w:kern w:val="0"/>
                <w:szCs w:val="21"/>
              </w:rPr>
              <w:t>公示</w:t>
            </w:r>
          </w:p>
        </w:tc>
        <w:tc>
          <w:tcPr>
            <w:tcW w:w="6490" w:type="dxa"/>
            <w:vAlign w:val="center"/>
          </w:tcPr>
          <w:p>
            <w:pPr>
              <w:snapToGrid w:val="0"/>
              <w:spacing w:line="400" w:lineRule="exact"/>
              <w:ind w:firstLine="420" w:firstLineChars="200"/>
              <w:rPr>
                <w:rFonts w:ascii="宋体" w:hAnsi="宋体"/>
                <w:kern w:val="0"/>
                <w:szCs w:val="21"/>
                <w:u w:val="single"/>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w:t>
            </w:r>
            <w:r>
              <w:rPr>
                <w:rFonts w:hint="eastAsia" w:ascii="宋体" w:hAnsi="宋体" w:cs="宋体"/>
                <w:szCs w:val="21"/>
                <w:lang w:val="en-US" w:eastAsia="zh-CN"/>
              </w:rPr>
              <w:t>不少于</w:t>
            </w:r>
            <w:r>
              <w:rPr>
                <w:rFonts w:ascii="宋体" w:hAnsi="宋体" w:cs="宋体"/>
                <w:szCs w:val="21"/>
              </w:rPr>
              <w:t>3日</w:t>
            </w:r>
            <w:r>
              <w:rPr>
                <w:rFonts w:hint="eastAsia" w:ascii="宋体" w:hAnsi="宋体" w:cs="宋体"/>
                <w:szCs w:val="21"/>
              </w:rPr>
              <w:t>。为深化信息公开，接受社会监督，按照《招标公告和公示信息发布管理办法》（国家发改委令第10号）的要求，公示内容包括中标候选人名称、排序、投标报价、质量、工期；中标候选人资质、投标业绩名称</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，中标候选人工程总承包项目经理、设计负责人</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、施工负责人</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的姓名及其相关证书名称和编号、投标业绩名称</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w:t>
            </w:r>
            <w:r>
              <w:rPr>
                <w:rFonts w:hint="eastAsia" w:ascii="宋体" w:hAnsi="宋体"/>
                <w:kern w:val="0"/>
                <w:szCs w:val="21"/>
              </w:rPr>
              <w:t>□</w:t>
            </w:r>
            <w:r>
              <w:rPr>
                <w:rFonts w:hint="eastAsia" w:ascii="宋体" w:hAnsi="宋体" w:cs="宋体"/>
                <w:szCs w:val="21"/>
              </w:rPr>
              <w:t>未递交投标保证金且提交了《</w:t>
            </w:r>
            <w:r>
              <w:rPr>
                <w:rFonts w:hint="eastAsia" w:ascii="宋体" w:hAnsi="宋体" w:cs="宋体"/>
                <w:szCs w:val="21"/>
                <w:lang w:eastAsia="zh-CN"/>
              </w:rPr>
              <w:t>中小企业声明函</w:t>
            </w:r>
            <w:r>
              <w:rPr>
                <w:rFonts w:hint="eastAsia" w:ascii="宋体" w:hAnsi="宋体" w:cs="宋体"/>
                <w:szCs w:val="21"/>
              </w:rPr>
              <w:t>》的中标候选人名单；</w:t>
            </w:r>
            <w:r>
              <w:rPr>
                <w:rFonts w:hint="eastAsia" w:ascii="宋体" w:hAnsi="宋体"/>
                <w:kern w:val="0"/>
                <w:szCs w:val="21"/>
              </w:rPr>
              <w:t>□</w:t>
            </w:r>
            <w:r>
              <w:rPr>
                <w:rFonts w:hint="eastAsia" w:ascii="宋体" w:hAnsi="宋体" w:cs="宋体"/>
                <w:szCs w:val="21"/>
              </w:rPr>
              <w:t>中标候选人提交</w:t>
            </w:r>
            <w:r>
              <w:rPr>
                <w:rFonts w:hint="eastAsia" w:ascii="宋体" w:hAnsi="宋体" w:cs="宋体"/>
                <w:szCs w:val="21"/>
                <w:lang w:eastAsia="zh-CN"/>
              </w:rPr>
              <w:t>的</w:t>
            </w:r>
            <w:r>
              <w:rPr>
                <w:rFonts w:hint="eastAsia" w:ascii="宋体" w:hAnsi="宋体" w:cs="宋体"/>
                <w:szCs w:val="21"/>
              </w:rPr>
              <w:t>《中小企业声明函》（属于政府采购工程时适用）；否决投标情况及理由；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hint="eastAsia" w:ascii="宋体" w:hAnsi="宋体"/>
                <w:kern w:val="0"/>
                <w:szCs w:val="21"/>
              </w:rPr>
            </w:pPr>
          </w:p>
        </w:tc>
        <w:tc>
          <w:tcPr>
            <w:tcW w:w="1644" w:type="dxa"/>
            <w:vAlign w:val="center"/>
          </w:tcPr>
          <w:p>
            <w:pPr>
              <w:snapToGrid w:val="0"/>
              <w:spacing w:after="62" w:afterLines="20"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中标结果公告</w:t>
            </w:r>
          </w:p>
        </w:tc>
        <w:tc>
          <w:tcPr>
            <w:tcW w:w="6490"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7.</w:t>
            </w:r>
            <w:r>
              <w:rPr>
                <w:rFonts w:hint="eastAsia" w:ascii="宋体" w:hAnsi="宋体"/>
                <w:kern w:val="0"/>
                <w:szCs w:val="21"/>
              </w:rPr>
              <w:t>4</w:t>
            </w:r>
            <w:r>
              <w:rPr>
                <w:rFonts w:ascii="宋体" w:hAnsi="宋体"/>
                <w:kern w:val="0"/>
                <w:szCs w:val="21"/>
              </w:rPr>
              <w:t>.1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履约担保</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ascii="宋体" w:hAnsi="宋体"/>
                <w:i/>
                <w:iCs/>
                <w:kern w:val="0"/>
                <w:szCs w:val="21"/>
              </w:rPr>
              <w:t>[提示：招标人要求中标人提供履约担保的，应向中标人提供相应的支付担保。]</w:t>
            </w:r>
          </w:p>
          <w:p>
            <w:pPr>
              <w:snapToGrid w:val="0"/>
              <w:spacing w:line="400" w:lineRule="exact"/>
              <w:ind w:firstLine="420" w:firstLineChars="200"/>
              <w:rPr>
                <w:rFonts w:ascii="宋体" w:hAnsi="宋体"/>
                <w:kern w:val="0"/>
                <w:szCs w:val="21"/>
              </w:rPr>
            </w:pPr>
            <w:r>
              <w:rPr>
                <w:rFonts w:hint="eastAsia" w:ascii="宋体" w:hAnsi="宋体"/>
                <w:kern w:val="0"/>
                <w:szCs w:val="21"/>
              </w:rPr>
              <w:t>若投标人为联合体，由联合体牵头人或按照</w:t>
            </w:r>
            <w:r>
              <w:rPr>
                <w:rFonts w:hint="eastAsia" w:ascii="宋体" w:hAnsi="宋体"/>
                <w:kern w:val="0"/>
                <w:szCs w:val="21"/>
                <w:lang w:val="en-US" w:eastAsia="zh-CN"/>
              </w:rPr>
              <w:t>共同投标</w:t>
            </w:r>
            <w:r>
              <w:rPr>
                <w:rFonts w:hint="eastAsia" w:ascii="宋体" w:hAnsi="宋体"/>
                <w:kern w:val="0"/>
                <w:szCs w:val="21"/>
              </w:rPr>
              <w:t>协议的约定提交履约担保。</w:t>
            </w:r>
          </w:p>
          <w:p>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pPr>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rPr>
              <w:t>（1）履约担保的形式：现金或</w:t>
            </w:r>
            <w:r>
              <w:rPr>
                <w:rFonts w:hint="eastAsia" w:ascii="宋体" w:hAnsi="宋体"/>
                <w:kern w:val="0"/>
                <w:szCs w:val="21"/>
                <w:lang w:eastAsia="zh-CN"/>
              </w:rPr>
              <w:t>履约</w:t>
            </w:r>
            <w:r>
              <w:rPr>
                <w:rFonts w:hint="eastAsia" w:ascii="宋体" w:hAnsi="宋体"/>
                <w:kern w:val="0"/>
                <w:szCs w:val="21"/>
              </w:rPr>
              <w:t>保函或现金</w:t>
            </w:r>
            <w:r>
              <w:rPr>
                <w:rFonts w:ascii="宋体" w:hAnsi="宋体"/>
                <w:kern w:val="0"/>
                <w:szCs w:val="21"/>
              </w:rPr>
              <w:t>+</w:t>
            </w:r>
            <w:r>
              <w:rPr>
                <w:rFonts w:hint="eastAsia" w:ascii="宋体" w:hAnsi="宋体"/>
                <w:kern w:val="0"/>
                <w:szCs w:val="21"/>
                <w:lang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pPr>
              <w:snapToGrid w:val="0"/>
              <w:spacing w:line="400" w:lineRule="exact"/>
              <w:ind w:firstLine="420" w:firstLineChars="200"/>
              <w:rPr>
                <w:rFonts w:ascii="宋体" w:hAnsi="宋体"/>
                <w:kern w:val="0"/>
                <w:szCs w:val="21"/>
                <w:u w:val="single"/>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i/>
                <w:iCs/>
                <w:kern w:val="0"/>
                <w:szCs w:val="21"/>
                <w:u w:val="single"/>
              </w:rPr>
              <w:t>[提示：不超过中标合同金额的10%。]</w:t>
            </w:r>
          </w:p>
          <w:p>
            <w:pPr>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①红名单优惠：红名单中的中标人履约担保金额为应缴纳金额的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w:t>
            </w:r>
            <w:r>
              <w:rPr>
                <w:rFonts w:hint="eastAsia" w:ascii="宋体" w:hAnsi="宋体"/>
                <w:kern w:val="0"/>
                <w:szCs w:val="21"/>
                <w:lang w:val="en-US" w:eastAsia="zh-CN"/>
              </w:rPr>
              <w:t>共同投标</w:t>
            </w:r>
            <w:r>
              <w:rPr>
                <w:rFonts w:hint="eastAsia" w:ascii="宋体" w:hAnsi="宋体"/>
                <w:kern w:val="0"/>
                <w:szCs w:val="21"/>
              </w:rPr>
              <w:t>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ascii="宋体" w:hAnsi="宋体"/>
                <w:i/>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.5.1</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依法必须进行招标的项目，中标候选人有《</w:t>
            </w:r>
            <w:r>
              <w:rPr>
                <w:rFonts w:hint="eastAsia" w:ascii="宋体" w:hAnsi="宋体"/>
                <w:kern w:val="0"/>
                <w:szCs w:val="21"/>
                <w:lang w:val="en-US" w:eastAsia="zh-CN"/>
              </w:rPr>
              <w:t>中华人民共和国</w:t>
            </w:r>
            <w:r>
              <w:rPr>
                <w:rFonts w:hint="eastAsia" w:ascii="宋体" w:hAnsi="宋体"/>
                <w:kern w:val="0"/>
                <w:szCs w:val="21"/>
              </w:rPr>
              <w:t>招标投标法实施条例》第七十四条规定行为的，视为特别严重信用不良行为且情节特别严重，按信用记分上限一次性记12分，纳入黑名单管理；中标人有《</w:t>
            </w:r>
            <w:r>
              <w:rPr>
                <w:rFonts w:hint="eastAsia" w:ascii="宋体" w:hAnsi="宋体"/>
                <w:kern w:val="0"/>
                <w:szCs w:val="21"/>
                <w:lang w:val="en-US" w:eastAsia="zh-CN"/>
              </w:rPr>
              <w:t>中华人民共和国</w:t>
            </w:r>
            <w:r>
              <w:rPr>
                <w:rFonts w:hint="eastAsia" w:ascii="宋体" w:hAnsi="宋体"/>
                <w:kern w:val="0"/>
                <w:szCs w:val="21"/>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pPr>
              <w:snapToGrid w:val="0"/>
              <w:spacing w:line="400" w:lineRule="exact"/>
              <w:ind w:firstLine="420" w:firstLineChars="200"/>
            </w:pPr>
            <w:r>
              <w:t>1.按投标人须知第8.1（1）执行；</w:t>
            </w:r>
          </w:p>
          <w:p>
            <w:pPr>
              <w:snapToGrid w:val="0"/>
              <w:spacing w:line="400" w:lineRule="exact"/>
              <w:ind w:firstLine="420" w:firstLineChars="200"/>
            </w:pPr>
            <w:r>
              <w:t>2.按投标人须知第8.1（2）执行；</w:t>
            </w:r>
          </w:p>
          <w:p>
            <w:pPr>
              <w:widowControl/>
              <w:spacing w:line="400" w:lineRule="exact"/>
              <w:ind w:firstLine="420" w:firstLineChars="200"/>
            </w:pPr>
            <w:r>
              <w:t>3.按投标人须知第8.1（3）执行；</w:t>
            </w:r>
          </w:p>
          <w:p>
            <w:pPr>
              <w:widowControl/>
              <w:snapToGrid w:val="0"/>
              <w:spacing w:line="400" w:lineRule="exact"/>
              <w:ind w:firstLine="420" w:firstLineChars="200"/>
            </w:pPr>
            <w:r>
              <w:t>4.按投标人须知第8.1（4）执行</w:t>
            </w:r>
            <w:r>
              <w:rPr>
                <w:rFonts w:hint="eastAsia"/>
              </w:rPr>
              <w:t>；</w:t>
            </w:r>
          </w:p>
          <w:p>
            <w:pPr>
              <w:widowControl/>
              <w:snapToGrid w:val="0"/>
              <w:spacing w:line="400" w:lineRule="exact"/>
              <w:ind w:firstLine="420" w:firstLineChars="200"/>
            </w:pPr>
            <w:r>
              <w:rPr>
                <w:rFonts w:hint="eastAsia"/>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pPr>
              <w:snapToGrid w:val="0"/>
              <w:spacing w:line="400" w:lineRule="exact"/>
              <w:jc w:val="center"/>
            </w:pPr>
            <w:bookmarkStart w:id="201" w:name="_Toc13210670"/>
            <w:bookmarkStart w:id="202" w:name="_Toc536628250"/>
            <w:bookmarkStart w:id="203" w:name="_Toc16930431"/>
            <w:bookmarkStart w:id="204" w:name="_Toc430530434"/>
            <w:bookmarkStart w:id="205" w:name="_Toc509218709"/>
            <w:r>
              <w:rPr>
                <w:rFonts w:hint="eastAsia" w:ascii="宋体" w:hAnsi="宋体"/>
                <w:kern w:val="0"/>
                <w:szCs w:val="21"/>
              </w:rPr>
              <w:t>重新</w:t>
            </w:r>
            <w:r>
              <w:rPr>
                <w:rFonts w:ascii="宋体" w:hAnsi="宋体"/>
                <w:kern w:val="0"/>
                <w:szCs w:val="21"/>
              </w:rPr>
              <w:t>招标和不再招标</w:t>
            </w:r>
            <w:bookmarkEnd w:id="201"/>
            <w:bookmarkEnd w:id="202"/>
            <w:bookmarkEnd w:id="203"/>
            <w:bookmarkEnd w:id="204"/>
            <w:bookmarkEnd w:id="205"/>
          </w:p>
        </w:tc>
        <w:tc>
          <w:tcPr>
            <w:tcW w:w="6490" w:type="dxa"/>
            <w:vAlign w:val="center"/>
          </w:tcPr>
          <w:p>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2"/>
            <w:vAlign w:val="center"/>
          </w:tcPr>
          <w:p>
            <w:pPr>
              <w:snapToGrid w:val="0"/>
              <w:spacing w:line="400" w:lineRule="exact"/>
              <w:jc w:val="center"/>
              <w:rPr>
                <w:rFonts w:ascii="宋体" w:hAnsi="宋体"/>
                <w:kern w:val="0"/>
                <w:szCs w:val="21"/>
              </w:rPr>
            </w:pPr>
            <w:r>
              <w:rPr>
                <w:rFonts w:ascii="宋体" w:hAnsi="宋体"/>
                <w:kern w:val="0"/>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10.1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支付担保</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招标人应按第四章专用合同条件的约定向中标人提供相应的支付担保</w:t>
            </w:r>
            <w:r>
              <w:rPr>
                <w:rFonts w:ascii="宋体" w:hAnsi="宋体"/>
                <w:kern w:val="0"/>
                <w:szCs w:val="21"/>
              </w:rPr>
              <w:t>。</w:t>
            </w:r>
          </w:p>
          <w:p>
            <w:pPr>
              <w:snapToGrid w:val="0"/>
              <w:spacing w:after="124"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ascii="宋体" w:hAnsi="宋体"/>
                <w:kern w:val="0"/>
                <w:szCs w:val="21"/>
              </w:rPr>
              <w:t>10.</w:t>
            </w:r>
            <w:r>
              <w:rPr>
                <w:rFonts w:hint="eastAsia" w:ascii="宋体" w:hAnsi="宋体"/>
                <w:kern w:val="0"/>
                <w:szCs w:val="21"/>
                <w:lang w:val="en-US" w:eastAsia="zh-CN"/>
              </w:rPr>
              <w:t>2</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异议及投诉</w:t>
            </w:r>
          </w:p>
        </w:tc>
        <w:tc>
          <w:tcPr>
            <w:tcW w:w="6490" w:type="dxa"/>
            <w:vAlign w:val="center"/>
          </w:tcPr>
          <w:p>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w:t>
            </w:r>
            <w:r>
              <w:rPr>
                <w:rFonts w:hint="eastAsia" w:ascii="宋体" w:hAnsi="宋体"/>
                <w:kern w:val="0"/>
                <w:szCs w:val="21"/>
              </w:rPr>
              <w:t>招标文件（含澄清修改）、开标情况、</w:t>
            </w:r>
            <w:r>
              <w:rPr>
                <w:rFonts w:ascii="宋体" w:hAnsi="宋体"/>
                <w:kern w:val="0"/>
                <w:szCs w:val="21"/>
              </w:rPr>
              <w:t>评标结果等事项提出异议或投诉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提出异议或投诉时应当包括下列内容：</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（1）异议人或投诉人的名称、地址及有效联系方式；</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（2）被异议人或被投诉人的名称、地址及有效联系方式；</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（3）异议或投诉事项的基本事实；</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（4）请求及主张；</w:t>
            </w:r>
          </w:p>
          <w:p>
            <w:pPr>
              <w:widowControl/>
              <w:spacing w:line="400" w:lineRule="exact"/>
              <w:ind w:firstLine="420" w:firstLineChars="200"/>
              <w:rPr>
                <w:rFonts w:ascii="宋体" w:hAnsi="宋体" w:cs="宋体"/>
                <w:kern w:val="0"/>
                <w:szCs w:val="21"/>
              </w:rPr>
            </w:pPr>
            <w:r>
              <w:rPr>
                <w:rFonts w:hint="eastAsia" w:ascii="宋体" w:hAnsi="宋体" w:cs="宋体"/>
                <w:kern w:val="0"/>
                <w:szCs w:val="21"/>
              </w:rPr>
              <w:t>（5）涉及事项的证据、证明材料。</w:t>
            </w:r>
          </w:p>
          <w:p>
            <w:pPr>
              <w:widowControl/>
              <w:spacing w:line="400" w:lineRule="exact"/>
              <w:ind w:firstLine="420" w:firstLineChars="200"/>
              <w:rPr>
                <w:rFonts w:ascii="宋体" w:hAnsi="宋体"/>
                <w:kern w:val="0"/>
                <w:szCs w:val="21"/>
              </w:rPr>
            </w:pPr>
            <w:r>
              <w:rPr>
                <w:rFonts w:hint="eastAsia" w:ascii="宋体" w:hAnsi="宋体" w:cs="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lang w:val="en-US" w:eastAsia="zh-CN"/>
              </w:rPr>
              <w:t>相关</w:t>
            </w:r>
            <w:r>
              <w:rPr>
                <w:rFonts w:ascii="宋体" w:hAnsi="宋体"/>
                <w:kern w:val="0"/>
                <w:szCs w:val="21"/>
              </w:rPr>
              <w:t>法律法规文件处理投诉。</w:t>
            </w:r>
          </w:p>
          <w:p>
            <w:pPr>
              <w:widowControl/>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pPr>
              <w:widowControl/>
              <w:spacing w:line="400" w:lineRule="exact"/>
              <w:ind w:firstLine="420" w:firstLineChars="200"/>
              <w:rPr>
                <w:rFonts w:hint="default" w:ascii="宋体" w:hAnsi="宋体"/>
                <w:kern w:val="0"/>
                <w:szCs w:val="21"/>
                <w:u w:val="single"/>
              </w:rPr>
            </w:pP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异议受理单位：</w:t>
            </w:r>
            <w:r>
              <w:rPr>
                <w:rFonts w:hint="eastAsia" w:ascii="宋体" w:hAnsi="宋体"/>
                <w:kern w:val="0"/>
                <w:szCs w:val="21"/>
                <w:u w:val="single"/>
                <w:lang w:val="en-US" w:eastAsia="zh-CN"/>
              </w:rPr>
              <w:t xml:space="preserve">          </w:t>
            </w:r>
          </w:p>
          <w:p>
            <w:pPr>
              <w:widowControl/>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kern w:val="0"/>
                <w:szCs w:val="21"/>
                <w:u w:val="single"/>
                <w:lang w:val="en-US" w:eastAsia="zh-CN"/>
              </w:rPr>
              <w:t xml:space="preserve">          </w:t>
            </w:r>
          </w:p>
          <w:p>
            <w:pPr>
              <w:widowControl/>
              <w:spacing w:line="400" w:lineRule="exact"/>
              <w:ind w:firstLine="420" w:firstLineChars="200"/>
              <w:rPr>
                <w:rFonts w:ascii="宋体" w:hAnsi="宋体"/>
                <w:kern w:val="0"/>
                <w:szCs w:val="21"/>
              </w:rPr>
            </w:pPr>
            <w:r>
              <w:rPr>
                <w:rFonts w:hint="eastAsia" w:ascii="宋体" w:hAnsi="宋体"/>
                <w:kern w:val="0"/>
                <w:szCs w:val="21"/>
              </w:rPr>
              <w:t>投诉受理部门：</w:t>
            </w:r>
            <w:r>
              <w:rPr>
                <w:rFonts w:hint="eastAsia" w:ascii="宋体" w:hAnsi="宋体"/>
                <w:kern w:val="0"/>
                <w:szCs w:val="21"/>
                <w:u w:val="single"/>
                <w:lang w:val="en-US" w:eastAsia="zh-CN"/>
              </w:rPr>
              <w:t xml:space="preserve">          </w:t>
            </w:r>
          </w:p>
          <w:p>
            <w:pPr>
              <w:widowControl/>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3</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工程量清单</w:t>
            </w:r>
          </w:p>
          <w:p>
            <w:pPr>
              <w:snapToGrid w:val="0"/>
              <w:spacing w:line="400" w:lineRule="exact"/>
              <w:jc w:val="center"/>
              <w:rPr>
                <w:rFonts w:ascii="宋体" w:hAnsi="宋体"/>
                <w:kern w:val="0"/>
                <w:szCs w:val="21"/>
              </w:rPr>
            </w:pPr>
            <w:r>
              <w:rPr>
                <w:rFonts w:hint="eastAsia" w:ascii="宋体" w:hAnsi="宋体"/>
                <w:kern w:val="0"/>
                <w:szCs w:val="21"/>
              </w:rPr>
              <w:t>编制说明（如有）</w:t>
            </w:r>
          </w:p>
        </w:tc>
        <w:tc>
          <w:tcPr>
            <w:tcW w:w="6490" w:type="dxa"/>
            <w:vAlign w:val="center"/>
          </w:tcPr>
          <w:p>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4</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6490" w:type="dxa"/>
            <w:vAlign w:val="center"/>
          </w:tcPr>
          <w:p>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w:t>
            </w:r>
            <w:r>
              <w:rPr>
                <w:rFonts w:hint="eastAsia" w:ascii="宋体" w:hAnsi="宋体"/>
                <w:kern w:val="0"/>
                <w:szCs w:val="21"/>
                <w:highlight w:val="none"/>
                <w:u w:val="single"/>
                <w:lang w:val="en-US" w:eastAsia="zh-CN"/>
              </w:rPr>
              <w:t>及国家</w:t>
            </w:r>
            <w:r>
              <w:rPr>
                <w:rFonts w:ascii="宋体" w:hAnsi="宋体"/>
                <w:szCs w:val="21"/>
                <w:highlight w:val="none"/>
                <w:u w:val="single"/>
              </w:rPr>
              <w:t>和重庆市现行有关</w:t>
            </w:r>
            <w:r>
              <w:rPr>
                <w:rFonts w:ascii="宋体" w:hAnsi="宋体"/>
                <w:kern w:val="0"/>
                <w:szCs w:val="21"/>
                <w:highlight w:val="none"/>
              </w:rPr>
              <w:t>农民工工资</w:t>
            </w:r>
            <w:r>
              <w:rPr>
                <w:rFonts w:hint="eastAsia" w:ascii="宋体" w:hAnsi="宋体"/>
                <w:kern w:val="0"/>
                <w:szCs w:val="21"/>
                <w:highlight w:val="none"/>
                <w:lang w:val="en-US" w:eastAsia="zh-CN"/>
              </w:rPr>
              <w:t>支付规定</w:t>
            </w:r>
            <w:r>
              <w:rPr>
                <w:rFonts w:hint="eastAsia" w:ascii="宋体" w:hAnsi="宋体"/>
                <w:kern w:val="0"/>
                <w:szCs w:val="21"/>
                <w:highlight w:val="none"/>
              </w:rPr>
              <w:t>，明确农民工工资保证金、实名制、专用账户、银行代发等保障农民工工资支付内容以及违约责任</w:t>
            </w:r>
            <w:r>
              <w:rPr>
                <w:rFonts w:hint="eastAsia" w:ascii="宋体" w:hAnsi="宋体"/>
                <w:kern w:val="0"/>
                <w:szCs w:val="21"/>
              </w:rPr>
              <w:t>，填报相应的网络管理系统。</w:t>
            </w:r>
          </w:p>
          <w:p>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6</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 本次投标采用全流程电子开评标模式，第一次参与投标的单位务必在</w:t>
            </w:r>
            <w:r>
              <w:rPr>
                <w:rFonts w:hint="eastAsia" w:ascii="宋体" w:hAnsi="宋体"/>
                <w:kern w:val="0"/>
                <w:szCs w:val="21"/>
                <w:u w:val="single"/>
              </w:rPr>
              <w:t>重庆市公共资源交易网</w:t>
            </w:r>
            <w:r>
              <w:rPr>
                <w:rFonts w:hint="eastAsia" w:ascii="宋体" w:hAnsi="宋体"/>
                <w:kern w:val="0"/>
                <w:szCs w:val="21"/>
              </w:rPr>
              <w:t>完成市场主体信息登记以及 CA 数字证书办理，并且下载新点投标文件制作软件（重庆版）制作投标文件。</w:t>
            </w:r>
          </w:p>
          <w:p>
            <w:pPr>
              <w:autoSpaceDE/>
              <w:autoSpaceDN/>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 制作投标文件需要使用CA 数字证书加密，并且加盖电子印章，CA 数字证书购买及办理方式请参见</w:t>
            </w:r>
            <w:r>
              <w:rPr>
                <w:rFonts w:hint="eastAsia" w:ascii="宋体" w:hAnsi="宋体"/>
                <w:kern w:val="0"/>
                <w:szCs w:val="21"/>
                <w:u w:val="single"/>
              </w:rPr>
              <w:t>重庆市公共资源交易网</w:t>
            </w:r>
            <w:r>
              <w:rPr>
                <w:rFonts w:hint="eastAsia" w:ascii="宋体" w:hAnsi="宋体"/>
                <w:kern w:val="0"/>
                <w:szCs w:val="21"/>
              </w:rPr>
              <w:t>导航栏“主体信息”页面中“市场主体信息登记”“CA数字证书办理”。</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投标人应当在投标截止时间前，通过互联网使用CA数字证书登录重庆市电子招投标系统，将加密的电子投标文件上传，未按规定加密将无法上传。投标人应充分考虑上传文件时的不可预见因素，逾期未完成投标文件上传的，视为撤回投标文件。</w:t>
            </w:r>
          </w:p>
          <w:p>
            <w:pPr>
              <w:autoSpaceDE w:val="0"/>
              <w:autoSpaceDN w:val="0"/>
              <w:adjustRightInd w:val="0"/>
              <w:snapToGrid w:val="0"/>
              <w:spacing w:line="400" w:lineRule="exact"/>
              <w:ind w:firstLine="420" w:firstLineChars="200"/>
            </w:pPr>
            <w:r>
              <w:rPr>
                <w:rFonts w:hint="eastAsia"/>
              </w:rPr>
              <w:t>4. 开标活动由招标人主持，邀请所有投标人参加。投标人未在开标现场提出异议，或者不见面开标系统未收到投标人异议的（采用不见面开标方式时适用），视为投标人默认开标结果。</w:t>
            </w:r>
          </w:p>
          <w:p>
            <w:pPr>
              <w:adjustRightInd w:val="0"/>
              <w:snapToGrid w:val="0"/>
              <w:spacing w:line="400" w:lineRule="exact"/>
              <w:ind w:firstLine="420" w:firstLineChars="200"/>
              <w:rPr>
                <w:rFonts w:hint="eastAsia"/>
              </w:rPr>
            </w:pPr>
            <w:r>
              <w:rPr>
                <w:rFonts w:hint="eastAsia"/>
              </w:rPr>
              <w:t>5. 投标人应按时解密，在评标结束前应在线或在现场关注项目进展情况，确保通讯联系正常。如评标委员会要求投标人澄清的，投标人应确保及时回复，否则视为拒绝按评标委员会要求澄清、说明或补正。</w:t>
            </w:r>
          </w:p>
          <w:p>
            <w:pPr>
              <w:adjustRightInd w:val="0"/>
              <w:snapToGrid w:val="0"/>
              <w:spacing w:line="400" w:lineRule="exact"/>
              <w:ind w:firstLine="420" w:firstLineChars="200"/>
              <w:rPr>
                <w:rFonts w:hint="eastAsia" w:ascii="宋体" w:hAnsi="宋体"/>
                <w:kern w:val="0"/>
                <w:szCs w:val="21"/>
                <w:lang w:val="en-US" w:eastAsia="zh-CN"/>
              </w:rPr>
            </w:pPr>
            <w:r>
              <w:rPr>
                <w:rFonts w:hint="eastAsia"/>
                <w:lang w:val="en-US" w:eastAsia="zh-CN"/>
              </w:rPr>
              <w:t xml:space="preserve">6. </w:t>
            </w:r>
            <w:r>
              <w:rPr>
                <w:rFonts w:hint="eastAsia" w:ascii="宋体" w:hAnsi="宋体"/>
                <w:kern w:val="0"/>
                <w:szCs w:val="21"/>
                <w:lang w:val="en-US" w:eastAsia="zh-CN"/>
              </w:rPr>
              <w:t>电子投标文件编制要求</w:t>
            </w:r>
          </w:p>
          <w:p>
            <w:pPr>
              <w:adjustRightInd w:val="0"/>
              <w:snapToGrid w:val="0"/>
              <w:spacing w:line="400" w:lineRule="exact"/>
              <w:ind w:firstLine="420" w:firstLineChars="200"/>
            </w:pPr>
            <w:r>
              <w:rPr>
                <w:rFonts w:hint="eastAsia"/>
              </w:rPr>
              <w:t>（1）电子投标文件由投标人使用专用的“新点投标文件制作软件（重庆版）”制作生成。</w:t>
            </w:r>
          </w:p>
          <w:p>
            <w:pPr>
              <w:adjustRightInd w:val="0"/>
              <w:snapToGrid w:val="0"/>
              <w:spacing w:line="400" w:lineRule="exact"/>
              <w:ind w:firstLine="420" w:firstLineChars="200"/>
            </w:pPr>
            <w:r>
              <w:rPr>
                <w:rFonts w:hint="eastAsia"/>
              </w:rPr>
              <w:t>（2）投标人在编制电子投标文件时应当建立分级目录，并按照标签提示导入相关内容。</w:t>
            </w:r>
          </w:p>
          <w:p>
            <w:pPr>
              <w:adjustRightInd w:val="0"/>
              <w:snapToGrid w:val="0"/>
              <w:spacing w:line="400" w:lineRule="exact"/>
              <w:ind w:firstLine="420" w:firstLineChars="200"/>
            </w:pPr>
            <w:r>
              <w:rPr>
                <w:rFonts w:hint="eastAsia"/>
              </w:rPr>
              <w:t>（3）按本章前附表第3</w:t>
            </w:r>
            <w:r>
              <w:t>.7.3</w:t>
            </w:r>
            <w:r>
              <w:rPr>
                <w:rFonts w:hint="eastAsia"/>
              </w:rPr>
              <w:t>项签名盖章要求进行投标文件的签署。</w:t>
            </w:r>
          </w:p>
          <w:p>
            <w:pPr>
              <w:adjustRightInd w:val="0"/>
              <w:snapToGrid w:val="0"/>
              <w:spacing w:line="400" w:lineRule="exact"/>
              <w:ind w:firstLine="420" w:firstLineChars="200"/>
            </w:pPr>
            <w:r>
              <w:rPr>
                <w:rFonts w:hint="eastAsia"/>
              </w:rPr>
              <w:t>（4）电子投标文件制作完成后，将生成一份加密的电子投标文件（后缀名为.CQTF）和一份不加密的电子投标文件（后缀名为.nCQTF）。</w:t>
            </w:r>
          </w:p>
          <w:p>
            <w:pPr>
              <w:adjustRightInd w:val="0"/>
              <w:snapToGrid w:val="0"/>
              <w:spacing w:line="400" w:lineRule="exact"/>
              <w:ind w:firstLine="420" w:firstLineChars="200"/>
            </w:pPr>
            <w:r>
              <w:rPr>
                <w:rFonts w:hint="eastAsia"/>
              </w:rPr>
              <w:t>（5）投标人如需递交不加密电子投标文件的，应将不加密的电子投标文件复制到一张光盘中，光盘表面粘贴标签贴，并将招标项目名称、投标人名称等信息填写在标签贴上。</w:t>
            </w:r>
          </w:p>
          <w:p>
            <w:pPr>
              <w:autoSpaceDE/>
              <w:autoSpaceDN/>
              <w:adjustRightInd w:val="0"/>
              <w:snapToGrid w:val="0"/>
              <w:spacing w:line="400" w:lineRule="exact"/>
              <w:ind w:firstLine="420" w:firstLineChars="200"/>
              <w:rPr>
                <w:rFonts w:hint="default" w:eastAsia="宋体"/>
                <w:lang w:val="en-US" w:eastAsia="zh-CN"/>
              </w:rPr>
            </w:pPr>
            <w:r>
              <w:rPr>
                <w:rFonts w:hint="eastAsia"/>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7</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pPr>
              <w:autoSpaceDE w:val="0"/>
              <w:autoSpaceDN w:val="0"/>
              <w:adjustRightInd w:val="0"/>
              <w:snapToGrid w:val="0"/>
              <w:spacing w:line="400" w:lineRule="exact"/>
              <w:ind w:firstLine="420"/>
              <w:rPr>
                <w:rFonts w:ascii="宋体" w:hAnsi="宋体"/>
                <w:i/>
                <w:kern w:val="0"/>
                <w:szCs w:val="21"/>
              </w:rPr>
            </w:pPr>
            <w:r>
              <w:rPr>
                <w:rFonts w:hint="eastAsia" w:ascii="宋体" w:hAnsi="宋体"/>
                <w:i/>
                <w:kern w:val="0"/>
                <w:szCs w:val="21"/>
              </w:rPr>
              <w:t>[提示：招标人认为需要增加的，且与本表前述条款不重复的，不涉及资格和否决投标的内容]</w:t>
            </w:r>
          </w:p>
        </w:tc>
      </w:tr>
    </w:tbl>
    <w:p>
      <w:pPr>
        <w:pStyle w:val="4"/>
        <w:spacing w:before="0" w:after="0" w:line="200" w:lineRule="exact"/>
        <w:rPr>
          <w:rFonts w:ascii="宋体" w:hAnsi="宋体"/>
          <w:b w:val="0"/>
          <w:snapToGrid w:val="0"/>
        </w:rPr>
      </w:pPr>
      <w:bookmarkStart w:id="206" w:name="_Toc287607746"/>
      <w:bookmarkStart w:id="207" w:name="_Toc224103317"/>
      <w:bookmarkStart w:id="208" w:name="_Toc277082552"/>
      <w:bookmarkStart w:id="209" w:name="_Toc200513126"/>
      <w:bookmarkStart w:id="210" w:name="_Toc430530435"/>
      <w:bookmarkStart w:id="211" w:name="_Toc287620685"/>
      <w:r>
        <w:rPr>
          <w:rFonts w:ascii="宋体" w:hAnsi="宋体"/>
          <w:b w:val="0"/>
          <w:snapToGrid w:val="0"/>
        </w:rPr>
        <w:br w:type="page"/>
      </w:r>
    </w:p>
    <w:p>
      <w:pPr>
        <w:pStyle w:val="4"/>
        <w:spacing w:before="0" w:after="0" w:line="360" w:lineRule="auto"/>
        <w:rPr>
          <w:rFonts w:ascii="宋体" w:hAnsi="宋体"/>
          <w:b w:val="0"/>
          <w:snapToGrid w:val="0"/>
        </w:rPr>
      </w:pPr>
      <w:bookmarkStart w:id="212" w:name="_Toc28731"/>
      <w:bookmarkStart w:id="213" w:name="_Toc28268"/>
      <w:bookmarkStart w:id="214" w:name="_Toc509218710"/>
      <w:bookmarkStart w:id="215" w:name="_Toc3882"/>
      <w:r>
        <w:rPr>
          <w:rFonts w:ascii="宋体" w:hAnsi="宋体"/>
          <w:b w:val="0"/>
          <w:snapToGrid w:val="0"/>
        </w:rPr>
        <w:t>1.  总则</w:t>
      </w:r>
      <w:bookmarkEnd w:id="206"/>
      <w:bookmarkEnd w:id="207"/>
      <w:bookmarkEnd w:id="208"/>
      <w:bookmarkEnd w:id="209"/>
      <w:bookmarkEnd w:id="210"/>
      <w:bookmarkEnd w:id="211"/>
      <w:bookmarkEnd w:id="212"/>
      <w:bookmarkEnd w:id="213"/>
      <w:bookmarkEnd w:id="214"/>
      <w:bookmarkEnd w:id="215"/>
    </w:p>
    <w:p>
      <w:pPr>
        <w:pStyle w:val="5"/>
        <w:snapToGrid w:val="0"/>
        <w:spacing w:before="0" w:after="0" w:line="360" w:lineRule="auto"/>
        <w:rPr>
          <w:rFonts w:ascii="宋体" w:hAnsi="宋体"/>
          <w:b w:val="0"/>
          <w:snapToGrid w:val="0"/>
          <w:sz w:val="24"/>
          <w:szCs w:val="24"/>
        </w:rPr>
      </w:pPr>
      <w:bookmarkStart w:id="216" w:name="_Toc30529"/>
      <w:bookmarkStart w:id="217" w:name="_Toc287607747"/>
      <w:bookmarkStart w:id="218" w:name="_Toc509218711"/>
      <w:bookmarkStart w:id="219" w:name="_Toc26940"/>
      <w:bookmarkStart w:id="220" w:name="_Toc287620686"/>
      <w:bookmarkStart w:id="221" w:name="_Toc224103318"/>
      <w:bookmarkStart w:id="222" w:name="_Toc277082553"/>
      <w:bookmarkStart w:id="223" w:name="_Toc24294"/>
      <w:bookmarkStart w:id="224" w:name="_Toc430530436"/>
      <w:bookmarkStart w:id="225" w:name="_Toc200513127"/>
      <w:r>
        <w:rPr>
          <w:rFonts w:ascii="宋体" w:hAnsi="宋体"/>
          <w:b w:val="0"/>
          <w:snapToGrid w:val="0"/>
          <w:sz w:val="24"/>
          <w:szCs w:val="24"/>
        </w:rPr>
        <w:t>1.1  项目概况</w:t>
      </w:r>
      <w:bookmarkEnd w:id="216"/>
      <w:bookmarkEnd w:id="217"/>
      <w:bookmarkEnd w:id="218"/>
      <w:bookmarkEnd w:id="219"/>
      <w:bookmarkEnd w:id="220"/>
      <w:bookmarkEnd w:id="221"/>
      <w:bookmarkEnd w:id="222"/>
      <w:bookmarkEnd w:id="223"/>
      <w:bookmarkEnd w:id="224"/>
      <w:bookmarkEnd w:id="22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根据《中华人民共和国招标投标法》等有关法律、法规和规章的规定，本招标项目已具备招标条件，</w:t>
      </w:r>
      <w:r>
        <w:rPr>
          <w:rFonts w:hint="eastAsia"/>
        </w:rPr>
        <w:t>现对该项目进行工程总承包招标。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招标人：见投标人须知前附表。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招标代理机构：见投标人须知前附表。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1.1.4  招标项目名称：见投标人须知前附表。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1.1.5  </w:t>
      </w:r>
      <w:r>
        <w:rPr>
          <w:rFonts w:hint="eastAsia" w:ascii="宋体" w:hAnsi="宋体"/>
          <w:snapToGrid w:val="0"/>
          <w:kern w:val="0"/>
          <w:szCs w:val="21"/>
        </w:rPr>
        <w:t>项目</w:t>
      </w:r>
      <w:r>
        <w:rPr>
          <w:rFonts w:ascii="宋体" w:hAnsi="宋体"/>
          <w:snapToGrid w:val="0"/>
          <w:kern w:val="0"/>
          <w:szCs w:val="21"/>
        </w:rPr>
        <w:t>建设地点：见投标人须知前附表。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1.1.6  </w:t>
      </w:r>
      <w:r>
        <w:rPr>
          <w:rFonts w:hint="eastAsia" w:ascii="宋体" w:hAnsi="宋体"/>
          <w:snapToGrid w:val="0"/>
          <w:kern w:val="0"/>
          <w:szCs w:val="21"/>
        </w:rPr>
        <w:t>项目</w:t>
      </w:r>
      <w:r>
        <w:rPr>
          <w:rFonts w:ascii="宋体" w:hAnsi="宋体"/>
          <w:snapToGrid w:val="0"/>
          <w:kern w:val="0"/>
          <w:szCs w:val="21"/>
        </w:rPr>
        <w:t>建设规模：见投标人须知前附表。</w:t>
      </w:r>
    </w:p>
    <w:p>
      <w:pPr>
        <w:pStyle w:val="5"/>
        <w:snapToGrid w:val="0"/>
        <w:spacing w:before="0" w:after="0" w:line="360" w:lineRule="auto"/>
        <w:rPr>
          <w:rFonts w:ascii="宋体" w:hAnsi="宋体"/>
          <w:b w:val="0"/>
          <w:snapToGrid w:val="0"/>
          <w:sz w:val="24"/>
          <w:szCs w:val="24"/>
        </w:rPr>
      </w:pPr>
      <w:bookmarkStart w:id="226" w:name="_Toc277082554"/>
      <w:bookmarkStart w:id="227" w:name="_Toc430530437"/>
      <w:bookmarkStart w:id="228" w:name="_Toc32601"/>
      <w:bookmarkStart w:id="229" w:name="_Toc224103319"/>
      <w:bookmarkStart w:id="230" w:name="_Toc287620687"/>
      <w:bookmarkStart w:id="231" w:name="_Toc509218712"/>
      <w:bookmarkStart w:id="232" w:name="_Toc287607748"/>
      <w:bookmarkStart w:id="233" w:name="_Toc13155"/>
      <w:bookmarkStart w:id="234" w:name="_Toc17795"/>
      <w:bookmarkStart w:id="235" w:name="_Toc200513128"/>
      <w:r>
        <w:rPr>
          <w:rFonts w:ascii="宋体" w:hAnsi="宋体"/>
          <w:b w:val="0"/>
          <w:snapToGrid w:val="0"/>
          <w:sz w:val="24"/>
          <w:szCs w:val="24"/>
        </w:rPr>
        <w:t xml:space="preserve">1.2  </w:t>
      </w:r>
      <w:r>
        <w:rPr>
          <w:rFonts w:hint="eastAsia" w:ascii="宋体" w:hAnsi="宋体"/>
          <w:b w:val="0"/>
          <w:snapToGrid w:val="0"/>
          <w:sz w:val="24"/>
          <w:szCs w:val="24"/>
        </w:rPr>
        <w:t>项目的</w:t>
      </w:r>
      <w:r>
        <w:rPr>
          <w:rFonts w:ascii="宋体" w:hAnsi="宋体"/>
          <w:b w:val="0"/>
          <w:snapToGrid w:val="0"/>
          <w:sz w:val="24"/>
          <w:szCs w:val="24"/>
        </w:rPr>
        <w:t>资金来源和落实情况</w:t>
      </w:r>
      <w:bookmarkEnd w:id="226"/>
      <w:bookmarkEnd w:id="227"/>
      <w:bookmarkEnd w:id="228"/>
      <w:bookmarkEnd w:id="229"/>
      <w:bookmarkEnd w:id="230"/>
      <w:bookmarkEnd w:id="231"/>
      <w:bookmarkEnd w:id="232"/>
      <w:bookmarkEnd w:id="233"/>
      <w:bookmarkEnd w:id="234"/>
      <w:bookmarkEnd w:id="23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资金来源：见投标人须知前附表。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出资比例：见投标人须知前附表。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1.2.3  资金落实情况：见投标人须知前附表。</w:t>
      </w:r>
    </w:p>
    <w:p>
      <w:pPr>
        <w:pStyle w:val="5"/>
        <w:snapToGrid w:val="0"/>
        <w:spacing w:before="0" w:after="0" w:line="360" w:lineRule="auto"/>
        <w:rPr>
          <w:rFonts w:ascii="宋体" w:hAnsi="宋体"/>
          <w:b w:val="0"/>
          <w:snapToGrid w:val="0"/>
          <w:sz w:val="24"/>
          <w:szCs w:val="24"/>
        </w:rPr>
      </w:pPr>
      <w:bookmarkStart w:id="236" w:name="_Toc200513129"/>
      <w:bookmarkStart w:id="237" w:name="_Toc287607749"/>
      <w:bookmarkStart w:id="238" w:name="_Toc16901"/>
      <w:bookmarkStart w:id="239" w:name="_Toc12317"/>
      <w:bookmarkStart w:id="240" w:name="_Toc16872"/>
      <w:bookmarkStart w:id="241" w:name="_Toc287620688"/>
      <w:bookmarkStart w:id="242" w:name="_Toc430530438"/>
      <w:bookmarkStart w:id="243" w:name="_Toc509218713"/>
      <w:bookmarkStart w:id="244" w:name="_Toc277082555"/>
      <w:bookmarkStart w:id="245" w:name="_Toc224103320"/>
      <w:r>
        <w:rPr>
          <w:rFonts w:ascii="宋体" w:hAnsi="宋体"/>
          <w:b w:val="0"/>
          <w:snapToGrid w:val="0"/>
          <w:sz w:val="24"/>
          <w:szCs w:val="24"/>
        </w:rPr>
        <w:t>1.3  招标范围、计划工期和质量要求</w:t>
      </w:r>
      <w:bookmarkEnd w:id="236"/>
      <w:bookmarkEnd w:id="237"/>
      <w:bookmarkEnd w:id="238"/>
      <w:bookmarkEnd w:id="239"/>
      <w:bookmarkEnd w:id="240"/>
      <w:bookmarkEnd w:id="241"/>
      <w:bookmarkEnd w:id="242"/>
      <w:bookmarkEnd w:id="243"/>
      <w:bookmarkEnd w:id="244"/>
      <w:bookmarkEnd w:id="24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1.3.2  计划工期：见投标人须知前附表。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w:t>
      </w:r>
      <w:r>
        <w:rPr>
          <w:rFonts w:hint="eastAsia" w:ascii="宋体" w:hAnsi="宋体"/>
          <w:snapToGrid w:val="0"/>
          <w:kern w:val="0"/>
          <w:szCs w:val="21"/>
        </w:rPr>
        <w:t>标准</w:t>
      </w:r>
      <w:r>
        <w:rPr>
          <w:rFonts w:ascii="宋体" w:hAnsi="宋体"/>
          <w:snapToGrid w:val="0"/>
          <w:kern w:val="0"/>
          <w:szCs w:val="21"/>
        </w:rPr>
        <w:t>：见投标人须知前附表。</w:t>
      </w:r>
    </w:p>
    <w:p>
      <w:pPr>
        <w:pStyle w:val="5"/>
        <w:snapToGrid w:val="0"/>
        <w:spacing w:before="0" w:after="0" w:line="360" w:lineRule="auto"/>
        <w:rPr>
          <w:rFonts w:ascii="宋体" w:hAnsi="宋体"/>
          <w:b w:val="0"/>
          <w:snapToGrid w:val="0"/>
          <w:sz w:val="24"/>
          <w:szCs w:val="24"/>
        </w:rPr>
      </w:pPr>
      <w:bookmarkStart w:id="246" w:name="_Toc509218714"/>
      <w:bookmarkStart w:id="247" w:name="_Toc4569"/>
      <w:bookmarkStart w:id="248" w:name="_Toc18317"/>
      <w:bookmarkStart w:id="249" w:name="_Toc287620689"/>
      <w:bookmarkStart w:id="250" w:name="_Toc430530439"/>
      <w:bookmarkStart w:id="251" w:name="_Toc287607750"/>
      <w:bookmarkStart w:id="252" w:name="_Toc26361"/>
      <w:bookmarkStart w:id="253" w:name="_Toc200513130"/>
      <w:bookmarkStart w:id="254" w:name="_Toc277082556"/>
      <w:bookmarkStart w:id="255" w:name="_Toc224103321"/>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246"/>
      <w:bookmarkEnd w:id="247"/>
      <w:bookmarkEnd w:id="248"/>
      <w:bookmarkEnd w:id="249"/>
      <w:bookmarkEnd w:id="250"/>
      <w:bookmarkEnd w:id="251"/>
      <w:bookmarkEnd w:id="252"/>
      <w:bookmarkEnd w:id="253"/>
      <w:bookmarkEnd w:id="254"/>
      <w:bookmarkEnd w:id="25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pPr>
        <w:pStyle w:val="5"/>
        <w:snapToGrid w:val="0"/>
        <w:spacing w:before="0" w:after="0" w:line="360" w:lineRule="auto"/>
        <w:rPr>
          <w:rFonts w:ascii="宋体" w:hAnsi="宋体"/>
          <w:b w:val="0"/>
          <w:snapToGrid w:val="0"/>
          <w:sz w:val="24"/>
          <w:szCs w:val="24"/>
        </w:rPr>
      </w:pPr>
      <w:bookmarkStart w:id="256" w:name="_Toc277082557"/>
      <w:bookmarkStart w:id="257" w:name="_Toc8387"/>
      <w:bookmarkStart w:id="258" w:name="_Toc287620690"/>
      <w:bookmarkStart w:id="259" w:name="_Toc9175"/>
      <w:bookmarkStart w:id="260" w:name="_Toc200513131"/>
      <w:bookmarkStart w:id="261" w:name="_Toc32568"/>
      <w:bookmarkStart w:id="262" w:name="_Toc287607751"/>
      <w:bookmarkStart w:id="263" w:name="_Toc430530440"/>
      <w:bookmarkStart w:id="264" w:name="_Toc509218715"/>
      <w:bookmarkStart w:id="265" w:name="_Toc224103322"/>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56"/>
      <w:bookmarkEnd w:id="257"/>
      <w:bookmarkEnd w:id="258"/>
      <w:bookmarkEnd w:id="259"/>
      <w:bookmarkEnd w:id="260"/>
      <w:bookmarkEnd w:id="261"/>
      <w:bookmarkEnd w:id="262"/>
      <w:bookmarkEnd w:id="263"/>
      <w:bookmarkEnd w:id="264"/>
      <w:bookmarkEnd w:id="26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投标人应具备承担本</w:t>
      </w:r>
      <w:r>
        <w:rPr>
          <w:rFonts w:hint="eastAsia" w:ascii="宋体" w:hAnsi="宋体"/>
          <w:snapToGrid w:val="0"/>
          <w:kern w:val="0"/>
          <w:szCs w:val="21"/>
        </w:rPr>
        <w:t>招标项目</w:t>
      </w:r>
      <w:r>
        <w:rPr>
          <w:rFonts w:ascii="宋体" w:hAnsi="宋体"/>
          <w:snapToGrid w:val="0"/>
          <w:kern w:val="0"/>
          <w:szCs w:val="21"/>
        </w:rPr>
        <w:t>资质条件、能力和信誉。</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资质条件、</w:t>
      </w:r>
      <w:r>
        <w:rPr>
          <w:rFonts w:hint="eastAsia" w:ascii="宋体" w:hAnsi="宋体"/>
          <w:szCs w:val="21"/>
          <w:lang w:eastAsia="zh-CN"/>
        </w:rPr>
        <w:t>独立法人资格</w:t>
      </w:r>
      <w:r>
        <w:rPr>
          <w:rFonts w:ascii="宋体" w:hAnsi="宋体"/>
          <w:szCs w:val="21"/>
        </w:rPr>
        <w:t>及安全生产条件</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pPr>
        <w:autoSpaceDE w:val="0"/>
        <w:autoSpaceDN w:val="0"/>
        <w:adjustRightInd w:val="0"/>
        <w:snapToGrid w:val="0"/>
        <w:spacing w:line="360" w:lineRule="auto"/>
        <w:ind w:firstLine="420" w:firstLineChars="200"/>
      </w:pPr>
      <w:r>
        <w:rPr>
          <w:rFonts w:ascii="宋体" w:hAnsi="宋体"/>
          <w:snapToGrid w:val="0"/>
          <w:kern w:val="0"/>
          <w:szCs w:val="21"/>
        </w:rPr>
        <w:t>（</w:t>
      </w:r>
      <w:r>
        <w:rPr>
          <w:rFonts w:hint="eastAsia" w:ascii="宋体" w:hAnsi="宋体"/>
          <w:snapToGrid w:val="0"/>
          <w:kern w:val="0"/>
          <w:szCs w:val="21"/>
        </w:rPr>
        <w:t>4</w:t>
      </w:r>
      <w:r>
        <w:rPr>
          <w:rFonts w:ascii="宋体" w:hAnsi="宋体"/>
          <w:snapToGrid w:val="0"/>
          <w:kern w:val="0"/>
          <w:szCs w:val="21"/>
        </w:rPr>
        <w:t>）</w:t>
      </w:r>
      <w:r>
        <w:rPr>
          <w:rFonts w:hint="eastAsia" w:ascii="宋体" w:hAnsi="宋体"/>
          <w:szCs w:val="21"/>
        </w:rPr>
        <w:t>专业设备材料供货资格</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5</w:t>
      </w:r>
      <w:r>
        <w:rPr>
          <w:rFonts w:ascii="宋体" w:hAnsi="宋体"/>
          <w:snapToGrid w:val="0"/>
          <w:kern w:val="0"/>
          <w:szCs w:val="21"/>
        </w:rPr>
        <w:t>）</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w:t>
      </w:r>
      <w:r>
        <w:rPr>
          <w:rFonts w:hint="eastAsia" w:ascii="宋体" w:hAnsi="宋体"/>
          <w:snapToGrid w:val="0"/>
          <w:kern w:val="0"/>
          <w:szCs w:val="21"/>
        </w:rPr>
        <w:t>工程总承包项目经理</w:t>
      </w:r>
      <w:r>
        <w:rPr>
          <w:rFonts w:ascii="宋体" w:hAnsi="宋体"/>
          <w:snapToGrid w:val="0"/>
          <w:kern w:val="0"/>
          <w:szCs w:val="21"/>
        </w:rPr>
        <w:t>资格</w:t>
      </w:r>
      <w:r>
        <w:rPr>
          <w:rFonts w:hint="eastAsia" w:ascii="宋体" w:hAnsi="宋体"/>
          <w:snapToGrid w:val="0"/>
          <w:kern w:val="0"/>
          <w:szCs w:val="21"/>
        </w:rPr>
        <w:t>要求</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7</w:t>
      </w:r>
      <w:r>
        <w:rPr>
          <w:rFonts w:ascii="宋体" w:hAnsi="宋体"/>
          <w:snapToGrid w:val="0"/>
          <w:kern w:val="0"/>
          <w:szCs w:val="21"/>
        </w:rPr>
        <w:t>）其他要求：见投标人须知前附表。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w:t>
      </w:r>
      <w:r>
        <w:rPr>
          <w:rFonts w:hint="eastAsia" w:ascii="宋体" w:hAnsi="宋体"/>
          <w:snapToGrid w:val="0"/>
          <w:kern w:val="0"/>
          <w:szCs w:val="21"/>
          <w:lang w:val="en-US" w:eastAsia="zh-CN"/>
        </w:rPr>
        <w:t>共同投标</w:t>
      </w:r>
      <w:r>
        <w:rPr>
          <w:rFonts w:ascii="宋体" w:hAnsi="宋体"/>
          <w:snapToGrid w:val="0"/>
          <w:kern w:val="0"/>
          <w:szCs w:val="21"/>
        </w:rPr>
        <w:t>协议，明确联合体牵头人和各方权利义务</w:t>
      </w:r>
      <w:r>
        <w:rPr>
          <w:rFonts w:hint="default" w:ascii="宋体" w:hAnsi="宋体"/>
          <w:snapToGrid w:val="0"/>
          <w:kern w:val="0"/>
          <w:szCs w:val="21"/>
          <w:lang w:eastAsia="zh-CN"/>
        </w:rPr>
        <w:t>，</w:t>
      </w:r>
      <w:r>
        <w:rPr>
          <w:rFonts w:ascii="宋体" w:hAnsi="宋体" w:eastAsia="宋体"/>
          <w:snapToGrid w:val="0"/>
          <w:kern w:val="0"/>
          <w:szCs w:val="21"/>
        </w:rPr>
        <w:t>并承诺就中标项目向招标人承担连带责任</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（2）联合体各方均应当具备承担招标项目的相应能力；</w:t>
      </w:r>
      <w:r>
        <w:rPr>
          <w:rFonts w:hint="eastAsia" w:ascii="宋体" w:hAnsi="宋体"/>
          <w:snapToGrid w:val="0"/>
          <w:kern w:val="0"/>
          <w:szCs w:val="21"/>
          <w:lang w:val="en-US" w:eastAsia="zh-CN"/>
        </w:rPr>
        <w:t>共同投标</w:t>
      </w:r>
      <w:r>
        <w:rPr>
          <w:rFonts w:ascii="宋体" w:hAnsi="宋体"/>
          <w:snapToGrid w:val="0"/>
          <w:kern w:val="0"/>
          <w:szCs w:val="21"/>
        </w:rPr>
        <w:t>协议约定同一专业分工由两个及以上单位共同承担的，</w:t>
      </w:r>
      <w:r>
        <w:rPr>
          <w:rFonts w:hint="eastAsia"/>
        </w:rPr>
        <w:t>按照资质等级较低的单位确定资质等级</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w:t>
      </w:r>
      <w:r>
        <w:rPr>
          <w:rFonts w:hint="eastAsia"/>
        </w:rPr>
        <w:t>本招标项目</w:t>
      </w:r>
      <w:r>
        <w:rPr>
          <w:rFonts w:hint="eastAsia"/>
          <w:lang w:val="en-US" w:eastAsia="zh-CN"/>
        </w:rPr>
        <w:t>同一标段</w:t>
      </w:r>
      <w:r>
        <w:rPr>
          <w:rFonts w:ascii="宋体" w:hAnsi="宋体"/>
          <w:snapToGrid w:val="0"/>
          <w:kern w:val="0"/>
          <w:szCs w:val="21"/>
        </w:rPr>
        <w:t>中投标</w:t>
      </w:r>
      <w:r>
        <w:rPr>
          <w:rFonts w:hint="eastAsia" w:ascii="宋体" w:hAnsi="宋体"/>
          <w:snapToGrid w:val="0"/>
          <w:kern w:val="0"/>
          <w:szCs w:val="21"/>
          <w:lang w:eastAsia="zh-CN"/>
        </w:rPr>
        <w:t>，</w:t>
      </w:r>
      <w:r>
        <w:rPr>
          <w:rFonts w:hint="eastAsia" w:ascii="宋体" w:hAnsi="宋体"/>
          <w:snapToGrid w:val="0"/>
          <w:kern w:val="0"/>
          <w:szCs w:val="21"/>
          <w:lang w:val="en-US" w:eastAsia="zh-CN"/>
        </w:rPr>
        <w:t>否则各相关投标均无效</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（1）</w:t>
      </w:r>
      <w:r>
        <w:rPr>
          <w:rFonts w:hint="eastAsia"/>
        </w:rPr>
        <w:t>为招标人不具有独立法人资格的附属机构（单位）；</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2</w:t>
      </w:r>
      <w:r>
        <w:rPr>
          <w:rFonts w:ascii="宋体" w:hAnsi="宋体"/>
          <w:snapToGrid w:val="0"/>
          <w:kern w:val="0"/>
          <w:szCs w:val="21"/>
        </w:rPr>
        <w:t>）</w:t>
      </w:r>
      <w:r>
        <w:rPr>
          <w:rFonts w:hint="eastAsia"/>
        </w:rPr>
        <w:t>为本招标项目的监理单位；</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3</w:t>
      </w:r>
      <w:r>
        <w:rPr>
          <w:rFonts w:ascii="宋体" w:hAnsi="宋体"/>
          <w:snapToGrid w:val="0"/>
          <w:kern w:val="0"/>
          <w:szCs w:val="21"/>
        </w:rPr>
        <w:t>）</w:t>
      </w:r>
      <w:r>
        <w:rPr>
          <w:rFonts w:hint="eastAsia"/>
        </w:rPr>
        <w:t>为本招标项目的代建单位；</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（4）为本</w:t>
      </w:r>
      <w:r>
        <w:rPr>
          <w:rFonts w:hint="eastAsia"/>
        </w:rPr>
        <w:t>招标项目的</w:t>
      </w:r>
      <w:r>
        <w:rPr>
          <w:rFonts w:hint="eastAsia" w:ascii="宋体" w:hAnsi="宋体"/>
          <w:snapToGrid w:val="0"/>
          <w:kern w:val="0"/>
          <w:szCs w:val="21"/>
        </w:rPr>
        <w:t>项目管理单位；</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（5）为本</w:t>
      </w:r>
      <w:r>
        <w:rPr>
          <w:rFonts w:hint="eastAsia"/>
        </w:rPr>
        <w:t>招标项目的</w:t>
      </w:r>
      <w:r>
        <w:rPr>
          <w:rFonts w:hint="eastAsia" w:ascii="宋体" w:hAnsi="宋体"/>
          <w:snapToGrid w:val="0"/>
          <w:kern w:val="0"/>
          <w:szCs w:val="21"/>
        </w:rPr>
        <w:t>造价咨询单位；</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）为</w:t>
      </w:r>
      <w:r>
        <w:rPr>
          <w:rFonts w:hint="eastAsia" w:ascii="宋体" w:hAnsi="宋体"/>
          <w:snapToGrid w:val="0"/>
          <w:kern w:val="0"/>
          <w:szCs w:val="21"/>
        </w:rPr>
        <w:t>本</w:t>
      </w:r>
      <w:r>
        <w:rPr>
          <w:rFonts w:hint="eastAsia"/>
        </w:rPr>
        <w:t>招标项目</w:t>
      </w:r>
      <w:r>
        <w:rPr>
          <w:rFonts w:ascii="宋体" w:hAnsi="宋体"/>
          <w:snapToGrid w:val="0"/>
          <w:kern w:val="0"/>
          <w:szCs w:val="21"/>
        </w:rPr>
        <w:t>提供招标代理服务的；</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（7）被责令停产停业、暂扣或者吊销许可证、暂扣或者吊销执照；</w:t>
      </w:r>
      <w:r>
        <w:rPr>
          <w:rFonts w:ascii="宋体" w:hAnsi="宋体"/>
          <w:snapToGrid w:val="0"/>
          <w:kern w:val="0"/>
          <w:position w:val="-2"/>
          <w:szCs w:val="21"/>
        </w:rPr>
        <w:t xml:space="preserve"> </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（8）被国家、重庆市（含市或任意区县）有关行政部门处以暂停投标资格行政处罚，且在处罚期限内的；</w:t>
      </w:r>
      <w:r>
        <w:rPr>
          <w:rFonts w:ascii="宋体" w:hAnsi="宋体"/>
          <w:snapToGrid w:val="0"/>
          <w:kern w:val="0"/>
          <w:position w:val="-2"/>
          <w:szCs w:val="21"/>
        </w:rPr>
        <w:t xml:space="preserve"> </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（9）进入清算程序，或被宣告破产，或其他丧失履约能力的情形；</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（10）为本项目的项目建议书、可行性研究报告、初步设计文件编制单位或评估单位且招标人在投标截止前未公开已经完成的项目建议书、可行性研究报告、初步设计文件的。（适用于政府投资项目）</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1）与本招标项目的监理单位或代建单位或项目管理单位或造价咨询单位或招标代理机构同为一个法定代表人的；</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2）与本招标项目的</w:t>
      </w:r>
      <w:r>
        <w:rPr>
          <w:rFonts w:ascii="宋体" w:hAnsi="宋体"/>
          <w:snapToGrid w:val="0"/>
          <w:kern w:val="0"/>
          <w:position w:val="-2"/>
          <w:szCs w:val="21"/>
        </w:rPr>
        <w:t>监理</w:t>
      </w:r>
      <w:r>
        <w:rPr>
          <w:rFonts w:hint="eastAsia" w:ascii="宋体" w:hAnsi="宋体"/>
          <w:snapToGrid w:val="0"/>
          <w:kern w:val="0"/>
          <w:position w:val="-2"/>
          <w:szCs w:val="21"/>
        </w:rPr>
        <w:t>单位</w:t>
      </w:r>
      <w:r>
        <w:rPr>
          <w:rFonts w:ascii="宋体" w:hAnsi="宋体"/>
          <w:snapToGrid w:val="0"/>
          <w:kern w:val="0"/>
          <w:position w:val="-2"/>
          <w:szCs w:val="21"/>
        </w:rPr>
        <w:t>或代建</w:t>
      </w:r>
      <w:r>
        <w:rPr>
          <w:rFonts w:hint="eastAsia" w:ascii="宋体" w:hAnsi="宋体"/>
          <w:snapToGrid w:val="0"/>
          <w:kern w:val="0"/>
          <w:position w:val="-2"/>
          <w:szCs w:val="21"/>
        </w:rPr>
        <w:t>单位或项目管理单位或造价咨询单位或招标代理机构</w:t>
      </w:r>
      <w:r>
        <w:rPr>
          <w:rFonts w:hint="eastAsia" w:ascii="宋体" w:hAnsi="宋体"/>
          <w:snapToGrid w:val="0"/>
          <w:kern w:val="0"/>
          <w:position w:val="-2"/>
          <w:szCs w:val="21"/>
          <w:lang w:eastAsia="zh-CN"/>
        </w:rPr>
        <w:t>存在</w:t>
      </w:r>
      <w:r>
        <w:rPr>
          <w:rFonts w:hint="eastAsia" w:ascii="宋体" w:hAnsi="宋体"/>
          <w:snapToGrid w:val="0"/>
          <w:kern w:val="0"/>
          <w:position w:val="-2"/>
          <w:szCs w:val="21"/>
        </w:rPr>
        <w:t>控股或参股的；</w:t>
      </w:r>
    </w:p>
    <w:p>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3）与本招标项目的</w:t>
      </w:r>
      <w:r>
        <w:rPr>
          <w:rFonts w:ascii="宋体" w:hAnsi="宋体"/>
          <w:snapToGrid w:val="0"/>
          <w:kern w:val="0"/>
          <w:position w:val="-2"/>
          <w:szCs w:val="21"/>
        </w:rPr>
        <w:t>监理</w:t>
      </w:r>
      <w:r>
        <w:rPr>
          <w:rFonts w:hint="eastAsia" w:ascii="宋体" w:hAnsi="宋体"/>
          <w:snapToGrid w:val="0"/>
          <w:kern w:val="0"/>
          <w:position w:val="-2"/>
          <w:szCs w:val="21"/>
        </w:rPr>
        <w:t>单位</w:t>
      </w:r>
      <w:r>
        <w:rPr>
          <w:rFonts w:ascii="宋体" w:hAnsi="宋体"/>
          <w:snapToGrid w:val="0"/>
          <w:kern w:val="0"/>
          <w:position w:val="-2"/>
          <w:szCs w:val="21"/>
        </w:rPr>
        <w:t>或代建</w:t>
      </w:r>
      <w:r>
        <w:rPr>
          <w:rFonts w:hint="eastAsia" w:ascii="宋体" w:hAnsi="宋体"/>
          <w:snapToGrid w:val="0"/>
          <w:kern w:val="0"/>
          <w:position w:val="-2"/>
          <w:szCs w:val="21"/>
        </w:rPr>
        <w:t>单位或项目管理单位或造价咨询单位或招标代理机构</w:t>
      </w:r>
      <w:r>
        <w:rPr>
          <w:rFonts w:hint="eastAsia" w:ascii="宋体" w:hAnsi="宋体"/>
          <w:snapToGrid w:val="0"/>
          <w:kern w:val="0"/>
          <w:position w:val="-2"/>
          <w:szCs w:val="21"/>
          <w:lang w:eastAsia="zh-CN"/>
        </w:rPr>
        <w:t>存在</w:t>
      </w:r>
      <w:r>
        <w:rPr>
          <w:rFonts w:hint="eastAsia" w:ascii="宋体" w:hAnsi="宋体"/>
          <w:snapToGrid w:val="0"/>
          <w:kern w:val="0"/>
          <w:position w:val="-2"/>
          <w:szCs w:val="21"/>
        </w:rPr>
        <w:t>任职或工作的</w:t>
      </w:r>
      <w:r>
        <w:rPr>
          <w:rFonts w:hint="eastAsia" w:ascii="宋体" w:hAnsi="宋体"/>
          <w:snapToGrid w:val="0"/>
          <w:kern w:val="0"/>
          <w:position w:val="-2"/>
          <w:szCs w:val="21"/>
          <w:lang w:eastAsia="zh-CN"/>
        </w:rPr>
        <w:t>；</w:t>
      </w:r>
    </w:p>
    <w:p>
      <w:pPr>
        <w:autoSpaceDE w:val="0"/>
        <w:autoSpaceDN w:val="0"/>
        <w:adjustRightInd w:val="0"/>
        <w:snapToGri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（14）被市场监督管理机关在全国企业信用信息公示系统中列入严重违法失信企业名单</w:t>
      </w:r>
      <w:r>
        <w:rPr>
          <w:rFonts w:hint="eastAsia" w:ascii="宋体" w:hAnsi="宋体"/>
          <w:snapToGrid w:val="0"/>
          <w:kern w:val="0"/>
          <w:szCs w:val="21"/>
          <w:lang w:eastAsia="zh-CN"/>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lang w:eastAsia="zh-CN"/>
        </w:rPr>
        <w:t>（</w:t>
      </w:r>
      <w:r>
        <w:rPr>
          <w:rFonts w:hint="eastAsia" w:ascii="宋体" w:hAnsi="宋体"/>
          <w:snapToGrid w:val="0"/>
          <w:kern w:val="0"/>
          <w:szCs w:val="21"/>
          <w:lang w:val="en-US" w:eastAsia="zh-CN"/>
        </w:rPr>
        <w:t>15</w:t>
      </w:r>
      <w:r>
        <w:rPr>
          <w:rFonts w:hint="eastAsia" w:ascii="宋体" w:hAnsi="宋体"/>
          <w:snapToGrid w:val="0"/>
          <w:kern w:val="0"/>
          <w:szCs w:val="21"/>
          <w:lang w:eastAsia="zh-CN"/>
        </w:rPr>
        <w:t>）</w:t>
      </w:r>
      <w:r>
        <w:rPr>
          <w:rFonts w:hint="eastAsia" w:ascii="宋体" w:hAnsi="宋体"/>
          <w:szCs w:val="21"/>
        </w:rPr>
        <w:t>与本招标项目其他投标人的单位负责人为同一人或者存在控股、管理关系的。</w:t>
      </w:r>
    </w:p>
    <w:p>
      <w:pPr>
        <w:pStyle w:val="5"/>
        <w:snapToGrid w:val="0"/>
        <w:spacing w:before="0" w:after="0" w:line="360" w:lineRule="auto"/>
        <w:rPr>
          <w:rFonts w:ascii="宋体" w:hAnsi="宋体"/>
          <w:b w:val="0"/>
          <w:snapToGrid w:val="0"/>
          <w:sz w:val="24"/>
          <w:szCs w:val="24"/>
        </w:rPr>
      </w:pPr>
      <w:bookmarkStart w:id="266" w:name="_Toc224103323"/>
      <w:bookmarkStart w:id="267" w:name="_Toc287607752"/>
      <w:bookmarkStart w:id="268" w:name="_Toc430530441"/>
      <w:bookmarkStart w:id="269" w:name="_Toc200513132"/>
      <w:bookmarkStart w:id="270" w:name="_Toc277082558"/>
      <w:bookmarkStart w:id="271" w:name="_Toc287620691"/>
      <w:bookmarkStart w:id="272" w:name="_Toc509218716"/>
      <w:bookmarkStart w:id="273" w:name="_Toc23961"/>
      <w:bookmarkStart w:id="274" w:name="_Toc26371"/>
      <w:bookmarkStart w:id="275" w:name="_Toc1239"/>
      <w:r>
        <w:rPr>
          <w:rFonts w:ascii="宋体" w:hAnsi="宋体"/>
          <w:b w:val="0"/>
          <w:snapToGrid w:val="0"/>
          <w:sz w:val="24"/>
          <w:szCs w:val="24"/>
        </w:rPr>
        <w:t>1.5  费用承担</w:t>
      </w:r>
      <w:bookmarkEnd w:id="266"/>
      <w:bookmarkEnd w:id="267"/>
      <w:bookmarkEnd w:id="268"/>
      <w:bookmarkEnd w:id="269"/>
      <w:bookmarkEnd w:id="270"/>
      <w:bookmarkEnd w:id="271"/>
      <w:bookmarkEnd w:id="272"/>
      <w:r>
        <w:rPr>
          <w:rFonts w:hint="eastAsia" w:ascii="宋体" w:hAnsi="宋体"/>
          <w:b w:val="0"/>
          <w:snapToGrid w:val="0"/>
          <w:sz w:val="24"/>
          <w:szCs w:val="24"/>
        </w:rPr>
        <w:t>和设计成果补偿</w:t>
      </w:r>
      <w:bookmarkEnd w:id="273"/>
      <w:bookmarkEnd w:id="274"/>
      <w:bookmarkEnd w:id="275"/>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1.5.1 投标人准备和参加投标活动发生的费用自理。</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1.5.2 招标人对符合招标文件规定的未中标人的设计成果进行补偿的，按投标人须知前附表规定给予补偿，并有权免费使用未中标人设计成果。</w:t>
      </w:r>
    </w:p>
    <w:p>
      <w:pPr>
        <w:pStyle w:val="5"/>
        <w:snapToGrid w:val="0"/>
        <w:spacing w:before="0" w:after="0" w:line="360" w:lineRule="auto"/>
        <w:rPr>
          <w:rFonts w:ascii="宋体" w:hAnsi="宋体"/>
          <w:b w:val="0"/>
          <w:snapToGrid w:val="0"/>
          <w:sz w:val="24"/>
          <w:szCs w:val="24"/>
        </w:rPr>
      </w:pPr>
      <w:bookmarkStart w:id="276" w:name="_Toc12471"/>
      <w:bookmarkStart w:id="277" w:name="_Toc287607753"/>
      <w:bookmarkStart w:id="278" w:name="_Toc287620692"/>
      <w:bookmarkStart w:id="279" w:name="_Toc224103324"/>
      <w:bookmarkStart w:id="280" w:name="_Toc200513133"/>
      <w:bookmarkStart w:id="281" w:name="_Toc21707"/>
      <w:bookmarkStart w:id="282" w:name="_Toc430530442"/>
      <w:bookmarkStart w:id="283" w:name="_Toc277082559"/>
      <w:bookmarkStart w:id="284" w:name="_Toc10031"/>
      <w:bookmarkStart w:id="285" w:name="_Toc509218717"/>
      <w:r>
        <w:rPr>
          <w:rFonts w:ascii="宋体" w:hAnsi="宋体"/>
          <w:b w:val="0"/>
          <w:snapToGrid w:val="0"/>
          <w:sz w:val="24"/>
          <w:szCs w:val="24"/>
        </w:rPr>
        <w:t>1.6  保密</w:t>
      </w:r>
      <w:bookmarkEnd w:id="276"/>
      <w:bookmarkEnd w:id="277"/>
      <w:bookmarkEnd w:id="278"/>
      <w:bookmarkEnd w:id="279"/>
      <w:bookmarkEnd w:id="280"/>
      <w:bookmarkEnd w:id="281"/>
      <w:bookmarkEnd w:id="282"/>
      <w:bookmarkEnd w:id="283"/>
      <w:bookmarkEnd w:id="284"/>
      <w:bookmarkEnd w:id="285"/>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w:t>
      </w:r>
      <w:r>
        <w:rPr>
          <w:rFonts w:hint="eastAsia"/>
        </w:rPr>
        <w:t>否则应承担相应的法律责任。</w:t>
      </w:r>
    </w:p>
    <w:p>
      <w:pPr>
        <w:pStyle w:val="5"/>
        <w:snapToGrid w:val="0"/>
        <w:spacing w:before="0" w:after="0" w:line="360" w:lineRule="auto"/>
        <w:rPr>
          <w:rFonts w:ascii="宋体" w:hAnsi="宋体"/>
          <w:b w:val="0"/>
          <w:snapToGrid w:val="0"/>
          <w:sz w:val="24"/>
          <w:szCs w:val="24"/>
        </w:rPr>
      </w:pPr>
      <w:bookmarkStart w:id="286" w:name="_Toc287607754"/>
      <w:bookmarkStart w:id="287" w:name="_Toc24049"/>
      <w:bookmarkStart w:id="288" w:name="_Toc430530443"/>
      <w:bookmarkStart w:id="289" w:name="_Toc287620693"/>
      <w:bookmarkStart w:id="290" w:name="_Toc509218718"/>
      <w:bookmarkStart w:id="291" w:name="_Toc24869"/>
      <w:bookmarkStart w:id="292" w:name="_Toc15181"/>
      <w:bookmarkStart w:id="293" w:name="_Toc200513134"/>
      <w:bookmarkStart w:id="294" w:name="_Toc277082560"/>
      <w:bookmarkStart w:id="295" w:name="_Toc224103325"/>
      <w:r>
        <w:rPr>
          <w:rFonts w:ascii="宋体" w:hAnsi="宋体"/>
          <w:b w:val="0"/>
          <w:snapToGrid w:val="0"/>
          <w:sz w:val="24"/>
          <w:szCs w:val="24"/>
        </w:rPr>
        <w:t>1.7  语言文字</w:t>
      </w:r>
      <w:bookmarkEnd w:id="286"/>
      <w:bookmarkEnd w:id="287"/>
      <w:bookmarkEnd w:id="288"/>
      <w:bookmarkEnd w:id="289"/>
      <w:bookmarkEnd w:id="290"/>
      <w:bookmarkEnd w:id="291"/>
      <w:bookmarkEnd w:id="292"/>
      <w:bookmarkEnd w:id="293"/>
      <w:bookmarkEnd w:id="294"/>
      <w:bookmarkEnd w:id="295"/>
    </w:p>
    <w:p>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招标投标文件使用的语言文字为中文。专用术语使用外文的，应附有中文注释。</w:t>
      </w:r>
    </w:p>
    <w:p>
      <w:pPr>
        <w:pStyle w:val="5"/>
        <w:snapToGrid w:val="0"/>
        <w:spacing w:before="0" w:after="0" w:line="360" w:lineRule="auto"/>
        <w:rPr>
          <w:rFonts w:ascii="宋体" w:hAnsi="宋体"/>
          <w:b w:val="0"/>
          <w:snapToGrid w:val="0"/>
          <w:sz w:val="24"/>
          <w:szCs w:val="24"/>
        </w:rPr>
      </w:pPr>
      <w:bookmarkStart w:id="296" w:name="_Toc22584"/>
      <w:bookmarkStart w:id="297" w:name="_Toc430530444"/>
      <w:bookmarkStart w:id="298" w:name="_Toc27635"/>
      <w:bookmarkStart w:id="299" w:name="_Toc224103326"/>
      <w:bookmarkStart w:id="300" w:name="_Toc200513135"/>
      <w:bookmarkStart w:id="301" w:name="_Toc287607755"/>
      <w:bookmarkStart w:id="302" w:name="_Toc277082561"/>
      <w:bookmarkStart w:id="303" w:name="_Toc287620694"/>
      <w:bookmarkStart w:id="304" w:name="_Toc11128"/>
      <w:bookmarkStart w:id="305" w:name="_Toc509218719"/>
      <w:r>
        <w:rPr>
          <w:rFonts w:ascii="宋体" w:hAnsi="宋体"/>
          <w:b w:val="0"/>
          <w:snapToGrid w:val="0"/>
          <w:sz w:val="24"/>
          <w:szCs w:val="24"/>
        </w:rPr>
        <w:t>1.8  计量单位</w:t>
      </w:r>
      <w:bookmarkEnd w:id="296"/>
      <w:bookmarkEnd w:id="297"/>
      <w:bookmarkEnd w:id="298"/>
      <w:bookmarkEnd w:id="299"/>
      <w:bookmarkEnd w:id="300"/>
      <w:bookmarkEnd w:id="301"/>
      <w:bookmarkEnd w:id="302"/>
      <w:bookmarkEnd w:id="303"/>
      <w:bookmarkEnd w:id="304"/>
      <w:bookmarkEnd w:id="305"/>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pPr>
        <w:pStyle w:val="5"/>
        <w:snapToGrid w:val="0"/>
        <w:spacing w:before="0" w:after="0" w:line="360" w:lineRule="auto"/>
        <w:rPr>
          <w:rFonts w:ascii="宋体" w:hAnsi="宋体"/>
          <w:b w:val="0"/>
          <w:snapToGrid w:val="0"/>
          <w:sz w:val="24"/>
          <w:szCs w:val="24"/>
        </w:rPr>
      </w:pPr>
      <w:bookmarkStart w:id="306" w:name="_Toc224103327"/>
      <w:bookmarkStart w:id="307" w:name="_Toc16561"/>
      <w:bookmarkStart w:id="308" w:name="_Toc287607756"/>
      <w:bookmarkStart w:id="309" w:name="_Toc287620695"/>
      <w:bookmarkStart w:id="310" w:name="_Toc509218720"/>
      <w:bookmarkStart w:id="311" w:name="_Toc430530445"/>
      <w:bookmarkStart w:id="312" w:name="_Toc200513136"/>
      <w:bookmarkStart w:id="313" w:name="_Toc14254"/>
      <w:bookmarkStart w:id="314" w:name="_Toc277082562"/>
      <w:bookmarkStart w:id="315" w:name="_Toc28364"/>
      <w:r>
        <w:rPr>
          <w:rFonts w:ascii="宋体" w:hAnsi="宋体"/>
          <w:b w:val="0"/>
          <w:snapToGrid w:val="0"/>
          <w:sz w:val="24"/>
          <w:szCs w:val="24"/>
        </w:rPr>
        <w:t>1.9  踏勘现场</w:t>
      </w:r>
      <w:bookmarkEnd w:id="306"/>
      <w:bookmarkEnd w:id="307"/>
      <w:bookmarkEnd w:id="308"/>
      <w:bookmarkEnd w:id="309"/>
      <w:bookmarkEnd w:id="310"/>
      <w:bookmarkEnd w:id="311"/>
      <w:bookmarkEnd w:id="312"/>
      <w:bookmarkEnd w:id="313"/>
      <w:bookmarkEnd w:id="314"/>
      <w:bookmarkEnd w:id="31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pPr>
        <w:pStyle w:val="5"/>
        <w:snapToGrid w:val="0"/>
        <w:spacing w:before="0" w:after="0" w:line="360" w:lineRule="auto"/>
        <w:rPr>
          <w:rFonts w:ascii="宋体" w:hAnsi="宋体"/>
          <w:b w:val="0"/>
          <w:snapToGrid w:val="0"/>
          <w:sz w:val="24"/>
          <w:szCs w:val="24"/>
        </w:rPr>
      </w:pPr>
      <w:bookmarkStart w:id="316" w:name="_Toc10696"/>
      <w:bookmarkStart w:id="317" w:name="_Toc430530446"/>
      <w:bookmarkStart w:id="318" w:name="_Toc509218721"/>
      <w:bookmarkStart w:id="319" w:name="_Toc3434"/>
      <w:bookmarkStart w:id="320" w:name="_Toc11418"/>
      <w:bookmarkStart w:id="321" w:name="_Toc287607757"/>
      <w:bookmarkStart w:id="322" w:name="_Toc224103328"/>
      <w:bookmarkStart w:id="323" w:name="_Toc287620696"/>
      <w:bookmarkStart w:id="324" w:name="_Toc277082563"/>
      <w:bookmarkStart w:id="325" w:name="_Toc200513137"/>
      <w:r>
        <w:rPr>
          <w:rFonts w:ascii="宋体" w:hAnsi="宋体"/>
          <w:b w:val="0"/>
          <w:snapToGrid w:val="0"/>
          <w:sz w:val="24"/>
          <w:szCs w:val="24"/>
        </w:rPr>
        <w:t>1.10  投标预备会</w:t>
      </w:r>
      <w:bookmarkEnd w:id="316"/>
      <w:bookmarkEnd w:id="317"/>
      <w:bookmarkEnd w:id="318"/>
      <w:bookmarkEnd w:id="319"/>
      <w:bookmarkEnd w:id="320"/>
      <w:bookmarkEnd w:id="321"/>
      <w:bookmarkEnd w:id="322"/>
      <w:bookmarkEnd w:id="323"/>
      <w:bookmarkEnd w:id="324"/>
      <w:bookmarkEnd w:id="325"/>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投标人应在投标人须知前附表</w:t>
      </w:r>
      <w:r>
        <w:rPr>
          <w:rFonts w:hint="eastAsia"/>
        </w:rPr>
        <w:t>规定的时间前</w:t>
      </w:r>
      <w:r>
        <w:rPr>
          <w:rFonts w:ascii="宋体" w:hAnsi="宋体"/>
          <w:snapToGrid w:val="0"/>
          <w:kern w:val="0"/>
          <w:szCs w:val="21"/>
        </w:rPr>
        <w:t>，以书面形式将提出的问题送达招标人，以便招标人</w:t>
      </w:r>
      <w:r>
        <w:rPr>
          <w:rFonts w:hint="eastAsia"/>
        </w:rPr>
        <w:t>在会议期间</w:t>
      </w:r>
      <w:r>
        <w:rPr>
          <w:rFonts w:ascii="宋体" w:hAnsi="宋体"/>
          <w:snapToGrid w:val="0"/>
          <w:kern w:val="0"/>
          <w:szCs w:val="21"/>
        </w:rPr>
        <w:t>澄清。</w:t>
      </w:r>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 xml:space="preserve">1.10.3  </w:t>
      </w:r>
      <w:r>
        <w:rPr>
          <w:rFonts w:hint="eastAsia"/>
        </w:rPr>
        <w:t>投标预备会后，招标人在投标人须知前附表规定的时间内，将对投标人所提问题的澄清，以</w:t>
      </w:r>
      <w:r>
        <w:rPr>
          <w:rFonts w:ascii="宋体" w:hAnsi="宋体"/>
          <w:snapToGrid w:val="0"/>
          <w:kern w:val="0"/>
          <w:szCs w:val="21"/>
        </w:rPr>
        <w:t>投标人须知前附表</w:t>
      </w:r>
      <w:r>
        <w:rPr>
          <w:rFonts w:hint="eastAsia"/>
        </w:rPr>
        <w:t>规定的形式通知所有投标人。该澄清内容为招标文件的组成部分。</w:t>
      </w:r>
    </w:p>
    <w:p>
      <w:pPr>
        <w:pStyle w:val="5"/>
        <w:snapToGrid w:val="0"/>
        <w:spacing w:before="0" w:after="0" w:line="360" w:lineRule="auto"/>
        <w:rPr>
          <w:rFonts w:ascii="宋体" w:hAnsi="宋体"/>
          <w:b w:val="0"/>
          <w:snapToGrid w:val="0"/>
          <w:sz w:val="24"/>
          <w:szCs w:val="24"/>
        </w:rPr>
      </w:pPr>
      <w:bookmarkStart w:id="326" w:name="_Toc287607758"/>
      <w:bookmarkStart w:id="327" w:name="_Toc200513138"/>
      <w:bookmarkStart w:id="328" w:name="_Toc287620697"/>
      <w:bookmarkStart w:id="329" w:name="_Toc430530447"/>
      <w:bookmarkStart w:id="330" w:name="_Toc224103329"/>
      <w:bookmarkStart w:id="331" w:name="_Toc277082564"/>
      <w:bookmarkStart w:id="332" w:name="_Toc509218722"/>
      <w:bookmarkStart w:id="333" w:name="_Toc19885"/>
      <w:bookmarkStart w:id="334" w:name="_Toc11167"/>
      <w:bookmarkStart w:id="335" w:name="_Toc20411"/>
      <w:r>
        <w:rPr>
          <w:rFonts w:ascii="宋体" w:hAnsi="宋体"/>
          <w:b w:val="0"/>
          <w:snapToGrid w:val="0"/>
          <w:sz w:val="24"/>
          <w:szCs w:val="24"/>
        </w:rPr>
        <w:t xml:space="preserve">1.11  </w:t>
      </w:r>
      <w:bookmarkEnd w:id="326"/>
      <w:bookmarkEnd w:id="327"/>
      <w:bookmarkEnd w:id="328"/>
      <w:bookmarkEnd w:id="329"/>
      <w:bookmarkEnd w:id="330"/>
      <w:bookmarkEnd w:id="331"/>
      <w:bookmarkEnd w:id="332"/>
      <w:r>
        <w:rPr>
          <w:rFonts w:hint="eastAsia" w:ascii="宋体" w:hAnsi="宋体"/>
          <w:b w:val="0"/>
          <w:snapToGrid w:val="0"/>
          <w:sz w:val="24"/>
          <w:szCs w:val="24"/>
        </w:rPr>
        <w:t>分包</w:t>
      </w:r>
      <w:bookmarkEnd w:id="333"/>
      <w:bookmarkEnd w:id="334"/>
      <w:bookmarkEnd w:id="335"/>
    </w:p>
    <w:p>
      <w:pPr>
        <w:autoSpaceDE w:val="0"/>
        <w:autoSpaceDN w:val="0"/>
        <w:adjustRightInd w:val="0"/>
        <w:snapToGrid w:val="0"/>
        <w:spacing w:line="360" w:lineRule="auto"/>
        <w:ind w:firstLine="420"/>
        <w:rPr>
          <w:rFonts w:ascii="宋体" w:hAnsi="宋体"/>
          <w:snapToGrid w:val="0"/>
          <w:kern w:val="0"/>
          <w:szCs w:val="21"/>
        </w:rPr>
      </w:pPr>
      <w:bookmarkStart w:id="336" w:name="_Toc509218723"/>
      <w:bookmarkStart w:id="337" w:name="_Toc277082565"/>
      <w:bookmarkStart w:id="338" w:name="_Toc224103330"/>
      <w:bookmarkStart w:id="339" w:name="_Toc287620698"/>
      <w:bookmarkStart w:id="340" w:name="_Toc200513139"/>
      <w:bookmarkStart w:id="341" w:name="_Toc430530448"/>
      <w:bookmarkStart w:id="342" w:name="_Toc287607759"/>
      <w:r>
        <w:rPr>
          <w:rFonts w:hint="eastAsia" w:ascii="宋体" w:hAnsi="宋体"/>
          <w:snapToGrid w:val="0"/>
          <w:kern w:val="0"/>
          <w:szCs w:val="21"/>
        </w:rPr>
        <w:t>1.11.1 投标人须知前附表规定应当由分包人实施的非主体、非关键性工作，投标人应当按照第六章“发包人要求”的规定提供分包人</w:t>
      </w:r>
      <w:r>
        <w:rPr>
          <w:rFonts w:hint="eastAsia" w:ascii="宋体" w:hAnsi="宋体"/>
          <w:snapToGrid w:val="0"/>
          <w:kern w:val="0"/>
          <w:szCs w:val="21"/>
          <w:lang w:eastAsia="zh-CN"/>
        </w:rPr>
        <w:t>候选名单</w:t>
      </w:r>
      <w:r>
        <w:rPr>
          <w:rFonts w:hint="eastAsia" w:ascii="宋体" w:hAnsi="宋体"/>
          <w:snapToGrid w:val="0"/>
          <w:kern w:val="0"/>
          <w:szCs w:val="21"/>
        </w:rPr>
        <w:t>及其相应资料。</w:t>
      </w:r>
    </w:p>
    <w:p>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1.11.2 投标人拟在中标后将中标项目的部分非主体、非关键性工作进行分包的，应符合投标人须知前附表规定的分包内容、分包金额和资质要求等限制性条件。</w:t>
      </w:r>
    </w:p>
    <w:p>
      <w:pPr>
        <w:pStyle w:val="5"/>
        <w:snapToGrid w:val="0"/>
        <w:spacing w:before="0" w:after="0" w:line="360" w:lineRule="auto"/>
        <w:rPr>
          <w:rFonts w:ascii="宋体" w:hAnsi="宋体"/>
          <w:b w:val="0"/>
          <w:snapToGrid w:val="0"/>
          <w:sz w:val="24"/>
          <w:szCs w:val="24"/>
        </w:rPr>
      </w:pPr>
      <w:bookmarkStart w:id="343" w:name="_Toc12398"/>
      <w:bookmarkStart w:id="344" w:name="_Toc21555"/>
      <w:bookmarkStart w:id="345" w:name="_Toc13543"/>
      <w:r>
        <w:rPr>
          <w:rFonts w:ascii="宋体" w:hAnsi="宋体"/>
          <w:b w:val="0"/>
          <w:snapToGrid w:val="0"/>
          <w:sz w:val="24"/>
          <w:szCs w:val="24"/>
        </w:rPr>
        <w:t>1.12  偏离</w:t>
      </w:r>
      <w:bookmarkEnd w:id="336"/>
      <w:bookmarkEnd w:id="337"/>
      <w:bookmarkEnd w:id="338"/>
      <w:bookmarkEnd w:id="339"/>
      <w:bookmarkEnd w:id="340"/>
      <w:bookmarkEnd w:id="341"/>
      <w:bookmarkEnd w:id="342"/>
      <w:bookmarkEnd w:id="343"/>
      <w:bookmarkEnd w:id="344"/>
      <w:bookmarkEnd w:id="34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投标人须知前附表允许投标文件偏离招标文件某些要求的，偏离应当符合招标文件规定的偏离范围和幅度。</w:t>
      </w:r>
    </w:p>
    <w:p>
      <w:pPr>
        <w:pStyle w:val="4"/>
        <w:spacing w:before="0" w:after="0" w:line="360" w:lineRule="auto"/>
        <w:rPr>
          <w:rFonts w:ascii="宋体" w:hAnsi="宋体"/>
          <w:b w:val="0"/>
          <w:snapToGrid w:val="0"/>
        </w:rPr>
      </w:pPr>
      <w:bookmarkStart w:id="346" w:name="_Toc200513140"/>
      <w:bookmarkStart w:id="347" w:name="_Toc6408"/>
      <w:bookmarkStart w:id="348" w:name="_Toc11561"/>
      <w:bookmarkStart w:id="349" w:name="_Toc224103331"/>
      <w:bookmarkStart w:id="350" w:name="_Toc287620699"/>
      <w:bookmarkStart w:id="351" w:name="_Toc277082566"/>
      <w:bookmarkStart w:id="352" w:name="_Toc287607760"/>
      <w:bookmarkStart w:id="353" w:name="_Toc509218724"/>
      <w:bookmarkStart w:id="354" w:name="_Toc27789"/>
      <w:bookmarkStart w:id="355" w:name="_Toc430530449"/>
      <w:r>
        <w:rPr>
          <w:rFonts w:ascii="宋体" w:hAnsi="宋体"/>
          <w:b w:val="0"/>
          <w:snapToGrid w:val="0"/>
        </w:rPr>
        <w:t>2.  招标文件</w:t>
      </w:r>
      <w:bookmarkEnd w:id="346"/>
      <w:bookmarkEnd w:id="347"/>
      <w:bookmarkEnd w:id="348"/>
      <w:bookmarkEnd w:id="349"/>
      <w:bookmarkEnd w:id="350"/>
      <w:bookmarkEnd w:id="351"/>
      <w:bookmarkEnd w:id="352"/>
      <w:bookmarkEnd w:id="353"/>
      <w:bookmarkEnd w:id="354"/>
      <w:bookmarkEnd w:id="355"/>
    </w:p>
    <w:p>
      <w:pPr>
        <w:pStyle w:val="5"/>
        <w:snapToGrid w:val="0"/>
        <w:spacing w:before="0" w:after="0" w:line="360" w:lineRule="auto"/>
        <w:rPr>
          <w:rFonts w:ascii="宋体" w:hAnsi="宋体"/>
          <w:b w:val="0"/>
          <w:snapToGrid w:val="0"/>
          <w:sz w:val="24"/>
          <w:szCs w:val="24"/>
        </w:rPr>
      </w:pPr>
      <w:bookmarkStart w:id="356" w:name="_Toc224103332"/>
      <w:bookmarkStart w:id="357" w:name="_Toc30743"/>
      <w:bookmarkStart w:id="358" w:name="_Toc430530450"/>
      <w:bookmarkStart w:id="359" w:name="_Toc287607761"/>
      <w:bookmarkStart w:id="360" w:name="_Toc277082567"/>
      <w:bookmarkStart w:id="361" w:name="_Toc23084"/>
      <w:bookmarkStart w:id="362" w:name="_Toc509218725"/>
      <w:bookmarkStart w:id="363" w:name="_Toc287620700"/>
      <w:bookmarkStart w:id="364" w:name="_Toc21187"/>
      <w:bookmarkStart w:id="365" w:name="_Toc200513141"/>
      <w:r>
        <w:rPr>
          <w:rFonts w:ascii="宋体" w:hAnsi="宋体"/>
          <w:b w:val="0"/>
          <w:snapToGrid w:val="0"/>
          <w:sz w:val="24"/>
          <w:szCs w:val="24"/>
        </w:rPr>
        <w:t>2.1  招标文件的组成</w:t>
      </w:r>
      <w:bookmarkEnd w:id="356"/>
      <w:bookmarkEnd w:id="357"/>
      <w:bookmarkEnd w:id="358"/>
      <w:bookmarkEnd w:id="359"/>
      <w:bookmarkEnd w:id="360"/>
      <w:bookmarkEnd w:id="361"/>
      <w:bookmarkEnd w:id="362"/>
      <w:bookmarkEnd w:id="363"/>
      <w:bookmarkEnd w:id="364"/>
      <w:bookmarkEnd w:id="365"/>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pPr>
        <w:autoSpaceDE w:val="0"/>
        <w:autoSpaceDN w:val="0"/>
        <w:adjustRightInd w:val="0"/>
        <w:snapToGrid w:val="0"/>
        <w:spacing w:line="360" w:lineRule="auto"/>
        <w:ind w:left="359" w:leftChars="171"/>
      </w:pPr>
      <w:r>
        <w:rPr>
          <w:rFonts w:hint="eastAsia" w:ascii="宋体" w:hAnsi="宋体"/>
          <w:snapToGrid w:val="0"/>
          <w:kern w:val="0"/>
          <w:szCs w:val="21"/>
        </w:rPr>
        <w:t>（5）工程量清单（如有）</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w:t>
      </w:r>
      <w:r>
        <w:rPr>
          <w:rFonts w:hint="eastAsia" w:ascii="宋体" w:hAnsi="宋体"/>
          <w:snapToGrid w:val="0"/>
          <w:kern w:val="0"/>
          <w:szCs w:val="21"/>
        </w:rPr>
        <w:t>发包人要求</w:t>
      </w:r>
      <w:r>
        <w:rPr>
          <w:rFonts w:ascii="宋体" w:hAnsi="宋体"/>
          <w:snapToGrid w:val="0"/>
          <w:kern w:val="0"/>
          <w:szCs w:val="21"/>
        </w:rPr>
        <w:t>；</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7</w:t>
      </w:r>
      <w:r>
        <w:rPr>
          <w:rFonts w:ascii="宋体" w:hAnsi="宋体"/>
          <w:snapToGrid w:val="0"/>
          <w:kern w:val="0"/>
          <w:szCs w:val="21"/>
        </w:rPr>
        <w:t>）</w:t>
      </w:r>
      <w:r>
        <w:rPr>
          <w:rFonts w:hint="eastAsia" w:ascii="宋体" w:hAnsi="宋体"/>
          <w:snapToGrid w:val="0"/>
          <w:kern w:val="0"/>
          <w:szCs w:val="21"/>
        </w:rPr>
        <w:t>发包人提供的资料和条件</w:t>
      </w:r>
      <w:r>
        <w:rPr>
          <w:rFonts w:ascii="宋体" w:hAnsi="宋体"/>
          <w:snapToGrid w:val="0"/>
          <w:kern w:val="0"/>
          <w:szCs w:val="21"/>
        </w:rPr>
        <w:t>；</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8</w:t>
      </w:r>
      <w:r>
        <w:rPr>
          <w:rFonts w:ascii="宋体" w:hAnsi="宋体"/>
          <w:snapToGrid w:val="0"/>
          <w:kern w:val="0"/>
          <w:szCs w:val="21"/>
        </w:rPr>
        <w:t>）投标文件格式；</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9</w:t>
      </w:r>
      <w:r>
        <w:rPr>
          <w:rFonts w:ascii="宋体" w:hAnsi="宋体"/>
          <w:snapToGrid w:val="0"/>
          <w:kern w:val="0"/>
          <w:szCs w:val="21"/>
        </w:rPr>
        <w:t>）投标人须知前附表规定的其他材料。</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pPr>
        <w:pStyle w:val="5"/>
        <w:snapToGrid w:val="0"/>
        <w:spacing w:before="0" w:after="0" w:line="360" w:lineRule="auto"/>
        <w:rPr>
          <w:rFonts w:ascii="宋体" w:hAnsi="宋体"/>
          <w:b w:val="0"/>
          <w:snapToGrid w:val="0"/>
          <w:sz w:val="24"/>
          <w:szCs w:val="24"/>
        </w:rPr>
      </w:pPr>
      <w:bookmarkStart w:id="366" w:name="_Toc28165"/>
      <w:bookmarkStart w:id="367" w:name="_Toc509218726"/>
      <w:bookmarkStart w:id="368" w:name="_Toc26056"/>
      <w:bookmarkStart w:id="369" w:name="_Toc26233"/>
      <w:bookmarkStart w:id="370" w:name="_Toc430530451"/>
      <w:r>
        <w:rPr>
          <w:rFonts w:ascii="宋体" w:hAnsi="宋体"/>
          <w:b w:val="0"/>
          <w:snapToGrid w:val="0"/>
          <w:sz w:val="24"/>
          <w:szCs w:val="24"/>
        </w:rPr>
        <w:t>2.2  招标文件的澄清</w:t>
      </w:r>
      <w:bookmarkEnd w:id="366"/>
      <w:bookmarkEnd w:id="367"/>
      <w:bookmarkEnd w:id="368"/>
      <w:bookmarkEnd w:id="369"/>
      <w:bookmarkEnd w:id="370"/>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投标人应仔细阅读和检查招标文件的全部内容。如发现缺页或附件不全，应及时向招标人提出，以便补齐。如有疑问，应在投标人须知前附表规定的时间前</w:t>
      </w:r>
      <w:r>
        <w:rPr>
          <w:rFonts w:ascii="宋体" w:hAnsi="宋体"/>
          <w:kern w:val="0"/>
          <w:szCs w:val="21"/>
        </w:rPr>
        <w:t>在</w:t>
      </w:r>
      <w:r>
        <w:rPr>
          <w:rFonts w:hint="eastAsia" w:ascii="宋体" w:hAnsi="宋体"/>
          <w:kern w:val="0"/>
          <w:szCs w:val="21"/>
        </w:rPr>
        <w:t>相应法定网站提问</w:t>
      </w:r>
      <w:r>
        <w:rPr>
          <w:rFonts w:ascii="宋体" w:hAnsi="宋体"/>
          <w:snapToGrid w:val="0"/>
          <w:kern w:val="0"/>
          <w:szCs w:val="21"/>
        </w:rPr>
        <w:t>，要求招标人对招标文件予以澄清。</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招标文件的澄清将在投标人须知前附表规定的投标截止时间15天前</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但不指明澄清问题的来源。如果澄清发出的时间距投标截止时间不足15天，相应延长投标截止时间。</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招标人对招标文件的</w:t>
      </w:r>
      <w:r>
        <w:rPr>
          <w:rFonts w:ascii="宋体" w:hAnsi="宋体"/>
          <w:snapToGrid w:val="0"/>
          <w:kern w:val="0"/>
          <w:szCs w:val="21"/>
        </w:rPr>
        <w:t>修改内容可能影响投标文件编制的，须在投标截止时间15日前发布，发布时间至投标截止时间不足15日的，须相应延后投标截止时间。</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2.2.4  投标人对招标文件和澄清修改仍有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招标人或招标代理机构提出</w:t>
      </w:r>
      <w:r>
        <w:rPr>
          <w:rFonts w:ascii="宋体" w:hAnsi="宋体"/>
          <w:snapToGrid w:val="0"/>
          <w:kern w:val="0"/>
          <w:szCs w:val="21"/>
        </w:rPr>
        <w:t>。招标人应将答复以修改的形式在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。修改内容可能影响投标文件编制的，须在投标截止时间15日前发布，发布时间至投标截止时间不足15日的，须相应延后投标截止时间。</w:t>
      </w:r>
    </w:p>
    <w:p>
      <w:pPr>
        <w:pStyle w:val="5"/>
        <w:snapToGrid w:val="0"/>
        <w:spacing w:before="0" w:after="0" w:line="360" w:lineRule="auto"/>
        <w:rPr>
          <w:rFonts w:ascii="宋体" w:hAnsi="宋体"/>
          <w:b w:val="0"/>
          <w:snapToGrid w:val="0"/>
          <w:sz w:val="24"/>
          <w:szCs w:val="24"/>
        </w:rPr>
      </w:pPr>
      <w:bookmarkStart w:id="371" w:name="_Toc430530452"/>
      <w:bookmarkStart w:id="372" w:name="_Toc287607763"/>
      <w:bookmarkStart w:id="373" w:name="_Toc31189"/>
      <w:bookmarkStart w:id="374" w:name="_Toc224103334"/>
      <w:bookmarkStart w:id="375" w:name="_Toc277082569"/>
      <w:bookmarkStart w:id="376" w:name="_Toc21615"/>
      <w:bookmarkStart w:id="377" w:name="_Toc200513143"/>
      <w:bookmarkStart w:id="378" w:name="_Toc5763"/>
      <w:bookmarkStart w:id="379" w:name="_Toc287620702"/>
      <w:bookmarkStart w:id="380" w:name="_Toc509218727"/>
      <w:r>
        <w:rPr>
          <w:rFonts w:ascii="宋体" w:hAnsi="宋体"/>
          <w:b w:val="0"/>
          <w:snapToGrid w:val="0"/>
          <w:sz w:val="24"/>
          <w:szCs w:val="24"/>
        </w:rPr>
        <w:t>2.3  招标文件的修改</w:t>
      </w:r>
      <w:bookmarkEnd w:id="371"/>
      <w:bookmarkEnd w:id="372"/>
      <w:bookmarkEnd w:id="373"/>
      <w:bookmarkEnd w:id="374"/>
      <w:bookmarkEnd w:id="375"/>
      <w:bookmarkEnd w:id="376"/>
      <w:bookmarkEnd w:id="377"/>
      <w:bookmarkEnd w:id="378"/>
      <w:bookmarkEnd w:id="379"/>
      <w:bookmarkEnd w:id="380"/>
    </w:p>
    <w:p>
      <w:pPr>
        <w:autoSpaceDE w:val="0"/>
        <w:autoSpaceDN w:val="0"/>
        <w:adjustRightInd w:val="0"/>
        <w:snapToGrid w:val="0"/>
        <w:spacing w:line="360" w:lineRule="auto"/>
        <w:ind w:firstLine="420"/>
        <w:rPr>
          <w:rFonts w:ascii="宋体" w:hAnsi="宋体"/>
          <w:snapToGrid w:val="0"/>
        </w:rPr>
      </w:pPr>
      <w:bookmarkStart w:id="381" w:name="_Toc287620703"/>
      <w:bookmarkStart w:id="382" w:name="_Toc287607764"/>
      <w:bookmarkStart w:id="383" w:name="_Toc277082570"/>
      <w:bookmarkStart w:id="384" w:name="_Toc224103335"/>
      <w:bookmarkStart w:id="385" w:name="_Toc200513144"/>
      <w:r>
        <w:rPr>
          <w:rFonts w:ascii="宋体" w:hAnsi="宋体"/>
          <w:snapToGrid w:val="0"/>
        </w:rPr>
        <w:t>按照本章第2.2款招标文件的澄清相关内容及方式执行。</w:t>
      </w:r>
    </w:p>
    <w:p>
      <w:pPr>
        <w:pStyle w:val="4"/>
        <w:spacing w:before="0" w:after="0" w:line="360" w:lineRule="auto"/>
        <w:rPr>
          <w:rFonts w:ascii="宋体" w:hAnsi="宋体"/>
          <w:b w:val="0"/>
          <w:snapToGrid w:val="0"/>
        </w:rPr>
      </w:pPr>
      <w:bookmarkStart w:id="386" w:name="_Toc22729"/>
      <w:bookmarkStart w:id="387" w:name="_Toc509218728"/>
      <w:bookmarkStart w:id="388" w:name="_Toc19009"/>
      <w:bookmarkStart w:id="389" w:name="_Toc14278"/>
      <w:bookmarkStart w:id="390" w:name="_Toc430530453"/>
      <w:r>
        <w:rPr>
          <w:rFonts w:ascii="宋体" w:hAnsi="宋体"/>
          <w:b w:val="0"/>
          <w:snapToGrid w:val="0"/>
        </w:rPr>
        <w:t>3.  投标文件</w:t>
      </w:r>
      <w:bookmarkEnd w:id="381"/>
      <w:bookmarkEnd w:id="382"/>
      <w:bookmarkEnd w:id="383"/>
      <w:bookmarkEnd w:id="384"/>
      <w:bookmarkEnd w:id="385"/>
      <w:bookmarkEnd w:id="386"/>
      <w:bookmarkEnd w:id="387"/>
      <w:bookmarkEnd w:id="388"/>
      <w:bookmarkEnd w:id="389"/>
      <w:bookmarkEnd w:id="390"/>
    </w:p>
    <w:p>
      <w:pPr>
        <w:pStyle w:val="5"/>
        <w:snapToGrid w:val="0"/>
        <w:spacing w:before="0" w:after="0" w:line="360" w:lineRule="auto"/>
        <w:rPr>
          <w:rFonts w:ascii="宋体" w:hAnsi="宋体"/>
          <w:b w:val="0"/>
          <w:snapToGrid w:val="0"/>
          <w:sz w:val="24"/>
          <w:szCs w:val="24"/>
        </w:rPr>
      </w:pPr>
      <w:bookmarkStart w:id="391" w:name="_Toc200513145"/>
      <w:bookmarkStart w:id="392" w:name="_Toc4910"/>
      <w:bookmarkStart w:id="393" w:name="_Toc224103336"/>
      <w:bookmarkStart w:id="394" w:name="_Toc430530454"/>
      <w:bookmarkStart w:id="395" w:name="_Toc19597"/>
      <w:bookmarkStart w:id="396" w:name="_Toc509218729"/>
      <w:bookmarkStart w:id="397" w:name="_Toc23392"/>
      <w:bookmarkStart w:id="398" w:name="_Toc277082571"/>
      <w:bookmarkStart w:id="399" w:name="_Toc287607765"/>
      <w:bookmarkStart w:id="400" w:name="_Toc287620704"/>
      <w:r>
        <w:rPr>
          <w:rFonts w:ascii="宋体" w:hAnsi="宋体"/>
          <w:b w:val="0"/>
          <w:snapToGrid w:val="0"/>
          <w:sz w:val="24"/>
          <w:szCs w:val="24"/>
        </w:rPr>
        <w:t>3.1  投标文件的组成</w:t>
      </w:r>
      <w:bookmarkEnd w:id="391"/>
      <w:bookmarkEnd w:id="392"/>
      <w:bookmarkEnd w:id="393"/>
      <w:bookmarkEnd w:id="394"/>
      <w:bookmarkEnd w:id="395"/>
      <w:bookmarkEnd w:id="396"/>
      <w:bookmarkEnd w:id="397"/>
      <w:bookmarkEnd w:id="398"/>
      <w:bookmarkEnd w:id="399"/>
      <w:bookmarkEnd w:id="40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3.1.1.1投标函部分</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（1）投标函</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（2）投标函附录</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（3）法定代表人身份证明</w:t>
      </w:r>
      <w:r>
        <w:rPr>
          <w:rFonts w:hint="eastAsia" w:ascii="宋体" w:hAnsi="宋体"/>
          <w:snapToGrid w:val="0"/>
          <w:kern w:val="0"/>
          <w:szCs w:val="21"/>
        </w:rPr>
        <w:t>或</w:t>
      </w:r>
      <w:r>
        <w:rPr>
          <w:rFonts w:ascii="宋体" w:hAnsi="宋体"/>
          <w:snapToGrid w:val="0"/>
          <w:kern w:val="0"/>
          <w:szCs w:val="21"/>
        </w:rPr>
        <w:t>授权委托书</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lang w:val="en-US" w:eastAsia="zh-CN"/>
        </w:rPr>
        <w:t>投标报价合理性说明</w:t>
      </w:r>
      <w:r>
        <w:rPr>
          <w:rFonts w:hint="eastAsia" w:ascii="宋体" w:hAnsi="宋体"/>
          <w:snapToGrid w:val="0"/>
          <w:kern w:val="0"/>
          <w:szCs w:val="21"/>
        </w:rPr>
        <w:t>（如有）</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3.1.1.2</w:t>
      </w:r>
      <w:r>
        <w:rPr>
          <w:rFonts w:hint="eastAsia" w:ascii="宋体" w:hAnsi="宋体"/>
          <w:snapToGrid w:val="0"/>
          <w:kern w:val="0"/>
          <w:szCs w:val="21"/>
          <w:lang w:val="en-US" w:eastAsia="zh-CN"/>
        </w:rPr>
        <w:t>报价</w:t>
      </w:r>
      <w:r>
        <w:rPr>
          <w:rFonts w:hint="eastAsia" w:ascii="宋体" w:hAnsi="宋体"/>
          <w:snapToGrid w:val="0"/>
          <w:kern w:val="0"/>
          <w:szCs w:val="21"/>
        </w:rPr>
        <w:t>部分</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3.1.1.3</w:t>
      </w:r>
      <w:r>
        <w:rPr>
          <w:rFonts w:hint="eastAsia" w:ascii="宋体" w:hAnsi="宋体"/>
          <w:snapToGrid w:val="0"/>
          <w:kern w:val="0"/>
          <w:szCs w:val="21"/>
        </w:rPr>
        <w:t>商务</w:t>
      </w:r>
      <w:r>
        <w:rPr>
          <w:rFonts w:ascii="宋体" w:hAnsi="宋体"/>
          <w:snapToGrid w:val="0"/>
          <w:kern w:val="0"/>
          <w:szCs w:val="21"/>
        </w:rPr>
        <w:t>部分（</w:t>
      </w:r>
      <w:r>
        <w:rPr>
          <w:rFonts w:hint="eastAsia" w:ascii="宋体" w:hAnsi="宋体"/>
          <w:snapToGrid w:val="0"/>
          <w:kern w:val="0"/>
          <w:szCs w:val="21"/>
          <w:lang w:val="en-US" w:eastAsia="zh-CN"/>
        </w:rPr>
        <w:t>如有</w:t>
      </w:r>
      <w:r>
        <w:rPr>
          <w:rFonts w:ascii="宋体" w:hAnsi="宋体"/>
          <w:snapToGrid w:val="0"/>
          <w:kern w:val="0"/>
          <w:szCs w:val="21"/>
        </w:rPr>
        <w:t>）</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3.1.1.4技术部分（</w:t>
      </w:r>
      <w:r>
        <w:rPr>
          <w:rFonts w:hint="eastAsia" w:ascii="宋体" w:hAnsi="宋体"/>
          <w:snapToGrid w:val="0"/>
          <w:kern w:val="0"/>
          <w:szCs w:val="21"/>
          <w:lang w:val="en-US" w:eastAsia="zh-CN"/>
        </w:rPr>
        <w:t>如有</w:t>
      </w:r>
      <w:r>
        <w:rPr>
          <w:rFonts w:ascii="宋体" w:hAnsi="宋体"/>
          <w:snapToGrid w:val="0"/>
          <w:kern w:val="0"/>
          <w:szCs w:val="21"/>
        </w:rPr>
        <w:t>）</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3.1.1.5</w:t>
      </w:r>
      <w:r>
        <w:rPr>
          <w:rFonts w:hint="eastAsia" w:ascii="宋体" w:hAnsi="宋体"/>
          <w:snapToGrid w:val="0"/>
          <w:kern w:val="0"/>
          <w:szCs w:val="21"/>
        </w:rPr>
        <w:t>资格审查部分</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法定代表人身份证明或授权委托书</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lang w:val="en-US" w:eastAsia="zh-CN"/>
        </w:rPr>
        <w:t>共同投标协议</w:t>
      </w:r>
      <w:r>
        <w:rPr>
          <w:rFonts w:hint="eastAsia" w:ascii="宋体" w:hAnsi="宋体"/>
          <w:snapToGrid w:val="0"/>
          <w:kern w:val="0"/>
          <w:szCs w:val="21"/>
        </w:rPr>
        <w:t>（如有）</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3</w:t>
      </w:r>
      <w:r>
        <w:rPr>
          <w:rFonts w:ascii="宋体" w:hAnsi="宋体"/>
          <w:snapToGrid w:val="0"/>
          <w:kern w:val="0"/>
          <w:szCs w:val="21"/>
        </w:rPr>
        <w:t>）</w:t>
      </w:r>
      <w:r>
        <w:rPr>
          <w:rFonts w:hint="eastAsia" w:ascii="宋体" w:hAnsi="宋体"/>
          <w:snapToGrid w:val="0"/>
          <w:kern w:val="0"/>
          <w:szCs w:val="21"/>
        </w:rPr>
        <w:t>承诺</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）其他资料</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3.1.2  投标人没有组成联合体的，投标文件不包括本章第3.1.1（3）目所指的</w:t>
      </w:r>
      <w:r>
        <w:rPr>
          <w:rFonts w:hint="eastAsia" w:ascii="宋体" w:hAnsi="宋体"/>
          <w:snapToGrid w:val="0"/>
          <w:kern w:val="0"/>
          <w:szCs w:val="21"/>
          <w:lang w:val="en-US" w:eastAsia="zh-CN"/>
        </w:rPr>
        <w:t>共同投标协议</w:t>
      </w:r>
      <w:r>
        <w:rPr>
          <w:rFonts w:ascii="宋体" w:hAnsi="宋体"/>
          <w:snapToGrid w:val="0"/>
          <w:kern w:val="0"/>
          <w:szCs w:val="21"/>
        </w:rPr>
        <w:t>。</w:t>
      </w:r>
    </w:p>
    <w:p>
      <w:pPr>
        <w:pStyle w:val="5"/>
        <w:snapToGrid w:val="0"/>
        <w:spacing w:before="0" w:after="0" w:line="360" w:lineRule="auto"/>
        <w:rPr>
          <w:rFonts w:ascii="宋体" w:hAnsi="宋体"/>
          <w:b w:val="0"/>
          <w:snapToGrid w:val="0"/>
          <w:sz w:val="24"/>
          <w:szCs w:val="24"/>
        </w:rPr>
      </w:pPr>
      <w:bookmarkStart w:id="401" w:name="_Toc747"/>
      <w:bookmarkStart w:id="402" w:name="_Toc287620705"/>
      <w:bookmarkStart w:id="403" w:name="_Toc509218730"/>
      <w:bookmarkStart w:id="404" w:name="_Toc224103337"/>
      <w:bookmarkStart w:id="405" w:name="_Toc31530"/>
      <w:bookmarkStart w:id="406" w:name="_Toc200513146"/>
      <w:bookmarkStart w:id="407" w:name="_Toc430530455"/>
      <w:bookmarkStart w:id="408" w:name="_Toc11199"/>
      <w:bookmarkStart w:id="409" w:name="_Toc277082572"/>
      <w:bookmarkStart w:id="410" w:name="_Toc287607766"/>
      <w:r>
        <w:rPr>
          <w:rFonts w:ascii="宋体" w:hAnsi="宋体"/>
          <w:b w:val="0"/>
          <w:snapToGrid w:val="0"/>
          <w:sz w:val="24"/>
          <w:szCs w:val="24"/>
        </w:rPr>
        <w:t>3.2  投标报价</w:t>
      </w:r>
      <w:bookmarkEnd w:id="401"/>
      <w:bookmarkEnd w:id="402"/>
      <w:bookmarkEnd w:id="403"/>
      <w:bookmarkEnd w:id="404"/>
      <w:bookmarkEnd w:id="405"/>
      <w:bookmarkEnd w:id="406"/>
      <w:bookmarkEnd w:id="407"/>
      <w:bookmarkEnd w:id="408"/>
      <w:bookmarkEnd w:id="409"/>
      <w:bookmarkEnd w:id="410"/>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3.2.1 投标人应按第八章“投标文件格式”的要求填写</w:t>
      </w:r>
      <w:r>
        <w:rPr>
          <w:rFonts w:hint="eastAsia" w:ascii="宋体" w:hAnsi="宋体"/>
          <w:snapToGrid w:val="0"/>
          <w:kern w:val="0"/>
          <w:szCs w:val="21"/>
          <w:lang w:val="en-US" w:eastAsia="zh-CN"/>
        </w:rPr>
        <w:t>投标报价</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3.2.2 投标人应充分了解施工场地的</w:t>
      </w:r>
      <w:r>
        <w:rPr>
          <w:rFonts w:ascii="宋体" w:hAnsi="宋体"/>
          <w:snapToGrid w:val="0"/>
          <w:kern w:val="0"/>
          <w:szCs w:val="21"/>
        </w:rPr>
        <w:t>位置、周边</w:t>
      </w:r>
      <w:r>
        <w:rPr>
          <w:rFonts w:hint="eastAsia" w:ascii="宋体" w:hAnsi="宋体"/>
          <w:snapToGrid w:val="0"/>
          <w:kern w:val="0"/>
          <w:szCs w:val="21"/>
        </w:rPr>
        <w:t>环境</w:t>
      </w:r>
      <w:r>
        <w:rPr>
          <w:rFonts w:ascii="宋体" w:hAnsi="宋体"/>
          <w:snapToGrid w:val="0"/>
          <w:kern w:val="0"/>
          <w:szCs w:val="21"/>
        </w:rPr>
        <w:t>、道路、装卸、保管、安装限制</w:t>
      </w:r>
      <w:r>
        <w:rPr>
          <w:rFonts w:hint="eastAsia" w:ascii="宋体" w:hAnsi="宋体"/>
          <w:snapToGrid w:val="0"/>
          <w:kern w:val="0"/>
          <w:szCs w:val="21"/>
        </w:rPr>
        <w:t>以</w:t>
      </w:r>
      <w:r>
        <w:rPr>
          <w:rFonts w:ascii="宋体" w:hAnsi="宋体"/>
          <w:snapToGrid w:val="0"/>
          <w:kern w:val="0"/>
          <w:szCs w:val="21"/>
        </w:rPr>
        <w:t>及影响</w:t>
      </w:r>
      <w:r>
        <w:rPr>
          <w:rFonts w:hint="eastAsia" w:ascii="宋体" w:hAnsi="宋体"/>
          <w:snapToGrid w:val="0"/>
          <w:kern w:val="0"/>
          <w:szCs w:val="21"/>
        </w:rPr>
        <w:t>投标报价的其他要素。投标人</w:t>
      </w:r>
      <w:r>
        <w:rPr>
          <w:rFonts w:ascii="宋体" w:hAnsi="宋体"/>
          <w:snapToGrid w:val="0"/>
          <w:kern w:val="0"/>
          <w:szCs w:val="21"/>
        </w:rPr>
        <w:t>根据</w:t>
      </w:r>
      <w:r>
        <w:rPr>
          <w:rFonts w:hint="eastAsia" w:ascii="宋体" w:hAnsi="宋体"/>
          <w:snapToGrid w:val="0"/>
          <w:kern w:val="0"/>
          <w:szCs w:val="21"/>
        </w:rPr>
        <w:t>投标</w:t>
      </w:r>
      <w:r>
        <w:rPr>
          <w:rFonts w:ascii="宋体" w:hAnsi="宋体"/>
          <w:snapToGrid w:val="0"/>
          <w:kern w:val="0"/>
          <w:szCs w:val="21"/>
        </w:rPr>
        <w:t>设计</w:t>
      </w:r>
      <w:r>
        <w:rPr>
          <w:rFonts w:hint="eastAsia" w:ascii="宋体" w:hAnsi="宋体"/>
          <w:snapToGrid w:val="0"/>
          <w:kern w:val="0"/>
          <w:szCs w:val="21"/>
        </w:rPr>
        <w:t>，结合</w:t>
      </w:r>
      <w:r>
        <w:rPr>
          <w:rFonts w:ascii="宋体" w:hAnsi="宋体"/>
          <w:snapToGrid w:val="0"/>
          <w:kern w:val="0"/>
          <w:szCs w:val="21"/>
        </w:rPr>
        <w:t>市场情况进行投标报价。</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3.2.3 投标人在投标截止时间前修改投标函中的投标报价总额，应同时修改投标文件</w:t>
      </w:r>
      <w:r>
        <w:rPr>
          <w:rFonts w:hint="eastAsia" w:ascii="宋体" w:hAnsi="宋体"/>
          <w:snapToGrid w:val="0"/>
          <w:kern w:val="0"/>
          <w:szCs w:val="21"/>
          <w:lang w:val="en-US" w:eastAsia="zh-CN"/>
        </w:rPr>
        <w:t>报价部分</w:t>
      </w:r>
      <w:r>
        <w:rPr>
          <w:rFonts w:hint="eastAsia" w:ascii="宋体" w:hAnsi="宋体"/>
          <w:snapToGrid w:val="0"/>
          <w:kern w:val="0"/>
          <w:szCs w:val="21"/>
        </w:rPr>
        <w:t>中的相应报价，投标报价总额为各分项金额之和。此修改须符合本章第4.3款的有关要求。</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3.2.4 招标人设有最高投标限价的，投标人的投标报价不得超过最高投标限价，最高投标限价或其计算方法在投标人须知前附表中载明。</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3.2.5 投标报价的其他要求见投标人须知前附表。</w:t>
      </w:r>
    </w:p>
    <w:p>
      <w:pPr>
        <w:pStyle w:val="5"/>
        <w:snapToGrid w:val="0"/>
        <w:spacing w:before="0" w:after="0" w:line="360" w:lineRule="auto"/>
        <w:rPr>
          <w:rFonts w:ascii="宋体" w:hAnsi="宋体"/>
          <w:b w:val="0"/>
          <w:snapToGrid w:val="0"/>
          <w:sz w:val="24"/>
          <w:szCs w:val="24"/>
        </w:rPr>
      </w:pPr>
      <w:bookmarkStart w:id="411" w:name="_Toc22983"/>
      <w:bookmarkStart w:id="412" w:name="_Toc10465"/>
      <w:bookmarkStart w:id="413" w:name="_Toc277082573"/>
      <w:bookmarkStart w:id="414" w:name="_Toc287620706"/>
      <w:bookmarkStart w:id="415" w:name="_Toc287607767"/>
      <w:bookmarkStart w:id="416" w:name="_Toc26567"/>
      <w:bookmarkStart w:id="417" w:name="_Toc430530456"/>
      <w:bookmarkStart w:id="418" w:name="_Toc200513147"/>
      <w:bookmarkStart w:id="419" w:name="_Toc509218731"/>
      <w:bookmarkStart w:id="420" w:name="_Toc224103338"/>
      <w:r>
        <w:rPr>
          <w:rFonts w:ascii="宋体" w:hAnsi="宋体"/>
          <w:b w:val="0"/>
          <w:snapToGrid w:val="0"/>
          <w:sz w:val="24"/>
          <w:szCs w:val="24"/>
        </w:rPr>
        <w:t>3.3  投标有效期</w:t>
      </w:r>
      <w:bookmarkEnd w:id="411"/>
      <w:bookmarkEnd w:id="412"/>
      <w:bookmarkEnd w:id="413"/>
      <w:bookmarkEnd w:id="414"/>
      <w:bookmarkEnd w:id="415"/>
      <w:bookmarkEnd w:id="416"/>
      <w:bookmarkEnd w:id="417"/>
      <w:bookmarkEnd w:id="418"/>
      <w:bookmarkEnd w:id="419"/>
      <w:bookmarkEnd w:id="42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3.3.1  </w:t>
      </w:r>
      <w:r>
        <w:rPr>
          <w:rFonts w:hint="eastAsia"/>
        </w:rPr>
        <w:t>除投标人须知前附表另有规定外，投标有效期为120天。</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3.3.2  </w:t>
      </w:r>
      <w:r>
        <w:rPr>
          <w:rFonts w:hint="eastAsia"/>
        </w:rPr>
        <w:t>在投标有效期内，投标人撤销或修改其投标文件的，应承担招标文件和法律规定的责任。</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w:t>
      </w:r>
      <w:r>
        <w:rPr>
          <w:rFonts w:hint="eastAsia" w:ascii="宋体" w:hAnsi="宋体"/>
          <w:snapToGrid w:val="0"/>
          <w:kern w:val="0"/>
          <w:szCs w:val="21"/>
        </w:rPr>
        <w:t>3</w:t>
      </w:r>
      <w:r>
        <w:rPr>
          <w:rFonts w:ascii="宋体" w:hAnsi="宋体"/>
          <w:snapToGrid w:val="0"/>
          <w:kern w:val="0"/>
          <w:szCs w:val="21"/>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snapToGrid w:val="0"/>
        <w:spacing w:before="0" w:after="0" w:line="360" w:lineRule="auto"/>
        <w:rPr>
          <w:rFonts w:ascii="宋体" w:hAnsi="宋体"/>
          <w:b w:val="0"/>
          <w:snapToGrid w:val="0"/>
          <w:sz w:val="24"/>
          <w:szCs w:val="24"/>
        </w:rPr>
      </w:pPr>
      <w:bookmarkStart w:id="421" w:name="_Toc277082574"/>
      <w:bookmarkStart w:id="422" w:name="_Toc200513148"/>
      <w:bookmarkStart w:id="423" w:name="_Toc430530457"/>
      <w:bookmarkStart w:id="424" w:name="_Toc509218732"/>
      <w:bookmarkStart w:id="425" w:name="_Toc224103339"/>
      <w:bookmarkStart w:id="426" w:name="_Toc287620707"/>
      <w:bookmarkStart w:id="427" w:name="_Toc287607768"/>
      <w:bookmarkStart w:id="428" w:name="_Toc8617"/>
      <w:bookmarkStart w:id="429" w:name="_Toc20555"/>
      <w:bookmarkStart w:id="430" w:name="_Toc7601"/>
      <w:r>
        <w:rPr>
          <w:rFonts w:ascii="宋体" w:hAnsi="宋体"/>
          <w:b w:val="0"/>
          <w:snapToGrid w:val="0"/>
          <w:sz w:val="24"/>
          <w:szCs w:val="24"/>
        </w:rPr>
        <w:t>3.4  投标</w:t>
      </w:r>
      <w:bookmarkEnd w:id="421"/>
      <w:bookmarkEnd w:id="422"/>
      <w:bookmarkEnd w:id="423"/>
      <w:bookmarkEnd w:id="424"/>
      <w:bookmarkEnd w:id="425"/>
      <w:bookmarkEnd w:id="426"/>
      <w:bookmarkEnd w:id="427"/>
      <w:r>
        <w:rPr>
          <w:rFonts w:hint="eastAsia" w:ascii="宋体" w:hAnsi="宋体"/>
          <w:b w:val="0"/>
          <w:snapToGrid w:val="0"/>
          <w:sz w:val="24"/>
          <w:szCs w:val="24"/>
        </w:rPr>
        <w:t>保证金</w:t>
      </w:r>
      <w:bookmarkEnd w:id="428"/>
      <w:bookmarkEnd w:id="429"/>
      <w:bookmarkEnd w:id="43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w:t>
      </w:r>
      <w:r>
        <w:rPr>
          <w:rFonts w:hint="eastAsia" w:ascii="宋体" w:hAnsi="宋体"/>
          <w:snapToGrid w:val="0"/>
          <w:kern w:val="0"/>
          <w:szCs w:val="21"/>
        </w:rPr>
        <w:t>的</w:t>
      </w:r>
      <w:r>
        <w:rPr>
          <w:rFonts w:ascii="宋体" w:hAnsi="宋体"/>
          <w:snapToGrid w:val="0"/>
          <w:kern w:val="0"/>
          <w:szCs w:val="21"/>
        </w:rPr>
        <w:t>规定递交投标保证金，并作为其投标文件的组成部分。联合体投标的，其投标保证金由牵头人递交，并应符合投标人须知前附表的规定。</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w:t>
      </w:r>
      <w:r>
        <w:rPr>
          <w:rFonts w:hint="eastAsia"/>
        </w:rPr>
        <w:t>评标委员会将否决其投标。</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投标保证金（投标保函）退还：见投标人须知前附表</w:t>
      </w:r>
      <w:r>
        <w:rPr>
          <w:rFonts w:ascii="宋体" w:hAnsi="宋体"/>
          <w:snapToGrid w:val="0"/>
          <w:kern w:val="0"/>
          <w:position w:val="-2"/>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w:t>
      </w:r>
      <w:r>
        <w:rPr>
          <w:rFonts w:hint="default" w:ascii="宋体" w:hAnsi="宋体" w:eastAsia="宋体"/>
          <w:snapToGrid w:val="0"/>
          <w:kern w:val="0"/>
          <w:szCs w:val="21"/>
          <w:lang w:val="en-US" w:eastAsia="zh-CN"/>
        </w:rPr>
        <w:t>以现金形式交纳的</w:t>
      </w:r>
      <w:r>
        <w:rPr>
          <w:rFonts w:ascii="宋体" w:hAnsi="宋体"/>
          <w:snapToGrid w:val="0"/>
          <w:kern w:val="0"/>
          <w:szCs w:val="21"/>
        </w:rPr>
        <w:t>将不予退还</w:t>
      </w:r>
      <w:r>
        <w:rPr>
          <w:rFonts w:hint="default" w:ascii="宋体" w:hAnsi="宋体" w:eastAsia="宋体"/>
          <w:snapToGrid w:val="0"/>
          <w:kern w:val="0"/>
          <w:szCs w:val="21"/>
          <w:lang w:eastAsia="zh-CN"/>
        </w:rPr>
        <w:t>，以保函形式交纳的由保函开立人支付保函担保的与投标保证金等额的款项</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（1）投标人在规定的投标有效期内撤销或修改其投标文件；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（2）中标人在收到中标通知书后，</w:t>
      </w:r>
      <w:r>
        <w:rPr>
          <w:rFonts w:hint="eastAsia"/>
        </w:rPr>
        <w:t>无正当理由不与招标人订立合同，在签订合同时向招标人提出附加条件，或者不按照招标文件要求提交履约保证金；</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3</w:t>
      </w:r>
      <w:r>
        <w:rPr>
          <w:rFonts w:ascii="宋体" w:hAnsi="宋体"/>
          <w:snapToGrid w:val="0"/>
          <w:kern w:val="0"/>
          <w:szCs w:val="21"/>
        </w:rPr>
        <w:t>）违反本章第9.2</w:t>
      </w:r>
      <w:r>
        <w:rPr>
          <w:rFonts w:hint="eastAsia" w:ascii="宋体" w:hAnsi="宋体"/>
          <w:snapToGrid w:val="0"/>
          <w:kern w:val="0"/>
          <w:szCs w:val="21"/>
        </w:rPr>
        <w:t>款</w:t>
      </w:r>
      <w:r>
        <w:rPr>
          <w:rFonts w:ascii="宋体" w:hAnsi="宋体"/>
          <w:snapToGrid w:val="0"/>
          <w:kern w:val="0"/>
          <w:szCs w:val="21"/>
        </w:rPr>
        <w:t>对投标人的纪律要求的；</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position w:val="-2"/>
          <w:szCs w:val="21"/>
        </w:rPr>
        <w:t>（</w:t>
      </w:r>
      <w:r>
        <w:rPr>
          <w:rFonts w:hint="eastAsia" w:ascii="宋体" w:hAnsi="宋体"/>
          <w:snapToGrid w:val="0"/>
          <w:kern w:val="0"/>
          <w:position w:val="-2"/>
          <w:szCs w:val="21"/>
          <w:lang w:val="en-US" w:eastAsia="zh-CN"/>
        </w:rPr>
        <w:t>4</w:t>
      </w:r>
      <w:r>
        <w:rPr>
          <w:rFonts w:hint="eastAsia" w:ascii="宋体" w:hAnsi="宋体"/>
          <w:snapToGrid w:val="0"/>
          <w:kern w:val="0"/>
          <w:position w:val="-2"/>
          <w:szCs w:val="21"/>
        </w:rPr>
        <w:t>）</w:t>
      </w:r>
      <w:r>
        <w:rPr>
          <w:rFonts w:ascii="宋体" w:hAnsi="宋体"/>
          <w:snapToGrid w:val="0"/>
          <w:kern w:val="0"/>
          <w:szCs w:val="21"/>
        </w:rPr>
        <w:t>法律法规规定的其他情形。</w:t>
      </w:r>
    </w:p>
    <w:p>
      <w:pPr>
        <w:tabs>
          <w:tab w:val="left" w:pos="611"/>
          <w:tab w:val="left" w:pos="669"/>
        </w:tabs>
        <w:snapToGrid w:val="0"/>
        <w:spacing w:line="360" w:lineRule="auto"/>
        <w:ind w:firstLine="420" w:firstLineChars="200"/>
        <w:rPr>
          <w:rFonts w:ascii="宋体" w:hAnsi="宋体"/>
          <w:snapToGrid w:val="0"/>
          <w:kern w:val="0"/>
          <w:szCs w:val="21"/>
        </w:rPr>
      </w:pPr>
      <w:r>
        <w:rPr>
          <w:rFonts w:ascii="宋体" w:hAnsi="宋体"/>
          <w:snapToGrid w:val="0"/>
          <w:kern w:val="0"/>
          <w:szCs w:val="21"/>
        </w:rPr>
        <w:t>3.4.5</w:t>
      </w:r>
      <w:r>
        <w:rPr>
          <w:rFonts w:hint="eastAsia" w:ascii="宋体" w:hAnsi="宋体"/>
          <w:snapToGrid w:val="0"/>
          <w:kern w:val="0"/>
          <w:szCs w:val="21"/>
        </w:rPr>
        <w:t xml:space="preserve">  投标保证金的其他要求：</w:t>
      </w:r>
    </w:p>
    <w:p>
      <w:pPr>
        <w:autoSpaceDE w:val="0"/>
        <w:autoSpaceDN w:val="0"/>
        <w:adjustRightInd w:val="0"/>
        <w:snapToGrid w:val="0"/>
        <w:spacing w:line="360" w:lineRule="auto"/>
        <w:ind w:firstLine="420" w:firstLineChars="200"/>
        <w:rPr>
          <w:rFonts w:ascii="宋体" w:hAnsi="宋体"/>
          <w:kern w:val="0"/>
        </w:rPr>
      </w:pPr>
      <w:r>
        <w:rPr>
          <w:rFonts w:ascii="宋体" w:hAnsi="宋体"/>
          <w:kern w:val="0"/>
        </w:rPr>
        <w:t>（1）投标保证金为无条件担保；</w:t>
      </w:r>
    </w:p>
    <w:p>
      <w:pPr>
        <w:autoSpaceDE w:val="0"/>
        <w:autoSpaceDN w:val="0"/>
        <w:adjustRightInd w:val="0"/>
        <w:snapToGrid w:val="0"/>
        <w:spacing w:line="360" w:lineRule="auto"/>
        <w:ind w:firstLine="420" w:firstLineChars="200"/>
        <w:rPr>
          <w:rFonts w:ascii="宋体" w:hAnsi="宋体"/>
          <w:kern w:val="0"/>
        </w:rPr>
      </w:pPr>
      <w:r>
        <w:rPr>
          <w:rFonts w:ascii="宋体" w:hAnsi="宋体"/>
          <w:kern w:val="0"/>
        </w:rPr>
        <w:t>（2）投标保证金的受益人为招标人</w:t>
      </w:r>
      <w:r>
        <w:rPr>
          <w:rFonts w:hint="eastAsia" w:ascii="宋体" w:hAnsi="宋体"/>
          <w:kern w:val="0"/>
        </w:rPr>
        <w:t>。</w:t>
      </w:r>
    </w:p>
    <w:p>
      <w:pPr>
        <w:pStyle w:val="5"/>
        <w:keepNext w:val="0"/>
        <w:keepLines w:val="0"/>
        <w:snapToGrid w:val="0"/>
        <w:spacing w:before="0" w:after="0" w:line="360" w:lineRule="auto"/>
        <w:rPr>
          <w:rFonts w:ascii="宋体" w:hAnsi="宋体"/>
          <w:b w:val="0"/>
          <w:snapToGrid w:val="0"/>
          <w:sz w:val="24"/>
          <w:szCs w:val="24"/>
        </w:rPr>
      </w:pPr>
      <w:bookmarkStart w:id="431" w:name="_Toc509218733"/>
      <w:bookmarkStart w:id="432" w:name="_Toc22725"/>
      <w:bookmarkStart w:id="433" w:name="_Toc9635"/>
      <w:bookmarkStart w:id="434" w:name="_Toc430530458"/>
      <w:bookmarkStart w:id="435" w:name="_Toc200513149"/>
      <w:bookmarkStart w:id="436" w:name="_Toc1175"/>
      <w:bookmarkStart w:id="437" w:name="_Toc287620708"/>
      <w:bookmarkStart w:id="438" w:name="_Toc287607769"/>
      <w:bookmarkStart w:id="439" w:name="_Toc224103340"/>
      <w:bookmarkStart w:id="440" w:name="_Toc277082575"/>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431"/>
      <w:bookmarkEnd w:id="432"/>
      <w:bookmarkEnd w:id="433"/>
      <w:bookmarkEnd w:id="434"/>
      <w:bookmarkEnd w:id="435"/>
      <w:bookmarkEnd w:id="436"/>
      <w:bookmarkEnd w:id="437"/>
      <w:bookmarkEnd w:id="438"/>
      <w:bookmarkEnd w:id="439"/>
      <w:bookmarkEnd w:id="440"/>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rPr>
        <w:t>投标人在递交投标文件前，发生可能影响其投标资格的新情况的，应更新或补充其在申请资格预审时提供的资料，以证实其各项资格条件仍能继续满足资格预审文件的要求，且没有实质性降低。</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pPr>
        <w:pStyle w:val="5"/>
        <w:keepNext w:val="0"/>
        <w:keepLines w:val="0"/>
        <w:snapToGrid w:val="0"/>
        <w:spacing w:before="0" w:after="0" w:line="360" w:lineRule="auto"/>
        <w:rPr>
          <w:rFonts w:ascii="宋体" w:hAnsi="宋体"/>
          <w:b w:val="0"/>
          <w:snapToGrid w:val="0"/>
          <w:sz w:val="24"/>
          <w:szCs w:val="24"/>
        </w:rPr>
      </w:pPr>
      <w:bookmarkStart w:id="441" w:name="_Toc277082576"/>
      <w:bookmarkStart w:id="442" w:name="_Toc27334"/>
      <w:bookmarkStart w:id="443" w:name="_Toc430530459"/>
      <w:bookmarkStart w:id="444" w:name="_Toc4890"/>
      <w:bookmarkStart w:id="445" w:name="_Toc200513150"/>
      <w:bookmarkStart w:id="446" w:name="_Toc509218734"/>
      <w:bookmarkStart w:id="447" w:name="_Toc287620709"/>
      <w:bookmarkStart w:id="448" w:name="_Toc287607770"/>
      <w:bookmarkStart w:id="449" w:name="_Toc224103341"/>
      <w:bookmarkStart w:id="450" w:name="_Toc31214"/>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441"/>
      <w:bookmarkEnd w:id="442"/>
      <w:bookmarkEnd w:id="443"/>
      <w:bookmarkEnd w:id="444"/>
      <w:bookmarkEnd w:id="445"/>
      <w:bookmarkEnd w:id="446"/>
      <w:bookmarkEnd w:id="447"/>
      <w:bookmarkEnd w:id="448"/>
      <w:bookmarkEnd w:id="449"/>
      <w:bookmarkEnd w:id="450"/>
    </w:p>
    <w:p>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联合体投标的，详见投标人须知前附表联合体投标相关内容。</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pPr>
        <w:pStyle w:val="5"/>
        <w:snapToGrid w:val="0"/>
        <w:spacing w:before="0" w:after="0" w:line="360" w:lineRule="auto"/>
        <w:rPr>
          <w:rFonts w:ascii="宋体" w:hAnsi="宋体"/>
          <w:b w:val="0"/>
          <w:snapToGrid w:val="0"/>
          <w:sz w:val="24"/>
          <w:szCs w:val="24"/>
        </w:rPr>
      </w:pPr>
      <w:bookmarkStart w:id="451" w:name="_Toc31664"/>
      <w:bookmarkStart w:id="452" w:name="_Toc200513151"/>
      <w:bookmarkStart w:id="453" w:name="_Toc287620710"/>
      <w:bookmarkStart w:id="454" w:name="_Toc18060"/>
      <w:bookmarkStart w:id="455" w:name="_Toc430530460"/>
      <w:bookmarkStart w:id="456" w:name="_Toc277082577"/>
      <w:bookmarkStart w:id="457" w:name="_Toc17180"/>
      <w:bookmarkStart w:id="458" w:name="_Toc509218735"/>
      <w:bookmarkStart w:id="459" w:name="_Toc224103342"/>
      <w:bookmarkStart w:id="460" w:name="_Toc287607771"/>
      <w:r>
        <w:rPr>
          <w:rFonts w:ascii="宋体" w:hAnsi="宋体"/>
          <w:b w:val="0"/>
          <w:snapToGrid w:val="0"/>
          <w:sz w:val="24"/>
          <w:szCs w:val="24"/>
        </w:rPr>
        <w:t>3.6  备选投标方案</w:t>
      </w:r>
      <w:bookmarkEnd w:id="451"/>
      <w:bookmarkEnd w:id="452"/>
      <w:bookmarkEnd w:id="453"/>
      <w:bookmarkEnd w:id="454"/>
      <w:bookmarkEnd w:id="455"/>
      <w:bookmarkEnd w:id="456"/>
      <w:bookmarkEnd w:id="457"/>
      <w:bookmarkEnd w:id="458"/>
      <w:bookmarkEnd w:id="459"/>
      <w:bookmarkEnd w:id="46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5"/>
        <w:snapToGrid w:val="0"/>
        <w:spacing w:before="0" w:after="0" w:line="360" w:lineRule="auto"/>
        <w:rPr>
          <w:rFonts w:ascii="宋体" w:hAnsi="宋体"/>
          <w:b w:val="0"/>
          <w:snapToGrid w:val="0"/>
          <w:sz w:val="24"/>
          <w:szCs w:val="24"/>
        </w:rPr>
      </w:pPr>
      <w:bookmarkStart w:id="461" w:name="_Toc430530461"/>
      <w:bookmarkStart w:id="462" w:name="_Toc224103343"/>
      <w:bookmarkStart w:id="463" w:name="_Toc13841"/>
      <w:bookmarkStart w:id="464" w:name="_Toc200513152"/>
      <w:bookmarkStart w:id="465" w:name="_Toc277082578"/>
      <w:bookmarkStart w:id="466" w:name="_Toc509218736"/>
      <w:bookmarkStart w:id="467" w:name="_Toc287620711"/>
      <w:bookmarkStart w:id="468" w:name="_Toc11185"/>
      <w:bookmarkStart w:id="469" w:name="_Toc287607772"/>
      <w:bookmarkStart w:id="470" w:name="_Toc27997"/>
      <w:r>
        <w:rPr>
          <w:rFonts w:ascii="宋体" w:hAnsi="宋体"/>
          <w:b w:val="0"/>
          <w:snapToGrid w:val="0"/>
          <w:sz w:val="24"/>
          <w:szCs w:val="24"/>
        </w:rPr>
        <w:t>3.7  投标文件的编制</w:t>
      </w:r>
      <w:bookmarkEnd w:id="461"/>
      <w:bookmarkEnd w:id="462"/>
      <w:bookmarkEnd w:id="463"/>
      <w:bookmarkEnd w:id="464"/>
      <w:bookmarkEnd w:id="465"/>
      <w:bookmarkEnd w:id="466"/>
      <w:bookmarkEnd w:id="467"/>
      <w:bookmarkEnd w:id="468"/>
      <w:bookmarkEnd w:id="469"/>
      <w:bookmarkEnd w:id="47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w:t>
      </w:r>
      <w:r>
        <w:rPr>
          <w:rFonts w:hint="eastAsia" w:ascii="宋体" w:hAnsi="宋体"/>
          <w:snapToGrid w:val="0"/>
          <w:kern w:val="0"/>
          <w:szCs w:val="21"/>
        </w:rPr>
        <w:t>第八章</w:t>
      </w:r>
      <w:r>
        <w:rPr>
          <w:rFonts w:ascii="宋体" w:hAnsi="宋体"/>
          <w:snapToGrid w:val="0"/>
          <w:kern w:val="0"/>
          <w:szCs w:val="21"/>
        </w:rPr>
        <w:t>“投标文件格式”进行编写，如有必要，可以增加附页，作为投标文件的组成部分。其中，投标函附录在满足招标文件实质性要求的基础上，可以提出比招标文件要求更有利于招标人的承诺。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3.7.2  </w:t>
      </w:r>
      <w:r>
        <w:rPr>
          <w:rFonts w:hint="eastAsia"/>
        </w:rPr>
        <w:t>投标文件应当对招标文件有关</w:t>
      </w:r>
      <w:r>
        <w:rPr>
          <w:rFonts w:hint="eastAsia"/>
          <w:szCs w:val="21"/>
        </w:rPr>
        <w:t>招标范围、投标有效期、工期、质量标准、发包人要求等实质性内容作出响应。</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kern w:val="0"/>
          <w:szCs w:val="21"/>
        </w:rPr>
        <w:t>投标人网上提交加密投标文件一份</w:t>
      </w:r>
      <w:r>
        <w:rPr>
          <w:rFonts w:ascii="宋体" w:hAnsi="宋体"/>
          <w:kern w:val="0"/>
          <w:szCs w:val="21"/>
        </w:rPr>
        <w:t>。</w:t>
      </w:r>
    </w:p>
    <w:p>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，并编制目录，具体编制要求见投标人须知前附表规定。</w:t>
      </w:r>
    </w:p>
    <w:p>
      <w:pPr>
        <w:pStyle w:val="4"/>
        <w:keepNext w:val="0"/>
        <w:keepLines w:val="0"/>
        <w:spacing w:before="0" w:after="0" w:line="360" w:lineRule="auto"/>
        <w:rPr>
          <w:rFonts w:ascii="宋体" w:hAnsi="宋体"/>
          <w:b w:val="0"/>
          <w:snapToGrid w:val="0"/>
        </w:rPr>
      </w:pPr>
      <w:bookmarkStart w:id="471" w:name="_Toc430530462"/>
      <w:bookmarkStart w:id="472" w:name="_Toc277082579"/>
      <w:bookmarkStart w:id="473" w:name="_Toc20388"/>
      <w:bookmarkStart w:id="474" w:name="_Toc200513153"/>
      <w:bookmarkStart w:id="475" w:name="_Toc287607773"/>
      <w:bookmarkStart w:id="476" w:name="_Toc224103344"/>
      <w:bookmarkStart w:id="477" w:name="_Toc287620712"/>
      <w:bookmarkStart w:id="478" w:name="_Toc32648"/>
      <w:bookmarkStart w:id="479" w:name="_Toc509218737"/>
      <w:bookmarkStart w:id="480" w:name="_Toc26753"/>
      <w:r>
        <w:rPr>
          <w:rFonts w:ascii="宋体" w:hAnsi="宋体"/>
          <w:b w:val="0"/>
          <w:snapToGrid w:val="0"/>
        </w:rPr>
        <w:t>4.  投标</w:t>
      </w:r>
      <w:bookmarkEnd w:id="471"/>
      <w:bookmarkEnd w:id="472"/>
      <w:bookmarkEnd w:id="473"/>
      <w:bookmarkEnd w:id="474"/>
      <w:bookmarkEnd w:id="475"/>
      <w:bookmarkEnd w:id="476"/>
      <w:bookmarkEnd w:id="477"/>
      <w:bookmarkEnd w:id="478"/>
      <w:bookmarkEnd w:id="479"/>
      <w:bookmarkEnd w:id="480"/>
    </w:p>
    <w:p>
      <w:pPr>
        <w:pStyle w:val="5"/>
        <w:keepNext w:val="0"/>
        <w:keepLines w:val="0"/>
        <w:snapToGrid w:val="0"/>
        <w:spacing w:before="0" w:after="0" w:line="360" w:lineRule="auto"/>
        <w:rPr>
          <w:rFonts w:ascii="宋体" w:hAnsi="宋体"/>
          <w:b w:val="0"/>
          <w:snapToGrid w:val="0"/>
          <w:sz w:val="24"/>
          <w:szCs w:val="24"/>
        </w:rPr>
      </w:pPr>
      <w:bookmarkStart w:id="481" w:name="_Toc277082580"/>
      <w:bookmarkStart w:id="482" w:name="_Toc20928"/>
      <w:bookmarkStart w:id="483" w:name="_Toc200513154"/>
      <w:bookmarkStart w:id="484" w:name="_Toc430530463"/>
      <w:bookmarkStart w:id="485" w:name="_Toc287620713"/>
      <w:bookmarkStart w:id="486" w:name="_Toc509218738"/>
      <w:bookmarkStart w:id="487" w:name="_Toc287607774"/>
      <w:bookmarkStart w:id="488" w:name="_Toc27972"/>
      <w:bookmarkStart w:id="489" w:name="_Toc224103345"/>
      <w:bookmarkStart w:id="490" w:name="_Toc22050"/>
      <w:r>
        <w:rPr>
          <w:rFonts w:ascii="宋体" w:hAnsi="宋体"/>
          <w:b w:val="0"/>
          <w:snapToGrid w:val="0"/>
          <w:sz w:val="24"/>
          <w:szCs w:val="24"/>
        </w:rPr>
        <w:t>4.1  投标文件的密封和标记</w:t>
      </w:r>
      <w:bookmarkEnd w:id="481"/>
      <w:bookmarkEnd w:id="482"/>
      <w:bookmarkEnd w:id="483"/>
      <w:bookmarkEnd w:id="484"/>
      <w:bookmarkEnd w:id="485"/>
      <w:bookmarkEnd w:id="486"/>
      <w:bookmarkEnd w:id="487"/>
      <w:bookmarkEnd w:id="488"/>
      <w:bookmarkEnd w:id="489"/>
      <w:bookmarkEnd w:id="490"/>
    </w:p>
    <w:p>
      <w:pPr>
        <w:autoSpaceDE w:val="0"/>
        <w:autoSpaceDN w:val="0"/>
        <w:adjustRightInd w:val="0"/>
        <w:snapToGrid w:val="0"/>
        <w:spacing w:line="360" w:lineRule="auto"/>
        <w:ind w:firstLine="420" w:firstLineChars="200"/>
        <w:rPr>
          <w:rFonts w:ascii="宋体" w:hAnsi="宋体"/>
          <w:snapToGrid w:val="0"/>
          <w:kern w:val="0"/>
          <w:szCs w:val="21"/>
        </w:rPr>
      </w:pPr>
      <w:bookmarkStart w:id="491" w:name="_Toc200513155"/>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w:t>
      </w:r>
      <w:r>
        <w:rPr>
          <w:rFonts w:ascii="宋体" w:hAnsi="宋体"/>
          <w:snapToGrid w:val="0"/>
          <w:kern w:val="0"/>
          <w:szCs w:val="21"/>
        </w:rPr>
        <w:t>投标人须知前附表</w:t>
      </w:r>
      <w:r>
        <w:rPr>
          <w:rFonts w:hint="eastAsia" w:ascii="宋体" w:hAnsi="宋体"/>
          <w:snapToGrid w:val="0"/>
          <w:kern w:val="0"/>
          <w:szCs w:val="21"/>
        </w:rPr>
        <w:t>第</w:t>
      </w:r>
      <w:r>
        <w:rPr>
          <w:rFonts w:hint="eastAsia" w:ascii="宋体" w:hAnsi="宋体"/>
          <w:snapToGrid w:val="0"/>
          <w:kern w:val="0"/>
          <w:szCs w:val="21"/>
          <w:lang w:val="en-US" w:eastAsia="zh-CN"/>
        </w:rPr>
        <w:t>10.6款相关</w:t>
      </w:r>
      <w:r>
        <w:rPr>
          <w:rFonts w:hint="eastAsia" w:ascii="宋体" w:hAnsi="宋体"/>
          <w:snapToGrid w:val="0"/>
          <w:kern w:val="0"/>
          <w:szCs w:val="21"/>
        </w:rPr>
        <w:t>要求制作并加密，未按要求加密的电子投标文件，将无法上传至重庆市电子招投标系统，逾期未完成投标文件上传的，视为撤回投标文件。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pPr>
        <w:pStyle w:val="5"/>
        <w:keepNext w:val="0"/>
        <w:keepLines w:val="0"/>
        <w:snapToGrid w:val="0"/>
        <w:spacing w:before="0" w:after="0" w:line="360" w:lineRule="auto"/>
        <w:rPr>
          <w:rFonts w:ascii="宋体" w:hAnsi="宋体"/>
          <w:b w:val="0"/>
          <w:snapToGrid w:val="0"/>
          <w:sz w:val="24"/>
          <w:szCs w:val="24"/>
        </w:rPr>
      </w:pPr>
      <w:bookmarkStart w:id="492" w:name="_Toc224103346"/>
      <w:bookmarkStart w:id="493" w:name="_Toc509218739"/>
      <w:bookmarkStart w:id="494" w:name="_Toc28052"/>
      <w:bookmarkStart w:id="495" w:name="_Toc430530464"/>
      <w:bookmarkStart w:id="496" w:name="_Toc277082581"/>
      <w:bookmarkStart w:id="497" w:name="_Toc287607775"/>
      <w:bookmarkStart w:id="498" w:name="_Toc287620714"/>
      <w:bookmarkStart w:id="499" w:name="_Toc8941"/>
      <w:bookmarkStart w:id="500" w:name="_Toc11360"/>
      <w:r>
        <w:rPr>
          <w:rFonts w:ascii="宋体" w:hAnsi="宋体"/>
          <w:b w:val="0"/>
          <w:snapToGrid w:val="0"/>
          <w:sz w:val="24"/>
          <w:szCs w:val="24"/>
        </w:rPr>
        <w:t>4.2  投标文件的递交</w:t>
      </w:r>
      <w:bookmarkEnd w:id="491"/>
      <w:bookmarkEnd w:id="492"/>
      <w:bookmarkEnd w:id="493"/>
      <w:bookmarkEnd w:id="494"/>
      <w:bookmarkEnd w:id="495"/>
      <w:bookmarkEnd w:id="496"/>
      <w:bookmarkEnd w:id="497"/>
      <w:bookmarkEnd w:id="498"/>
      <w:bookmarkEnd w:id="499"/>
      <w:bookmarkEnd w:id="50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 2.2.2 项规定的投标截止时间前递交投标文件。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w:t>
      </w:r>
      <w:r>
        <w:rPr>
          <w:rFonts w:hint="eastAsia" w:ascii="宋体" w:hAnsi="宋体"/>
          <w:snapToGrid w:val="0"/>
          <w:kern w:val="0"/>
          <w:szCs w:val="21"/>
        </w:rPr>
        <w:t>由重庆市</w:t>
      </w:r>
      <w:r>
        <w:rPr>
          <w:rFonts w:ascii="宋体" w:hAnsi="宋体"/>
          <w:snapToGrid w:val="0"/>
          <w:kern w:val="0"/>
          <w:szCs w:val="21"/>
        </w:rPr>
        <w:t>电子招投标系统向投标人出具签收凭证。</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逾期送达的或者未送达指定地点的投标文件，招标人不予受理。</w:t>
      </w:r>
    </w:p>
    <w:p>
      <w:pPr>
        <w:pStyle w:val="5"/>
        <w:keepNext w:val="0"/>
        <w:keepLines w:val="0"/>
        <w:snapToGrid w:val="0"/>
        <w:spacing w:before="0" w:after="0" w:line="360" w:lineRule="auto"/>
        <w:rPr>
          <w:rFonts w:ascii="宋体" w:hAnsi="宋体"/>
          <w:b w:val="0"/>
          <w:snapToGrid w:val="0"/>
          <w:sz w:val="24"/>
          <w:szCs w:val="24"/>
        </w:rPr>
      </w:pPr>
      <w:bookmarkStart w:id="501" w:name="_Toc20825"/>
      <w:bookmarkStart w:id="502" w:name="_Toc224103347"/>
      <w:bookmarkStart w:id="503" w:name="_Toc509218740"/>
      <w:bookmarkStart w:id="504" w:name="_Toc200513156"/>
      <w:bookmarkStart w:id="505" w:name="_Toc430530465"/>
      <w:bookmarkStart w:id="506" w:name="_Toc287607776"/>
      <w:bookmarkStart w:id="507" w:name="_Toc287620715"/>
      <w:bookmarkStart w:id="508" w:name="_Toc277082582"/>
      <w:bookmarkStart w:id="509" w:name="_Toc8948"/>
      <w:bookmarkStart w:id="510" w:name="_Toc16458"/>
      <w:r>
        <w:rPr>
          <w:rFonts w:ascii="宋体" w:hAnsi="宋体"/>
          <w:b w:val="0"/>
          <w:snapToGrid w:val="0"/>
          <w:sz w:val="24"/>
          <w:szCs w:val="24"/>
        </w:rPr>
        <w:t>4.3  投标文件的修改与撤回</w:t>
      </w:r>
      <w:bookmarkEnd w:id="501"/>
      <w:bookmarkEnd w:id="502"/>
      <w:bookmarkEnd w:id="503"/>
      <w:bookmarkEnd w:id="504"/>
      <w:bookmarkEnd w:id="505"/>
      <w:bookmarkEnd w:id="506"/>
      <w:bookmarkEnd w:id="507"/>
      <w:bookmarkEnd w:id="508"/>
      <w:bookmarkEnd w:id="509"/>
      <w:bookmarkEnd w:id="51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4.3.1  </w:t>
      </w:r>
      <w:r>
        <w:rPr>
          <w:rFonts w:hint="eastAsia" w:ascii="宋体" w:hAnsi="宋体"/>
          <w:snapToGrid w:val="0"/>
          <w:kern w:val="0"/>
          <w:szCs w:val="21"/>
        </w:rPr>
        <w:t>在投标人须知前附表第2.2.2项规定的投标截止时间前，投标人可以修改或撤回已递交的投标文件。投标人修改投标文件的，应按照本章第3.7.3 项的要求重新对投标文件进行电子签章，再按照本章第4.2 款的要求提交。</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Style w:val="4"/>
        <w:keepNext w:val="0"/>
        <w:keepLines w:val="0"/>
        <w:spacing w:before="0" w:after="0" w:line="360" w:lineRule="auto"/>
        <w:rPr>
          <w:rFonts w:ascii="宋体" w:hAnsi="宋体"/>
          <w:b w:val="0"/>
          <w:snapToGrid w:val="0"/>
        </w:rPr>
      </w:pPr>
      <w:bookmarkStart w:id="511" w:name="_Toc200513157"/>
      <w:bookmarkStart w:id="512" w:name="_Toc509218741"/>
      <w:bookmarkStart w:id="513" w:name="_Toc3817"/>
      <w:bookmarkStart w:id="514" w:name="_Toc430530466"/>
      <w:bookmarkStart w:id="515" w:name="_Toc287620716"/>
      <w:bookmarkStart w:id="516" w:name="_Toc277082583"/>
      <w:bookmarkStart w:id="517" w:name="_Toc224103348"/>
      <w:bookmarkStart w:id="518" w:name="_Toc287607777"/>
      <w:bookmarkStart w:id="519" w:name="_Toc10011"/>
      <w:bookmarkStart w:id="520" w:name="_Toc31953"/>
      <w:r>
        <w:rPr>
          <w:rFonts w:ascii="宋体" w:hAnsi="宋体"/>
          <w:b w:val="0"/>
          <w:snapToGrid w:val="0"/>
        </w:rPr>
        <w:t>5.  开标</w:t>
      </w:r>
      <w:bookmarkEnd w:id="511"/>
      <w:bookmarkEnd w:id="512"/>
      <w:bookmarkEnd w:id="513"/>
      <w:bookmarkEnd w:id="514"/>
      <w:bookmarkEnd w:id="515"/>
      <w:bookmarkEnd w:id="516"/>
      <w:bookmarkEnd w:id="517"/>
      <w:bookmarkEnd w:id="518"/>
      <w:bookmarkEnd w:id="519"/>
      <w:bookmarkEnd w:id="520"/>
    </w:p>
    <w:p>
      <w:pPr>
        <w:pStyle w:val="5"/>
        <w:keepNext w:val="0"/>
        <w:keepLines w:val="0"/>
        <w:snapToGrid w:val="0"/>
        <w:spacing w:before="0" w:after="0" w:line="360" w:lineRule="auto"/>
        <w:rPr>
          <w:rFonts w:ascii="宋体" w:hAnsi="宋体"/>
          <w:b w:val="0"/>
          <w:snapToGrid w:val="0"/>
          <w:sz w:val="24"/>
          <w:szCs w:val="24"/>
        </w:rPr>
      </w:pPr>
      <w:bookmarkStart w:id="521" w:name="_Toc287607778"/>
      <w:bookmarkStart w:id="522" w:name="_Toc224103349"/>
      <w:bookmarkStart w:id="523" w:name="_Toc200513158"/>
      <w:bookmarkStart w:id="524" w:name="_Toc430530467"/>
      <w:bookmarkStart w:id="525" w:name="_Toc16495"/>
      <w:bookmarkStart w:id="526" w:name="_Toc287620717"/>
      <w:bookmarkStart w:id="527" w:name="_Toc18871"/>
      <w:bookmarkStart w:id="528" w:name="_Toc509218742"/>
      <w:bookmarkStart w:id="529" w:name="_Toc10150"/>
      <w:bookmarkStart w:id="530" w:name="_Toc277082584"/>
      <w:r>
        <w:rPr>
          <w:rFonts w:ascii="宋体" w:hAnsi="宋体"/>
          <w:b w:val="0"/>
          <w:snapToGrid w:val="0"/>
          <w:sz w:val="24"/>
          <w:szCs w:val="24"/>
        </w:rPr>
        <w:t>5.1  开标时间和地点</w:t>
      </w:r>
      <w:bookmarkEnd w:id="521"/>
      <w:bookmarkEnd w:id="522"/>
      <w:bookmarkEnd w:id="523"/>
      <w:bookmarkEnd w:id="524"/>
      <w:bookmarkEnd w:id="525"/>
      <w:bookmarkEnd w:id="526"/>
      <w:bookmarkEnd w:id="527"/>
      <w:bookmarkEnd w:id="528"/>
      <w:bookmarkEnd w:id="529"/>
      <w:bookmarkEnd w:id="530"/>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 2.2.2 项规定的投标截止时间（开标时间）和投标人须知前附表规定的地点公开开标，并邀请所有投标人的法定代表人或其委托代理人准时参加。</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 5.1.2 项规定的解密时间内在线或到开标现场完成投标文件解密工作。</w:t>
      </w:r>
    </w:p>
    <w:p>
      <w:pPr>
        <w:pStyle w:val="5"/>
        <w:keepNext w:val="0"/>
        <w:keepLines w:val="0"/>
        <w:snapToGrid w:val="0"/>
        <w:spacing w:before="0" w:after="0" w:line="360" w:lineRule="auto"/>
        <w:rPr>
          <w:rFonts w:ascii="宋体" w:hAnsi="宋体"/>
          <w:b w:val="0"/>
          <w:snapToGrid w:val="0"/>
          <w:sz w:val="24"/>
          <w:szCs w:val="24"/>
        </w:rPr>
      </w:pPr>
      <w:bookmarkStart w:id="531" w:name="_Toc9204"/>
      <w:bookmarkStart w:id="532" w:name="_Toc224103350"/>
      <w:bookmarkStart w:id="533" w:name="_Toc29823"/>
      <w:bookmarkStart w:id="534" w:name="_Toc287620718"/>
      <w:bookmarkStart w:id="535" w:name="_Toc277082585"/>
      <w:bookmarkStart w:id="536" w:name="_Toc430530468"/>
      <w:bookmarkStart w:id="537" w:name="_Toc509218743"/>
      <w:bookmarkStart w:id="538" w:name="_Toc200513159"/>
      <w:bookmarkStart w:id="539" w:name="_Toc29172"/>
      <w:bookmarkStart w:id="540" w:name="_Toc287607779"/>
      <w:r>
        <w:rPr>
          <w:rFonts w:ascii="宋体" w:hAnsi="宋体"/>
          <w:b w:val="0"/>
          <w:snapToGrid w:val="0"/>
          <w:sz w:val="24"/>
          <w:szCs w:val="24"/>
        </w:rPr>
        <w:t>5.2  开标程序</w:t>
      </w:r>
      <w:bookmarkEnd w:id="531"/>
      <w:bookmarkEnd w:id="532"/>
      <w:bookmarkEnd w:id="533"/>
      <w:bookmarkEnd w:id="534"/>
      <w:bookmarkEnd w:id="535"/>
      <w:bookmarkEnd w:id="536"/>
      <w:bookmarkEnd w:id="537"/>
      <w:bookmarkEnd w:id="538"/>
      <w:bookmarkEnd w:id="539"/>
      <w:bookmarkEnd w:id="540"/>
    </w:p>
    <w:p>
      <w:pPr>
        <w:autoSpaceDE w:val="0"/>
        <w:autoSpaceDN w:val="0"/>
        <w:adjustRightInd w:val="0"/>
        <w:snapToGrid w:val="0"/>
        <w:spacing w:line="360" w:lineRule="auto"/>
        <w:ind w:firstLine="420" w:firstLineChars="200"/>
        <w:rPr>
          <w:rFonts w:ascii="宋体" w:hAnsi="宋体"/>
          <w:szCs w:val="21"/>
        </w:rPr>
      </w:pPr>
      <w:bookmarkStart w:id="541" w:name="_Toc224103351"/>
      <w:bookmarkStart w:id="542" w:name="_Toc277082586"/>
      <w:bookmarkStart w:id="543" w:name="_Toc287607780"/>
      <w:bookmarkStart w:id="544" w:name="_Toc287620719"/>
      <w:bookmarkStart w:id="545" w:name="_Toc200513160"/>
      <w:r>
        <w:rPr>
          <w:rFonts w:ascii="宋体" w:hAnsi="宋体"/>
          <w:szCs w:val="21"/>
        </w:rPr>
        <w:t>详见投标人须知前附表第5.2款开标程序。</w:t>
      </w:r>
    </w:p>
    <w:p>
      <w:pPr>
        <w:pStyle w:val="5"/>
        <w:keepNext w:val="0"/>
        <w:keepLines w:val="0"/>
        <w:snapToGrid w:val="0"/>
        <w:spacing w:before="0" w:after="0" w:line="360" w:lineRule="auto"/>
        <w:rPr>
          <w:rFonts w:ascii="宋体" w:hAnsi="宋体"/>
          <w:b w:val="0"/>
          <w:snapToGrid w:val="0"/>
          <w:sz w:val="24"/>
          <w:szCs w:val="24"/>
        </w:rPr>
      </w:pPr>
      <w:bookmarkStart w:id="546" w:name="_Toc13570"/>
      <w:bookmarkStart w:id="547" w:name="_Toc11510"/>
      <w:bookmarkStart w:id="548" w:name="_Toc5737"/>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开标</w:t>
      </w:r>
      <w:r>
        <w:rPr>
          <w:rFonts w:hint="eastAsia" w:ascii="宋体" w:hAnsi="宋体"/>
          <w:b w:val="0"/>
          <w:snapToGrid w:val="0"/>
          <w:sz w:val="24"/>
          <w:szCs w:val="24"/>
        </w:rPr>
        <w:t>异议</w:t>
      </w:r>
      <w:bookmarkEnd w:id="546"/>
      <w:bookmarkEnd w:id="547"/>
      <w:bookmarkEnd w:id="548"/>
    </w:p>
    <w:p>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spacing w:before="0" w:after="0" w:line="360" w:lineRule="auto"/>
        <w:rPr>
          <w:rFonts w:ascii="宋体" w:hAnsi="宋体"/>
          <w:b w:val="0"/>
          <w:snapToGrid w:val="0"/>
        </w:rPr>
      </w:pPr>
      <w:bookmarkStart w:id="549" w:name="_Toc31536"/>
      <w:bookmarkStart w:id="550" w:name="_Toc31129"/>
      <w:bookmarkStart w:id="551" w:name="_Toc430530469"/>
      <w:bookmarkStart w:id="552" w:name="_Toc10586"/>
      <w:bookmarkStart w:id="553" w:name="_Toc509218744"/>
      <w:r>
        <w:rPr>
          <w:rFonts w:ascii="宋体" w:hAnsi="宋体"/>
          <w:b w:val="0"/>
          <w:snapToGrid w:val="0"/>
        </w:rPr>
        <w:t>6.  评标</w:t>
      </w:r>
      <w:bookmarkEnd w:id="541"/>
      <w:bookmarkEnd w:id="542"/>
      <w:bookmarkEnd w:id="543"/>
      <w:bookmarkEnd w:id="544"/>
      <w:bookmarkEnd w:id="545"/>
      <w:bookmarkEnd w:id="549"/>
      <w:bookmarkEnd w:id="550"/>
      <w:bookmarkEnd w:id="551"/>
      <w:bookmarkEnd w:id="552"/>
      <w:bookmarkEnd w:id="553"/>
    </w:p>
    <w:p>
      <w:pPr>
        <w:pStyle w:val="5"/>
        <w:keepNext w:val="0"/>
        <w:keepLines w:val="0"/>
        <w:snapToGrid w:val="0"/>
        <w:spacing w:before="0" w:after="0" w:line="360" w:lineRule="auto"/>
        <w:rPr>
          <w:rFonts w:ascii="宋体" w:hAnsi="宋体"/>
          <w:b w:val="0"/>
          <w:snapToGrid w:val="0"/>
          <w:sz w:val="24"/>
          <w:szCs w:val="24"/>
        </w:rPr>
      </w:pPr>
      <w:bookmarkStart w:id="554" w:name="_Toc277082587"/>
      <w:bookmarkStart w:id="555" w:name="_Toc224103352"/>
      <w:bookmarkStart w:id="556" w:name="_Toc509218745"/>
      <w:bookmarkStart w:id="557" w:name="_Toc287620720"/>
      <w:bookmarkStart w:id="558" w:name="_Toc287607781"/>
      <w:bookmarkStart w:id="559" w:name="_Toc2292"/>
      <w:bookmarkStart w:id="560" w:name="_Toc200513161"/>
      <w:bookmarkStart w:id="561" w:name="_Toc430530470"/>
      <w:bookmarkStart w:id="562" w:name="_Toc4166"/>
      <w:bookmarkStart w:id="563" w:name="_Toc32609"/>
      <w:r>
        <w:rPr>
          <w:rFonts w:ascii="宋体" w:hAnsi="宋体"/>
          <w:b w:val="0"/>
          <w:snapToGrid w:val="0"/>
          <w:sz w:val="24"/>
          <w:szCs w:val="24"/>
        </w:rPr>
        <w:t>6.1  评标委员会</w:t>
      </w:r>
      <w:bookmarkEnd w:id="554"/>
      <w:bookmarkEnd w:id="555"/>
      <w:bookmarkEnd w:id="556"/>
      <w:bookmarkEnd w:id="557"/>
      <w:bookmarkEnd w:id="558"/>
      <w:bookmarkEnd w:id="559"/>
      <w:bookmarkEnd w:id="560"/>
      <w:bookmarkEnd w:id="561"/>
      <w:bookmarkEnd w:id="562"/>
      <w:bookmarkEnd w:id="563"/>
    </w:p>
    <w:p>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6.1.3</w:t>
      </w:r>
      <w:r>
        <w:rPr>
          <w:rFonts w:hint="eastAsia" w:ascii="宋体" w:hAnsi="宋体"/>
          <w:snapToGrid w:val="0"/>
          <w:kern w:val="0"/>
          <w:szCs w:val="21"/>
        </w:rPr>
        <w:t xml:space="preserve">  评标过程中，评标委员会成员有回避事由、擅离职守或者因健康等原因不能继续评标的，应当及时更换。被更换的评标委员会成员作出的评审结论无效，由更换后的评标委员会成员重新进行评审。</w:t>
      </w:r>
    </w:p>
    <w:p>
      <w:pPr>
        <w:pStyle w:val="5"/>
        <w:snapToGrid w:val="0"/>
        <w:spacing w:before="0" w:after="0" w:line="360" w:lineRule="auto"/>
        <w:rPr>
          <w:rFonts w:ascii="宋体" w:hAnsi="宋体"/>
          <w:b w:val="0"/>
          <w:snapToGrid w:val="0"/>
          <w:sz w:val="24"/>
          <w:szCs w:val="24"/>
        </w:rPr>
      </w:pPr>
      <w:bookmarkStart w:id="564" w:name="_Toc430530471"/>
      <w:bookmarkStart w:id="565" w:name="_Toc224103353"/>
      <w:bookmarkStart w:id="566" w:name="_Toc277082588"/>
      <w:bookmarkStart w:id="567" w:name="_Toc287620721"/>
      <w:bookmarkStart w:id="568" w:name="_Toc509218746"/>
      <w:bookmarkStart w:id="569" w:name="_Toc6592"/>
      <w:bookmarkStart w:id="570" w:name="_Toc200513162"/>
      <w:bookmarkStart w:id="571" w:name="_Toc398"/>
      <w:bookmarkStart w:id="572" w:name="_Toc23095"/>
      <w:bookmarkStart w:id="573" w:name="_Toc287607782"/>
      <w:r>
        <w:rPr>
          <w:rFonts w:ascii="宋体" w:hAnsi="宋体"/>
          <w:b w:val="0"/>
          <w:snapToGrid w:val="0"/>
          <w:sz w:val="24"/>
          <w:szCs w:val="24"/>
        </w:rPr>
        <w:t>6.2  评标原则</w:t>
      </w:r>
      <w:bookmarkEnd w:id="564"/>
      <w:bookmarkEnd w:id="565"/>
      <w:bookmarkEnd w:id="566"/>
      <w:bookmarkEnd w:id="567"/>
      <w:bookmarkEnd w:id="568"/>
      <w:bookmarkEnd w:id="569"/>
      <w:bookmarkEnd w:id="570"/>
      <w:bookmarkEnd w:id="571"/>
      <w:bookmarkEnd w:id="572"/>
      <w:bookmarkEnd w:id="57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pPr>
        <w:pStyle w:val="5"/>
        <w:snapToGrid w:val="0"/>
        <w:spacing w:before="0" w:after="0" w:line="360" w:lineRule="auto"/>
        <w:rPr>
          <w:rFonts w:ascii="宋体" w:hAnsi="宋体"/>
          <w:b w:val="0"/>
          <w:snapToGrid w:val="0"/>
          <w:sz w:val="24"/>
          <w:szCs w:val="24"/>
        </w:rPr>
      </w:pPr>
      <w:bookmarkStart w:id="574" w:name="_Toc3775"/>
      <w:bookmarkStart w:id="575" w:name="_Toc509218747"/>
      <w:bookmarkStart w:id="576" w:name="_Toc287620722"/>
      <w:bookmarkStart w:id="577" w:name="_Toc430530472"/>
      <w:bookmarkStart w:id="578" w:name="_Toc200513163"/>
      <w:bookmarkStart w:id="579" w:name="_Toc224103354"/>
      <w:bookmarkStart w:id="580" w:name="_Toc21988"/>
      <w:bookmarkStart w:id="581" w:name="_Toc287607783"/>
      <w:bookmarkStart w:id="582" w:name="_Toc277082589"/>
      <w:bookmarkStart w:id="583" w:name="_Toc9849"/>
      <w:r>
        <w:rPr>
          <w:rFonts w:ascii="宋体" w:hAnsi="宋体"/>
          <w:b w:val="0"/>
          <w:snapToGrid w:val="0"/>
          <w:sz w:val="24"/>
          <w:szCs w:val="24"/>
        </w:rPr>
        <w:t>6.3  评标</w:t>
      </w:r>
      <w:bookmarkEnd w:id="574"/>
      <w:bookmarkEnd w:id="575"/>
      <w:bookmarkEnd w:id="576"/>
      <w:bookmarkEnd w:id="577"/>
      <w:bookmarkEnd w:id="578"/>
      <w:bookmarkEnd w:id="579"/>
      <w:bookmarkEnd w:id="580"/>
      <w:bookmarkEnd w:id="581"/>
      <w:bookmarkEnd w:id="582"/>
      <w:bookmarkEnd w:id="58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评标委员会按照第三章“评标办法”规定的方法、评审因素、标准和程序对投标文件进行评审。第三章“评标办法”没有规定的方法、评审因素和标准，不作为评标依据。</w:t>
      </w:r>
    </w:p>
    <w:p>
      <w:pPr>
        <w:pStyle w:val="4"/>
        <w:spacing w:before="0" w:after="0" w:line="360" w:lineRule="auto"/>
        <w:rPr>
          <w:rFonts w:ascii="宋体" w:hAnsi="宋体"/>
          <w:b w:val="0"/>
          <w:snapToGrid w:val="0"/>
        </w:rPr>
      </w:pPr>
      <w:bookmarkStart w:id="584" w:name="_Toc277082590"/>
      <w:bookmarkStart w:id="585" w:name="_Toc224103355"/>
      <w:bookmarkStart w:id="586" w:name="_Toc287607784"/>
      <w:bookmarkStart w:id="587" w:name="_Toc430530473"/>
      <w:bookmarkStart w:id="588" w:name="_Toc18430"/>
      <w:bookmarkStart w:id="589" w:name="_Toc30858"/>
      <w:bookmarkStart w:id="590" w:name="_Toc200513164"/>
      <w:bookmarkStart w:id="591" w:name="_Toc287620723"/>
      <w:bookmarkStart w:id="592" w:name="_Toc4325"/>
      <w:bookmarkStart w:id="593" w:name="_Toc509218748"/>
      <w:r>
        <w:rPr>
          <w:rFonts w:ascii="宋体" w:hAnsi="宋体"/>
          <w:b w:val="0"/>
          <w:snapToGrid w:val="0"/>
        </w:rPr>
        <w:t>7.  合同授予</w:t>
      </w:r>
      <w:bookmarkEnd w:id="584"/>
      <w:bookmarkEnd w:id="585"/>
      <w:bookmarkEnd w:id="586"/>
      <w:bookmarkEnd w:id="587"/>
      <w:bookmarkEnd w:id="588"/>
      <w:bookmarkEnd w:id="589"/>
      <w:bookmarkEnd w:id="590"/>
      <w:bookmarkEnd w:id="591"/>
      <w:bookmarkEnd w:id="592"/>
      <w:bookmarkEnd w:id="593"/>
    </w:p>
    <w:p>
      <w:pPr>
        <w:pStyle w:val="5"/>
        <w:snapToGrid w:val="0"/>
        <w:spacing w:before="0" w:after="0" w:line="360" w:lineRule="auto"/>
        <w:rPr>
          <w:rFonts w:ascii="宋体" w:hAnsi="宋体"/>
          <w:b w:val="0"/>
          <w:snapToGrid w:val="0"/>
          <w:sz w:val="24"/>
          <w:szCs w:val="24"/>
        </w:rPr>
      </w:pPr>
      <w:bookmarkStart w:id="594" w:name="_Toc224103356"/>
      <w:bookmarkStart w:id="595" w:name="_Toc277082591"/>
      <w:bookmarkStart w:id="596" w:name="_Toc200513165"/>
      <w:bookmarkStart w:id="597" w:name="_Toc25603"/>
      <w:bookmarkStart w:id="598" w:name="_Toc509218749"/>
      <w:bookmarkStart w:id="599" w:name="_Toc287620724"/>
      <w:bookmarkStart w:id="600" w:name="_Toc287607785"/>
      <w:bookmarkStart w:id="601" w:name="_Toc15290"/>
      <w:bookmarkStart w:id="602" w:name="_Toc25933"/>
      <w:bookmarkStart w:id="603" w:name="_Toc430530474"/>
      <w:r>
        <w:rPr>
          <w:rFonts w:ascii="宋体" w:hAnsi="宋体"/>
          <w:b w:val="0"/>
          <w:snapToGrid w:val="0"/>
          <w:sz w:val="24"/>
          <w:szCs w:val="24"/>
        </w:rPr>
        <w:t>7.1  定标方式</w:t>
      </w:r>
      <w:bookmarkEnd w:id="594"/>
      <w:bookmarkEnd w:id="595"/>
      <w:bookmarkEnd w:id="596"/>
      <w:bookmarkEnd w:id="597"/>
      <w:bookmarkEnd w:id="598"/>
      <w:bookmarkEnd w:id="599"/>
      <w:bookmarkEnd w:id="600"/>
      <w:bookmarkEnd w:id="601"/>
      <w:bookmarkEnd w:id="602"/>
      <w:bookmarkEnd w:id="603"/>
    </w:p>
    <w:p>
      <w:pPr>
        <w:spacing w:line="360" w:lineRule="auto"/>
        <w:ind w:firstLine="420" w:firstLineChars="200"/>
        <w:rPr>
          <w:rFonts w:ascii="宋体" w:hAnsi="宋体"/>
          <w:szCs w:val="21"/>
        </w:rPr>
      </w:pPr>
      <w:r>
        <w:rPr>
          <w:rFonts w:hint="eastAsia"/>
        </w:rPr>
        <w:t>除投标人须知前附表规定评标委员会直接确定中标人外，招标人依据评标委员会推荐的中标候选人确定中标人。</w:t>
      </w:r>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0" w:lineRule="auto"/>
        <w:ind w:firstLine="420" w:firstLineChars="200"/>
        <w:rPr>
          <w:rFonts w:ascii="宋体" w:hAnsi="宋体"/>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pPr>
        <w:pStyle w:val="5"/>
        <w:snapToGrid w:val="0"/>
        <w:spacing w:before="0" w:after="0" w:line="360" w:lineRule="auto"/>
        <w:rPr>
          <w:rFonts w:ascii="宋体" w:hAnsi="宋体"/>
          <w:b w:val="0"/>
          <w:snapToGrid w:val="0"/>
          <w:sz w:val="24"/>
          <w:szCs w:val="24"/>
        </w:rPr>
      </w:pPr>
      <w:bookmarkStart w:id="604" w:name="_Toc430530475"/>
      <w:bookmarkStart w:id="605" w:name="_Toc509218750"/>
      <w:bookmarkStart w:id="606" w:name="_Toc13792"/>
      <w:bookmarkStart w:id="607" w:name="_Toc12217"/>
      <w:bookmarkStart w:id="608" w:name="_Toc23928"/>
      <w:r>
        <w:rPr>
          <w:rFonts w:ascii="宋体" w:hAnsi="宋体"/>
          <w:b w:val="0"/>
          <w:snapToGrid w:val="0"/>
          <w:sz w:val="24"/>
          <w:szCs w:val="24"/>
        </w:rPr>
        <w:t>7.2  中标</w:t>
      </w:r>
      <w:bookmarkEnd w:id="604"/>
      <w:bookmarkEnd w:id="605"/>
      <w:r>
        <w:rPr>
          <w:rFonts w:hint="eastAsia" w:ascii="宋体" w:hAnsi="宋体"/>
          <w:b w:val="0"/>
          <w:snapToGrid w:val="0"/>
          <w:sz w:val="24"/>
          <w:szCs w:val="24"/>
        </w:rPr>
        <w:t>候选人公示</w:t>
      </w:r>
      <w:bookmarkEnd w:id="606"/>
      <w:bookmarkEnd w:id="607"/>
      <w:bookmarkEnd w:id="608"/>
    </w:p>
    <w:p>
      <w:pPr>
        <w:autoSpaceDE w:val="0"/>
        <w:autoSpaceDN w:val="0"/>
        <w:adjustRightInd w:val="0"/>
        <w:snapToGrid w:val="0"/>
        <w:spacing w:line="360" w:lineRule="auto"/>
        <w:ind w:firstLine="420" w:firstLineChars="200"/>
      </w:pPr>
      <w:r>
        <w:rPr>
          <w:rFonts w:hint="eastAsia"/>
        </w:rPr>
        <w:t>招标人在投标人须知前附表规定的媒介公示中标候选人。</w:t>
      </w:r>
    </w:p>
    <w:p>
      <w:pPr>
        <w:pStyle w:val="5"/>
        <w:snapToGrid w:val="0"/>
        <w:spacing w:before="0" w:after="0" w:line="360" w:lineRule="auto"/>
        <w:rPr>
          <w:rFonts w:ascii="宋体" w:hAnsi="宋体"/>
          <w:b w:val="0"/>
          <w:snapToGrid w:val="0"/>
          <w:sz w:val="24"/>
          <w:szCs w:val="24"/>
        </w:rPr>
      </w:pPr>
      <w:bookmarkStart w:id="609" w:name="_Toc27826"/>
      <w:bookmarkStart w:id="610" w:name="_Toc23082"/>
      <w:bookmarkStart w:id="611" w:name="_Toc12768"/>
      <w:r>
        <w:rPr>
          <w:rFonts w:ascii="宋体" w:hAnsi="宋体"/>
          <w:b w:val="0"/>
          <w:snapToGrid w:val="0"/>
          <w:sz w:val="24"/>
          <w:szCs w:val="24"/>
        </w:rPr>
        <w:t>7.</w:t>
      </w:r>
      <w:r>
        <w:rPr>
          <w:rFonts w:hint="eastAsia" w:ascii="宋体" w:hAnsi="宋体"/>
          <w:b w:val="0"/>
          <w:snapToGrid w:val="0"/>
          <w:sz w:val="24"/>
          <w:szCs w:val="24"/>
        </w:rPr>
        <w:t>3</w:t>
      </w:r>
      <w:r>
        <w:rPr>
          <w:rFonts w:ascii="宋体" w:hAnsi="宋体"/>
          <w:b w:val="0"/>
          <w:snapToGrid w:val="0"/>
          <w:sz w:val="24"/>
          <w:szCs w:val="24"/>
        </w:rPr>
        <w:t xml:space="preserve">  中标通知</w:t>
      </w:r>
      <w:bookmarkEnd w:id="609"/>
      <w:bookmarkEnd w:id="610"/>
      <w:bookmarkEnd w:id="61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 3.3 款规定的投标有效期内，且未有异议与投诉，招标人以书面形式向中标人发出中标通知书</w:t>
      </w:r>
      <w:r>
        <w:rPr>
          <w:rFonts w:hint="eastAsia"/>
        </w:rPr>
        <w:t>，同时将中标结果通知未中标的投标人。中标通知书按本章附表格式填写。</w:t>
      </w:r>
    </w:p>
    <w:p>
      <w:pPr>
        <w:pStyle w:val="5"/>
        <w:snapToGrid w:val="0"/>
        <w:spacing w:before="0" w:after="0" w:line="360" w:lineRule="auto"/>
        <w:rPr>
          <w:rFonts w:ascii="宋体" w:hAnsi="宋体"/>
          <w:b w:val="0"/>
          <w:snapToGrid w:val="0"/>
          <w:sz w:val="24"/>
          <w:szCs w:val="24"/>
        </w:rPr>
      </w:pPr>
      <w:bookmarkStart w:id="612" w:name="_Toc22748"/>
      <w:bookmarkStart w:id="613" w:name="_Toc509218751"/>
      <w:bookmarkStart w:id="614" w:name="_Toc430530476"/>
      <w:bookmarkStart w:id="615" w:name="_Toc200513167"/>
      <w:bookmarkStart w:id="616" w:name="_Toc28125"/>
      <w:bookmarkStart w:id="617" w:name="_Toc277082593"/>
      <w:bookmarkStart w:id="618" w:name="_Toc4815"/>
      <w:bookmarkStart w:id="619" w:name="_Toc287620726"/>
      <w:bookmarkStart w:id="620" w:name="_Toc287607787"/>
      <w:bookmarkStart w:id="621" w:name="_Toc224103358"/>
      <w:r>
        <w:rPr>
          <w:rFonts w:ascii="宋体" w:hAnsi="宋体"/>
          <w:b w:val="0"/>
          <w:snapToGrid w:val="0"/>
          <w:sz w:val="24"/>
          <w:szCs w:val="24"/>
        </w:rPr>
        <w:t>7.</w:t>
      </w:r>
      <w:r>
        <w:rPr>
          <w:rFonts w:hint="eastAsia" w:ascii="宋体" w:hAnsi="宋体"/>
          <w:b w:val="0"/>
          <w:snapToGrid w:val="0"/>
          <w:sz w:val="24"/>
          <w:szCs w:val="24"/>
        </w:rPr>
        <w:t>4</w:t>
      </w:r>
      <w:r>
        <w:rPr>
          <w:rFonts w:ascii="宋体" w:hAnsi="宋体"/>
          <w:b w:val="0"/>
          <w:snapToGrid w:val="0"/>
          <w:sz w:val="24"/>
          <w:szCs w:val="24"/>
        </w:rPr>
        <w:t xml:space="preserve">  履约担保</w:t>
      </w:r>
      <w:bookmarkEnd w:id="612"/>
      <w:bookmarkEnd w:id="613"/>
      <w:bookmarkEnd w:id="614"/>
      <w:bookmarkEnd w:id="615"/>
      <w:bookmarkEnd w:id="616"/>
      <w:bookmarkEnd w:id="617"/>
      <w:bookmarkEnd w:id="618"/>
      <w:bookmarkEnd w:id="619"/>
      <w:bookmarkEnd w:id="620"/>
      <w:bookmarkEnd w:id="62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4</w:t>
      </w:r>
      <w:r>
        <w:rPr>
          <w:rFonts w:ascii="宋体" w:hAnsi="宋体"/>
          <w:snapToGrid w:val="0"/>
          <w:kern w:val="0"/>
          <w:szCs w:val="21"/>
        </w:rPr>
        <w:t xml:space="preserve">.1  </w:t>
      </w:r>
      <w:r>
        <w:rPr>
          <w:rFonts w:hint="eastAsia"/>
        </w:rPr>
        <w:t>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10%。联合体中标的，其履约担保由联合体牵头人提交。</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4</w:t>
      </w:r>
      <w:r>
        <w:rPr>
          <w:rFonts w:ascii="宋体" w:hAnsi="宋体"/>
          <w:snapToGrid w:val="0"/>
          <w:kern w:val="0"/>
          <w:szCs w:val="21"/>
        </w:rPr>
        <w:t>.2  中标人不能按本章第7.</w:t>
      </w:r>
      <w:r>
        <w:rPr>
          <w:rFonts w:hint="eastAsia" w:ascii="宋体" w:hAnsi="宋体"/>
          <w:snapToGrid w:val="0"/>
          <w:kern w:val="0"/>
          <w:szCs w:val="21"/>
        </w:rPr>
        <w:t>4</w:t>
      </w:r>
      <w:r>
        <w:rPr>
          <w:rFonts w:ascii="宋体" w:hAnsi="宋体"/>
          <w:snapToGrid w:val="0"/>
          <w:kern w:val="0"/>
          <w:szCs w:val="21"/>
        </w:rPr>
        <w:t>.1项要求提交履约担保的，视为放弃中标，其投标保证金</w:t>
      </w:r>
      <w:r>
        <w:rPr>
          <w:rFonts w:hint="default" w:ascii="宋体" w:hAnsi="宋体" w:eastAsia="宋体"/>
          <w:snapToGrid w:val="0"/>
          <w:kern w:val="0"/>
          <w:szCs w:val="21"/>
        </w:rPr>
        <w:t>以现金形式交纳的</w:t>
      </w:r>
      <w:r>
        <w:rPr>
          <w:rFonts w:ascii="宋体" w:hAnsi="宋体"/>
          <w:snapToGrid w:val="0"/>
          <w:kern w:val="0"/>
          <w:szCs w:val="21"/>
        </w:rPr>
        <w:t>不予退还，</w:t>
      </w:r>
      <w:r>
        <w:rPr>
          <w:rFonts w:hint="eastAsia" w:ascii="Times New Roman" w:hAnsi="Times New Roman" w:eastAsia="宋体"/>
        </w:rPr>
        <w:t>以保函形式交纳的由保函开立人支付保函担保的与投标保证金等额的款项</w:t>
      </w:r>
      <w:r>
        <w:rPr>
          <w:rFonts w:hint="eastAsia" w:ascii="Times New Roman" w:hAnsi="Times New Roman"/>
          <w:snapToGrid/>
          <w:kern w:val="2"/>
          <w:szCs w:val="24"/>
        </w:rPr>
        <w:t>，</w:t>
      </w:r>
      <w:r>
        <w:rPr>
          <w:rFonts w:ascii="宋体" w:hAnsi="宋体"/>
          <w:snapToGrid w:val="0"/>
          <w:kern w:val="0"/>
          <w:szCs w:val="21"/>
        </w:rPr>
        <w:t>给招标人造成的损失超过投标保证金数额的，中标人还应当对超过部分予以赔偿。</w:t>
      </w:r>
    </w:p>
    <w:p>
      <w:pPr>
        <w:pStyle w:val="5"/>
        <w:snapToGrid w:val="0"/>
        <w:spacing w:before="0" w:after="0" w:line="360" w:lineRule="auto"/>
        <w:rPr>
          <w:rFonts w:ascii="宋体" w:hAnsi="宋体"/>
          <w:b w:val="0"/>
          <w:snapToGrid w:val="0"/>
          <w:sz w:val="24"/>
          <w:szCs w:val="24"/>
        </w:rPr>
      </w:pPr>
      <w:bookmarkStart w:id="622" w:name="_Toc8494"/>
      <w:bookmarkStart w:id="623" w:name="_Toc430530477"/>
      <w:bookmarkStart w:id="624" w:name="_Toc277082594"/>
      <w:bookmarkStart w:id="625" w:name="_Toc509218752"/>
      <w:bookmarkStart w:id="626" w:name="_Toc287620727"/>
      <w:bookmarkStart w:id="627" w:name="_Toc32383"/>
      <w:bookmarkStart w:id="628" w:name="_Toc24288"/>
      <w:bookmarkStart w:id="629" w:name="_Toc224103359"/>
      <w:bookmarkStart w:id="630" w:name="_Toc200513168"/>
      <w:bookmarkStart w:id="631" w:name="_Toc287607788"/>
      <w:r>
        <w:rPr>
          <w:rFonts w:ascii="宋体" w:hAnsi="宋体"/>
          <w:b w:val="0"/>
          <w:snapToGrid w:val="0"/>
          <w:sz w:val="24"/>
          <w:szCs w:val="24"/>
        </w:rPr>
        <w:t>7.</w:t>
      </w:r>
      <w:r>
        <w:rPr>
          <w:rFonts w:hint="eastAsia" w:ascii="宋体" w:hAnsi="宋体"/>
          <w:b w:val="0"/>
          <w:snapToGrid w:val="0"/>
          <w:sz w:val="24"/>
          <w:szCs w:val="24"/>
        </w:rPr>
        <w:t>5</w:t>
      </w:r>
      <w:r>
        <w:rPr>
          <w:rFonts w:ascii="宋体" w:hAnsi="宋体"/>
          <w:b w:val="0"/>
          <w:snapToGrid w:val="0"/>
          <w:sz w:val="24"/>
          <w:szCs w:val="24"/>
        </w:rPr>
        <w:t xml:space="preserve">  签订合同</w:t>
      </w:r>
      <w:bookmarkEnd w:id="622"/>
      <w:bookmarkEnd w:id="623"/>
      <w:bookmarkEnd w:id="624"/>
      <w:bookmarkEnd w:id="625"/>
      <w:bookmarkEnd w:id="626"/>
      <w:bookmarkEnd w:id="627"/>
      <w:bookmarkEnd w:id="628"/>
      <w:bookmarkEnd w:id="629"/>
      <w:bookmarkEnd w:id="630"/>
      <w:bookmarkEnd w:id="631"/>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5</w:t>
      </w:r>
      <w:r>
        <w:rPr>
          <w:rFonts w:ascii="宋体" w:hAnsi="宋体"/>
          <w:snapToGrid w:val="0"/>
          <w:kern w:val="0"/>
          <w:szCs w:val="21"/>
        </w:rPr>
        <w:t>.1 招标人和中标人应当自中标通知书发出之日起 30 天内，根据招标文件和中标人的投标文件订立书面合同。中标人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不与招标人签订合同，在签订合同时向招标人提出附加条件或者更改合同实质性内容的，</w:t>
      </w:r>
      <w:r>
        <w:rPr>
          <w:rFonts w:hint="eastAsia" w:ascii="宋体" w:hAnsi="宋体" w:cs="宋体"/>
          <w:szCs w:val="21"/>
        </w:rPr>
        <w:t>或不按照招标文件要求提交履约保证金的</w:t>
      </w:r>
      <w:r>
        <w:rPr>
          <w:rFonts w:hint="eastAsia" w:ascii="宋体" w:hAnsi="宋体" w:cs="宋体"/>
          <w:szCs w:val="21"/>
          <w:lang w:eastAsia="zh-CN"/>
        </w:rPr>
        <w:t>，</w:t>
      </w:r>
      <w:r>
        <w:rPr>
          <w:rFonts w:ascii="宋体" w:hAnsi="宋体"/>
          <w:snapToGrid w:val="0"/>
          <w:kern w:val="0"/>
          <w:szCs w:val="21"/>
        </w:rPr>
        <w:t>招标人取消其中标资格，其投标保证金</w:t>
      </w:r>
      <w:r>
        <w:rPr>
          <w:rFonts w:hint="default" w:ascii="宋体" w:hAnsi="宋体" w:eastAsia="宋体"/>
          <w:snapToGrid w:val="0"/>
          <w:kern w:val="0"/>
          <w:szCs w:val="21"/>
        </w:rPr>
        <w:t>以现金形式交纳的</w:t>
      </w:r>
      <w:r>
        <w:rPr>
          <w:rFonts w:ascii="宋体" w:hAnsi="宋体"/>
          <w:snapToGrid w:val="0"/>
          <w:kern w:val="0"/>
          <w:szCs w:val="21"/>
        </w:rPr>
        <w:t>不予退还，</w:t>
      </w:r>
      <w:r>
        <w:rPr>
          <w:rFonts w:hint="eastAsia" w:ascii="Times New Roman" w:hAnsi="Times New Roman" w:eastAsia="宋体"/>
        </w:rPr>
        <w:t>以保函形式交纳的由保函开立人支付保函担保的与投标保证金等额的款项</w:t>
      </w:r>
      <w:r>
        <w:rPr>
          <w:rFonts w:ascii="宋体" w:hAnsi="宋体"/>
          <w:snapToGrid w:val="0"/>
          <w:kern w:val="0"/>
          <w:szCs w:val="21"/>
        </w:rPr>
        <w:t>；给招标人造成的损失超过投标保证金数额的，中标人还应当对超过部分予以赔偿。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5</w:t>
      </w:r>
      <w:r>
        <w:rPr>
          <w:rFonts w:ascii="宋体" w:hAnsi="宋体"/>
          <w:snapToGrid w:val="0"/>
          <w:kern w:val="0"/>
          <w:szCs w:val="21"/>
        </w:rPr>
        <w:t>.2  发出中标通知书后，招标人无正当理由拒签合同的，招标人向中标人退还投标保证金；给中标人造成损失的，还应当赔偿损失。</w:t>
      </w:r>
    </w:p>
    <w:p>
      <w:pPr>
        <w:pStyle w:val="4"/>
        <w:spacing w:before="0" w:after="0" w:line="360" w:lineRule="auto"/>
        <w:rPr>
          <w:rFonts w:ascii="宋体" w:hAnsi="宋体"/>
          <w:b w:val="0"/>
          <w:snapToGrid w:val="0"/>
        </w:rPr>
      </w:pPr>
      <w:bookmarkStart w:id="632" w:name="_Toc277082595"/>
      <w:bookmarkStart w:id="633" w:name="_Toc21022"/>
      <w:bookmarkStart w:id="634" w:name="_Toc9656"/>
      <w:bookmarkStart w:id="635" w:name="_Toc430530478"/>
      <w:bookmarkStart w:id="636" w:name="_Toc509218753"/>
      <w:bookmarkStart w:id="637" w:name="_Toc224103360"/>
      <w:bookmarkStart w:id="638" w:name="_Toc200513169"/>
      <w:bookmarkStart w:id="639" w:name="_Toc287607789"/>
      <w:bookmarkStart w:id="640" w:name="_Toc6907"/>
      <w:bookmarkStart w:id="641" w:name="_Toc287620728"/>
      <w:r>
        <w:rPr>
          <w:rFonts w:ascii="宋体" w:hAnsi="宋体"/>
          <w:b w:val="0"/>
          <w:snapToGrid w:val="0"/>
        </w:rPr>
        <w:t>8.  重新招标和不再招标</w:t>
      </w:r>
      <w:bookmarkEnd w:id="632"/>
      <w:bookmarkEnd w:id="633"/>
      <w:bookmarkEnd w:id="634"/>
      <w:bookmarkEnd w:id="635"/>
      <w:bookmarkEnd w:id="636"/>
      <w:bookmarkEnd w:id="637"/>
      <w:bookmarkEnd w:id="638"/>
      <w:bookmarkEnd w:id="639"/>
      <w:bookmarkEnd w:id="640"/>
      <w:bookmarkEnd w:id="641"/>
    </w:p>
    <w:p>
      <w:pPr>
        <w:pStyle w:val="5"/>
        <w:snapToGrid w:val="0"/>
        <w:spacing w:before="0" w:after="0" w:line="360" w:lineRule="auto"/>
        <w:rPr>
          <w:rFonts w:ascii="宋体" w:hAnsi="宋体"/>
          <w:b w:val="0"/>
          <w:snapToGrid w:val="0"/>
          <w:sz w:val="24"/>
          <w:szCs w:val="24"/>
        </w:rPr>
      </w:pPr>
      <w:bookmarkStart w:id="642" w:name="_Toc430530479"/>
      <w:bookmarkStart w:id="643" w:name="_Toc287620729"/>
      <w:bookmarkStart w:id="644" w:name="_Toc277082596"/>
      <w:bookmarkStart w:id="645" w:name="_Toc200513170"/>
      <w:bookmarkStart w:id="646" w:name="_Toc509218754"/>
      <w:bookmarkStart w:id="647" w:name="_Toc224103361"/>
      <w:bookmarkStart w:id="648" w:name="_Toc287607790"/>
      <w:bookmarkStart w:id="649" w:name="_Toc17867"/>
      <w:bookmarkStart w:id="650" w:name="_Toc13261"/>
      <w:bookmarkStart w:id="651" w:name="_Toc1472"/>
      <w:r>
        <w:rPr>
          <w:rFonts w:ascii="宋体" w:hAnsi="宋体"/>
          <w:b w:val="0"/>
          <w:snapToGrid w:val="0"/>
          <w:sz w:val="24"/>
          <w:szCs w:val="24"/>
        </w:rPr>
        <w:t>8.1  重新招标</w:t>
      </w:r>
      <w:bookmarkEnd w:id="642"/>
      <w:bookmarkEnd w:id="643"/>
      <w:bookmarkEnd w:id="644"/>
      <w:bookmarkEnd w:id="645"/>
      <w:bookmarkEnd w:id="646"/>
      <w:bookmarkEnd w:id="647"/>
      <w:bookmarkEnd w:id="648"/>
      <w:r>
        <w:rPr>
          <w:rFonts w:hint="eastAsia" w:ascii="宋体" w:hAnsi="宋体"/>
          <w:b w:val="0"/>
          <w:snapToGrid w:val="0"/>
          <w:sz w:val="24"/>
          <w:szCs w:val="24"/>
        </w:rPr>
        <w:t>的情形</w:t>
      </w:r>
      <w:bookmarkEnd w:id="649"/>
      <w:bookmarkEnd w:id="650"/>
      <w:bookmarkEnd w:id="651"/>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pPr>
        <w:pStyle w:val="5"/>
        <w:snapToGrid w:val="0"/>
        <w:spacing w:before="0" w:after="0" w:line="360" w:lineRule="auto"/>
        <w:rPr>
          <w:rFonts w:ascii="宋体" w:hAnsi="宋体"/>
          <w:b w:val="0"/>
          <w:snapToGrid w:val="0"/>
          <w:sz w:val="24"/>
          <w:szCs w:val="24"/>
        </w:rPr>
      </w:pPr>
      <w:bookmarkStart w:id="652" w:name="_Toc23015"/>
      <w:bookmarkStart w:id="653" w:name="_Toc16961"/>
      <w:bookmarkStart w:id="654" w:name="_Toc277082597"/>
      <w:bookmarkStart w:id="655" w:name="_Toc224103362"/>
      <w:bookmarkStart w:id="656" w:name="_Toc18358"/>
      <w:bookmarkStart w:id="657" w:name="_Toc509218755"/>
      <w:bookmarkStart w:id="658" w:name="_Toc287620730"/>
      <w:bookmarkStart w:id="659" w:name="_Toc287607791"/>
      <w:bookmarkStart w:id="660" w:name="_Toc200513171"/>
      <w:bookmarkStart w:id="661" w:name="_Toc430530480"/>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652"/>
      <w:bookmarkEnd w:id="653"/>
      <w:bookmarkEnd w:id="654"/>
      <w:bookmarkEnd w:id="655"/>
      <w:bookmarkEnd w:id="656"/>
      <w:bookmarkEnd w:id="657"/>
      <w:bookmarkEnd w:id="658"/>
      <w:bookmarkEnd w:id="659"/>
      <w:bookmarkEnd w:id="660"/>
      <w:bookmarkEnd w:id="661"/>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spacing w:before="0" w:after="0" w:line="360" w:lineRule="auto"/>
        <w:rPr>
          <w:rFonts w:ascii="宋体" w:hAnsi="宋体"/>
          <w:b w:val="0"/>
          <w:snapToGrid w:val="0"/>
        </w:rPr>
      </w:pPr>
      <w:bookmarkStart w:id="662" w:name="_Toc509218756"/>
      <w:bookmarkStart w:id="663" w:name="_Toc19515"/>
      <w:bookmarkStart w:id="664" w:name="_Toc7284"/>
      <w:bookmarkStart w:id="665" w:name="_Toc430530481"/>
      <w:bookmarkStart w:id="666" w:name="_Toc224103363"/>
      <w:bookmarkStart w:id="667" w:name="_Toc200513172"/>
      <w:bookmarkStart w:id="668" w:name="_Toc287620731"/>
      <w:bookmarkStart w:id="669" w:name="_Toc277082598"/>
      <w:bookmarkStart w:id="670" w:name="_Toc7456"/>
      <w:bookmarkStart w:id="671" w:name="_Toc287607792"/>
      <w:r>
        <w:rPr>
          <w:rFonts w:ascii="宋体" w:hAnsi="宋体"/>
          <w:b w:val="0"/>
          <w:snapToGrid w:val="0"/>
        </w:rPr>
        <w:t>9.  纪律和监督</w:t>
      </w:r>
      <w:bookmarkEnd w:id="662"/>
      <w:bookmarkEnd w:id="663"/>
      <w:bookmarkEnd w:id="664"/>
      <w:bookmarkEnd w:id="665"/>
      <w:bookmarkEnd w:id="666"/>
      <w:bookmarkEnd w:id="667"/>
      <w:bookmarkEnd w:id="668"/>
      <w:bookmarkEnd w:id="669"/>
      <w:bookmarkEnd w:id="670"/>
      <w:bookmarkEnd w:id="671"/>
    </w:p>
    <w:p>
      <w:pPr>
        <w:pStyle w:val="5"/>
        <w:snapToGrid w:val="0"/>
        <w:spacing w:before="0" w:after="0" w:line="360" w:lineRule="auto"/>
        <w:rPr>
          <w:rFonts w:ascii="宋体" w:hAnsi="宋体"/>
          <w:b w:val="0"/>
          <w:snapToGrid w:val="0"/>
          <w:sz w:val="24"/>
          <w:szCs w:val="24"/>
        </w:rPr>
      </w:pPr>
      <w:bookmarkStart w:id="672" w:name="_Toc287607793"/>
      <w:bookmarkStart w:id="673" w:name="_Toc224103364"/>
      <w:bookmarkStart w:id="674" w:name="_Toc430530482"/>
      <w:bookmarkStart w:id="675" w:name="_Toc31433"/>
      <w:bookmarkStart w:id="676" w:name="_Toc287620732"/>
      <w:bookmarkStart w:id="677" w:name="_Toc509218757"/>
      <w:bookmarkStart w:id="678" w:name="_Toc1777"/>
      <w:bookmarkStart w:id="679" w:name="_Toc277082599"/>
      <w:bookmarkStart w:id="680" w:name="_Toc200513173"/>
      <w:bookmarkStart w:id="681" w:name="_Toc1607"/>
      <w:r>
        <w:rPr>
          <w:rFonts w:ascii="宋体" w:hAnsi="宋体"/>
          <w:b w:val="0"/>
          <w:snapToGrid w:val="0"/>
          <w:sz w:val="24"/>
          <w:szCs w:val="24"/>
        </w:rPr>
        <w:t>9.1  对招标人的纪律要求</w:t>
      </w:r>
      <w:bookmarkEnd w:id="672"/>
      <w:bookmarkEnd w:id="673"/>
      <w:bookmarkEnd w:id="674"/>
      <w:bookmarkEnd w:id="675"/>
      <w:bookmarkEnd w:id="676"/>
      <w:bookmarkEnd w:id="677"/>
      <w:bookmarkEnd w:id="678"/>
      <w:bookmarkEnd w:id="679"/>
      <w:bookmarkEnd w:id="680"/>
      <w:bookmarkEnd w:id="681"/>
    </w:p>
    <w:p>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招标人不得泄漏招标投标活动中应当保密的情况和资料，不得与投标人串通损害国家利益、社会公共利益或者他人合法权益，</w:t>
      </w:r>
      <w:r>
        <w:rPr>
          <w:rFonts w:ascii="宋体" w:hAnsi="宋体"/>
        </w:rPr>
        <w:t>禁止招标人与投标人串通投标。</w:t>
      </w:r>
    </w:p>
    <w:p>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（1）招标人在开标前开启投标文件并将有关信息泄露给其他投标人</w:t>
      </w:r>
      <w:r>
        <w:rPr>
          <w:rFonts w:hint="eastAsia" w:ascii="宋体" w:hAnsi="宋体"/>
        </w:rPr>
        <w:t>；</w:t>
      </w:r>
    </w:p>
    <w:p>
      <w:pPr>
        <w:autoSpaceDE w:val="0"/>
        <w:autoSpaceDN w:val="0"/>
        <w:adjustRightInd w:val="0"/>
        <w:snapToGrid w:val="0"/>
        <w:spacing w:line="360" w:lineRule="auto"/>
        <w:ind w:firstLine="420"/>
        <w:rPr>
          <w:rFonts w:ascii="宋体" w:hAnsi="宋体"/>
        </w:rPr>
      </w:pPr>
      <w:r>
        <w:rPr>
          <w:rFonts w:ascii="宋体" w:hAnsi="宋体"/>
        </w:rPr>
        <w:t>（2）招标人直接或者间接向投标人泄露标底、评标委员会成员等信息；</w:t>
      </w:r>
    </w:p>
    <w:p>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pPr>
        <w:pStyle w:val="5"/>
        <w:snapToGrid w:val="0"/>
        <w:spacing w:before="0" w:after="0" w:line="360" w:lineRule="auto"/>
        <w:rPr>
          <w:rFonts w:ascii="宋体" w:hAnsi="宋体"/>
          <w:b w:val="0"/>
          <w:snapToGrid w:val="0"/>
          <w:sz w:val="24"/>
          <w:szCs w:val="24"/>
        </w:rPr>
      </w:pPr>
      <w:bookmarkStart w:id="682" w:name="_Toc10301"/>
      <w:bookmarkStart w:id="683" w:name="_Toc430530483"/>
      <w:bookmarkStart w:id="684" w:name="_Toc1230"/>
      <w:bookmarkStart w:id="685" w:name="_Toc509218758"/>
      <w:bookmarkStart w:id="686" w:name="_Toc224103365"/>
      <w:bookmarkStart w:id="687" w:name="_Toc22695"/>
      <w:bookmarkStart w:id="688" w:name="_Toc287620733"/>
      <w:bookmarkStart w:id="689" w:name="_Toc287607794"/>
      <w:bookmarkStart w:id="690" w:name="_Toc277082600"/>
      <w:bookmarkStart w:id="691" w:name="_Toc200513174"/>
      <w:r>
        <w:rPr>
          <w:rFonts w:ascii="宋体" w:hAnsi="宋体"/>
          <w:b w:val="0"/>
          <w:snapToGrid w:val="0"/>
          <w:sz w:val="24"/>
          <w:szCs w:val="24"/>
        </w:rPr>
        <w:t>9.2  对投标人的纪律要求</w:t>
      </w:r>
      <w:bookmarkEnd w:id="682"/>
      <w:bookmarkEnd w:id="683"/>
      <w:bookmarkEnd w:id="684"/>
      <w:bookmarkEnd w:id="685"/>
      <w:bookmarkEnd w:id="686"/>
      <w:bookmarkEnd w:id="687"/>
      <w:bookmarkEnd w:id="688"/>
      <w:bookmarkEnd w:id="689"/>
      <w:bookmarkEnd w:id="690"/>
      <w:bookmarkEnd w:id="69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napToGrid w:val="0"/>
        <w:spacing w:line="360" w:lineRule="auto"/>
        <w:ind w:firstLine="420" w:firstLineChars="200"/>
        <w:rPr>
          <w:rFonts w:ascii="宋体" w:hAnsi="宋体"/>
        </w:rPr>
      </w:pPr>
      <w:r>
        <w:rPr>
          <w:rFonts w:hint="eastAsia" w:ascii="宋体" w:hAnsi="宋体"/>
          <w:snapToGrid w:val="0"/>
          <w:kern w:val="0"/>
          <w:szCs w:val="21"/>
        </w:rPr>
        <w:t xml:space="preserve">9.2.1  </w:t>
      </w:r>
      <w:r>
        <w:rPr>
          <w:rFonts w:ascii="宋体" w:hAnsi="宋体"/>
        </w:rPr>
        <w:t>有下列情形之一的，属于投标人相互串通投标：</w:t>
      </w:r>
    </w:p>
    <w:p>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1</w:t>
      </w:r>
      <w:r>
        <w:rPr>
          <w:rFonts w:hint="eastAsia" w:ascii="宋体" w:hAnsi="宋体"/>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2</w:t>
      </w:r>
      <w:r>
        <w:rPr>
          <w:rFonts w:hint="eastAsia" w:ascii="宋体" w:hAnsi="宋体"/>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4</w:t>
      </w:r>
      <w:r>
        <w:rPr>
          <w:rFonts w:hint="eastAsia" w:ascii="宋体" w:hAnsi="宋体"/>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5</w:t>
      </w:r>
      <w:r>
        <w:rPr>
          <w:rFonts w:hint="eastAsia" w:ascii="宋体" w:hAnsi="宋体"/>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6</w:t>
      </w:r>
      <w:r>
        <w:rPr>
          <w:rFonts w:hint="eastAsia" w:ascii="宋体" w:hAnsi="宋体"/>
          <w:highlight w:val="none"/>
        </w:rPr>
        <w:t>）参加投标活动的人员为同一标段或者未划分标段的同一招标项目的其他投标人的在职人员；</w:t>
      </w:r>
    </w:p>
    <w:p>
      <w:pPr>
        <w:autoSpaceDE w:val="0"/>
        <w:autoSpaceDN w:val="0"/>
        <w:adjustRightInd w:val="0"/>
        <w:snapToGrid w:val="0"/>
        <w:spacing w:line="360" w:lineRule="auto"/>
        <w:ind w:firstLine="420" w:firstLineChars="200"/>
        <w:rPr>
          <w:rFonts w:ascii="宋体" w:hAnsi="宋体"/>
        </w:rPr>
      </w:pPr>
      <w:r>
        <w:rPr>
          <w:rFonts w:hint="eastAsia" w:ascii="宋体" w:hAnsi="宋体"/>
          <w:highlight w:val="none"/>
        </w:rPr>
        <w:t>（</w:t>
      </w:r>
      <w:r>
        <w:rPr>
          <w:rFonts w:hint="eastAsia" w:ascii="宋体" w:hAnsi="宋体"/>
          <w:highlight w:val="none"/>
          <w:lang w:val="en-US" w:eastAsia="zh-CN"/>
        </w:rPr>
        <w:t>7</w:t>
      </w:r>
      <w:r>
        <w:rPr>
          <w:rFonts w:hint="eastAsia" w:ascii="宋体" w:hAnsi="宋体"/>
          <w:highlight w:val="none"/>
        </w:rPr>
        <w:t>）法律、法规规定的其他情形。</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pPr>
        <w:pStyle w:val="5"/>
        <w:snapToGrid w:val="0"/>
        <w:spacing w:before="0" w:after="0" w:line="360" w:lineRule="auto"/>
        <w:rPr>
          <w:rFonts w:ascii="宋体" w:hAnsi="宋体"/>
          <w:b w:val="0"/>
          <w:snapToGrid w:val="0"/>
          <w:sz w:val="24"/>
          <w:szCs w:val="24"/>
        </w:rPr>
      </w:pPr>
      <w:bookmarkStart w:id="692" w:name="_Toc509218759"/>
      <w:bookmarkStart w:id="693" w:name="_Toc2170"/>
      <w:bookmarkStart w:id="694" w:name="_Toc287620734"/>
      <w:bookmarkStart w:id="695" w:name="_Toc287607795"/>
      <w:bookmarkStart w:id="696" w:name="_Toc430530484"/>
      <w:bookmarkStart w:id="697" w:name="_Toc277082601"/>
      <w:bookmarkStart w:id="698" w:name="_Toc31416"/>
      <w:bookmarkStart w:id="699" w:name="_Toc224103366"/>
      <w:bookmarkStart w:id="700" w:name="_Toc200513175"/>
      <w:bookmarkStart w:id="701" w:name="_Toc1956"/>
      <w:r>
        <w:rPr>
          <w:rFonts w:ascii="宋体" w:hAnsi="宋体"/>
          <w:b w:val="0"/>
          <w:snapToGrid w:val="0"/>
          <w:sz w:val="24"/>
          <w:szCs w:val="24"/>
        </w:rPr>
        <w:t>9.3  对评标委员会成员的纪律要求</w:t>
      </w:r>
      <w:bookmarkEnd w:id="692"/>
      <w:bookmarkEnd w:id="693"/>
      <w:bookmarkEnd w:id="694"/>
      <w:bookmarkEnd w:id="695"/>
      <w:bookmarkEnd w:id="696"/>
      <w:bookmarkEnd w:id="697"/>
      <w:bookmarkEnd w:id="698"/>
      <w:bookmarkEnd w:id="699"/>
      <w:bookmarkEnd w:id="700"/>
      <w:bookmarkEnd w:id="70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评标委员会成员不得收受他人的财物或者其他好处，不得向他人透漏对投标文件的评审和比较、中标候选人的推荐情况以及评标有关的其他情况。在评标活动中，</w:t>
      </w:r>
      <w:r>
        <w:rPr>
          <w:rFonts w:hint="eastAsia"/>
        </w:rPr>
        <w:t>评标委员会成员应当客观、公正地履行职责，遵守职业道德，</w:t>
      </w:r>
      <w:r>
        <w:rPr>
          <w:rFonts w:ascii="宋体" w:hAnsi="宋体"/>
          <w:snapToGrid w:val="0"/>
          <w:kern w:val="0"/>
          <w:szCs w:val="21"/>
        </w:rPr>
        <w:t>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pPr>
        <w:pStyle w:val="5"/>
        <w:snapToGrid w:val="0"/>
        <w:spacing w:before="0" w:after="0" w:line="360" w:lineRule="auto"/>
        <w:rPr>
          <w:rFonts w:ascii="宋体" w:hAnsi="宋体"/>
          <w:b w:val="0"/>
          <w:snapToGrid w:val="0"/>
          <w:sz w:val="24"/>
          <w:szCs w:val="24"/>
        </w:rPr>
      </w:pPr>
      <w:bookmarkStart w:id="702" w:name="_Toc287620735"/>
      <w:bookmarkStart w:id="703" w:name="_Toc509218760"/>
      <w:bookmarkStart w:id="704" w:name="_Toc12822"/>
      <w:bookmarkStart w:id="705" w:name="_Toc277082602"/>
      <w:bookmarkStart w:id="706" w:name="_Toc430530485"/>
      <w:bookmarkStart w:id="707" w:name="_Toc16603"/>
      <w:bookmarkStart w:id="708" w:name="_Toc287607796"/>
      <w:bookmarkStart w:id="709" w:name="_Toc224103367"/>
      <w:bookmarkStart w:id="710" w:name="_Toc11424"/>
      <w:bookmarkStart w:id="711" w:name="_Toc200513176"/>
      <w:r>
        <w:rPr>
          <w:rFonts w:ascii="宋体" w:hAnsi="宋体"/>
          <w:b w:val="0"/>
          <w:snapToGrid w:val="0"/>
          <w:sz w:val="24"/>
          <w:szCs w:val="24"/>
        </w:rPr>
        <w:t>9.4  对与评标活动有关的工作人员的纪律要求</w:t>
      </w:r>
      <w:bookmarkEnd w:id="702"/>
      <w:bookmarkEnd w:id="703"/>
      <w:bookmarkEnd w:id="704"/>
      <w:bookmarkEnd w:id="705"/>
      <w:bookmarkEnd w:id="706"/>
      <w:bookmarkEnd w:id="707"/>
      <w:bookmarkEnd w:id="708"/>
      <w:bookmarkEnd w:id="709"/>
      <w:bookmarkEnd w:id="710"/>
      <w:bookmarkEnd w:id="71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snapToGrid w:val="0"/>
        <w:spacing w:before="0" w:after="0" w:line="360" w:lineRule="auto"/>
        <w:rPr>
          <w:rFonts w:ascii="宋体" w:hAnsi="宋体"/>
          <w:b w:val="0"/>
          <w:snapToGrid w:val="0"/>
          <w:sz w:val="24"/>
          <w:szCs w:val="24"/>
        </w:rPr>
      </w:pPr>
      <w:bookmarkStart w:id="712" w:name="_Toc509218761"/>
      <w:bookmarkStart w:id="713" w:name="_Toc17572"/>
      <w:bookmarkStart w:id="714" w:name="_Toc16445"/>
      <w:bookmarkStart w:id="715" w:name="_Toc277082603"/>
      <w:bookmarkStart w:id="716" w:name="_Toc21411"/>
      <w:bookmarkStart w:id="717" w:name="_Toc224103368"/>
      <w:bookmarkStart w:id="718" w:name="_Toc430530486"/>
      <w:bookmarkStart w:id="719" w:name="_Toc200513177"/>
      <w:bookmarkStart w:id="720" w:name="_Toc287607797"/>
      <w:bookmarkStart w:id="721" w:name="_Toc287620736"/>
      <w:r>
        <w:rPr>
          <w:rFonts w:ascii="宋体" w:hAnsi="宋体"/>
          <w:b w:val="0"/>
          <w:snapToGrid w:val="0"/>
          <w:sz w:val="24"/>
          <w:szCs w:val="24"/>
        </w:rPr>
        <w:t>9.5  投诉</w:t>
      </w:r>
      <w:bookmarkEnd w:id="712"/>
      <w:bookmarkEnd w:id="713"/>
      <w:bookmarkEnd w:id="714"/>
      <w:bookmarkEnd w:id="715"/>
      <w:bookmarkEnd w:id="716"/>
      <w:bookmarkEnd w:id="717"/>
      <w:bookmarkEnd w:id="718"/>
      <w:bookmarkEnd w:id="719"/>
      <w:bookmarkEnd w:id="720"/>
      <w:bookmarkEnd w:id="72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pPr>
        <w:pStyle w:val="4"/>
        <w:spacing w:before="0" w:after="0" w:line="360" w:lineRule="auto"/>
        <w:rPr>
          <w:rFonts w:ascii="宋体" w:hAnsi="宋体"/>
          <w:b w:val="0"/>
          <w:snapToGrid w:val="0"/>
        </w:rPr>
      </w:pPr>
      <w:bookmarkStart w:id="722" w:name="_Toc30472"/>
      <w:bookmarkStart w:id="723" w:name="_Toc430530487"/>
      <w:bookmarkStart w:id="724" w:name="_Toc200513178"/>
      <w:bookmarkStart w:id="725" w:name="_Toc287607798"/>
      <w:bookmarkStart w:id="726" w:name="_Toc287620737"/>
      <w:bookmarkStart w:id="727" w:name="_Toc27941"/>
      <w:bookmarkStart w:id="728" w:name="_Toc277082604"/>
      <w:bookmarkStart w:id="729" w:name="_Toc224103369"/>
      <w:bookmarkStart w:id="730" w:name="_Toc509218762"/>
      <w:bookmarkStart w:id="731" w:name="_Toc31070"/>
      <w:r>
        <w:rPr>
          <w:rFonts w:ascii="宋体" w:hAnsi="宋体"/>
          <w:b w:val="0"/>
          <w:snapToGrid w:val="0"/>
        </w:rPr>
        <w:t>10. 需要补充的其他内容</w:t>
      </w:r>
      <w:bookmarkEnd w:id="722"/>
      <w:bookmarkEnd w:id="723"/>
      <w:bookmarkEnd w:id="724"/>
      <w:bookmarkEnd w:id="725"/>
      <w:bookmarkEnd w:id="726"/>
      <w:bookmarkEnd w:id="727"/>
      <w:bookmarkEnd w:id="728"/>
      <w:bookmarkEnd w:id="729"/>
      <w:bookmarkEnd w:id="730"/>
      <w:bookmarkEnd w:id="73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需要补充的其他内容：见投标人须知前附表。</w:t>
      </w:r>
    </w:p>
    <w:p>
      <w:pPr>
        <w:autoSpaceDE w:val="0"/>
        <w:autoSpaceDN w:val="0"/>
        <w:adjustRightInd w:val="0"/>
        <w:snapToGrid w:val="0"/>
        <w:spacing w:line="360" w:lineRule="auto"/>
        <w:jc w:val="left"/>
        <w:rPr>
          <w:rFonts w:ascii="宋体" w:hAnsi="宋体"/>
          <w:b/>
          <w:snapToGrid w:val="0"/>
          <w:kern w:val="0"/>
        </w:rPr>
      </w:pPr>
      <w:r>
        <w:rPr>
          <w:rFonts w:ascii="宋体" w:hAnsi="宋体"/>
          <w:snapToGrid w:val="0"/>
          <w:kern w:val="0"/>
          <w:szCs w:val="21"/>
        </w:rPr>
        <w:br w:type="page"/>
      </w:r>
      <w:r>
        <w:rPr>
          <w:rFonts w:ascii="宋体" w:hAnsi="宋体"/>
          <w:b/>
          <w:snapToGrid w:val="0"/>
          <w:kern w:val="0"/>
        </w:rPr>
        <w:t>附表一：开标记录表</w:t>
      </w:r>
    </w:p>
    <w:p>
      <w:pPr>
        <w:autoSpaceDE w:val="0"/>
        <w:autoSpaceDN w:val="0"/>
        <w:adjustRightInd w:val="0"/>
        <w:snapToGrid w:val="0"/>
        <w:spacing w:line="360" w:lineRule="auto"/>
        <w:jc w:val="left"/>
        <w:rPr>
          <w:rFonts w:ascii="宋体" w:hAnsi="宋体"/>
          <w:b/>
          <w:snapToGrid w:val="0"/>
          <w:kern w:val="0"/>
        </w:rPr>
      </w:pPr>
    </w:p>
    <w:p>
      <w:pPr>
        <w:tabs>
          <w:tab w:val="left" w:pos="3529"/>
          <w:tab w:val="left" w:pos="5060"/>
        </w:tabs>
        <w:autoSpaceDE w:val="0"/>
        <w:autoSpaceDN w:val="0"/>
        <w:adjustRightInd w:val="0"/>
        <w:snapToGrid w:val="0"/>
        <w:spacing w:line="360" w:lineRule="auto"/>
        <w:ind w:firstLine="1108" w:firstLineChars="2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hint="eastAsia" w:ascii="宋体" w:hAnsi="宋体"/>
          <w:b/>
          <w:snapToGrid w:val="0"/>
          <w:w w:val="99"/>
          <w:kern w:val="0"/>
          <w:sz w:val="28"/>
          <w:szCs w:val="28"/>
        </w:rPr>
        <w:t>招标</w:t>
      </w:r>
      <w:r>
        <w:rPr>
          <w:rFonts w:ascii="宋体" w:hAnsi="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0196" w:type="dxa"/>
        <w:jc w:val="center"/>
        <w:tblInd w:w="0" w:type="dxa"/>
        <w:tblLayout w:type="fixed"/>
        <w:tblCellMar>
          <w:top w:w="0" w:type="dxa"/>
          <w:left w:w="108" w:type="dxa"/>
          <w:bottom w:w="0" w:type="dxa"/>
          <w:right w:w="108" w:type="dxa"/>
        </w:tblCellMar>
      </w:tblPr>
      <w:tblGrid>
        <w:gridCol w:w="555"/>
        <w:gridCol w:w="1421"/>
        <w:gridCol w:w="502"/>
        <w:gridCol w:w="671"/>
        <w:gridCol w:w="615"/>
        <w:gridCol w:w="709"/>
        <w:gridCol w:w="992"/>
        <w:gridCol w:w="709"/>
        <w:gridCol w:w="709"/>
        <w:gridCol w:w="650"/>
        <w:gridCol w:w="423"/>
        <w:gridCol w:w="423"/>
        <w:gridCol w:w="423"/>
        <w:gridCol w:w="468"/>
        <w:gridCol w:w="468"/>
        <w:gridCol w:w="458"/>
      </w:tblGrid>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序号</w:t>
            </w:r>
          </w:p>
        </w:tc>
        <w:tc>
          <w:tcPr>
            <w:tcW w:w="1421"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投标人</w:t>
            </w:r>
          </w:p>
        </w:tc>
        <w:tc>
          <w:tcPr>
            <w:tcW w:w="502"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 w:val="18"/>
                <w:szCs w:val="18"/>
              </w:rPr>
              <w:t>解密情况</w:t>
            </w:r>
          </w:p>
        </w:tc>
        <w:tc>
          <w:tcPr>
            <w:tcW w:w="671"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投标</w:t>
            </w:r>
            <w:r>
              <w:rPr>
                <w:rFonts w:hint="eastAsia"/>
                <w:sz w:val="18"/>
                <w:szCs w:val="18"/>
              </w:rPr>
              <w:t>总</w:t>
            </w:r>
            <w:r>
              <w:rPr>
                <w:sz w:val="18"/>
                <w:szCs w:val="18"/>
              </w:rPr>
              <w:t>报价</w:t>
            </w:r>
          </w:p>
          <w:p>
            <w:pPr>
              <w:spacing w:line="500" w:lineRule="exact"/>
              <w:ind w:left="-105" w:leftChars="-50" w:right="-105" w:rightChars="-50"/>
              <w:jc w:val="center"/>
              <w:rPr>
                <w:sz w:val="18"/>
                <w:szCs w:val="18"/>
              </w:rPr>
            </w:pPr>
            <w:r>
              <w:rPr>
                <w:sz w:val="18"/>
                <w:szCs w:val="18"/>
              </w:rPr>
              <w:t>（</w:t>
            </w:r>
            <w:r>
              <w:rPr>
                <w:rFonts w:hint="eastAsia"/>
                <w:sz w:val="18"/>
                <w:szCs w:val="18"/>
              </w:rPr>
              <w:t>万</w:t>
            </w:r>
            <w:r>
              <w:rPr>
                <w:sz w:val="18"/>
                <w:szCs w:val="18"/>
              </w:rPr>
              <w:t>元）</w:t>
            </w:r>
          </w:p>
        </w:tc>
        <w:tc>
          <w:tcPr>
            <w:tcW w:w="132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Cs w:val="21"/>
              </w:rPr>
              <w:t>□</w:t>
            </w:r>
            <w:r>
              <w:rPr>
                <w:rFonts w:hint="eastAsia"/>
                <w:sz w:val="18"/>
                <w:szCs w:val="18"/>
              </w:rPr>
              <w:t>设计费报价</w:t>
            </w:r>
          </w:p>
          <w:p>
            <w:pPr>
              <w:spacing w:line="500" w:lineRule="exact"/>
              <w:ind w:left="-105" w:leftChars="-50" w:right="-105" w:rightChars="-50"/>
              <w:jc w:val="center"/>
              <w:rPr>
                <w:sz w:val="18"/>
                <w:szCs w:val="18"/>
              </w:rPr>
            </w:pPr>
            <w:r>
              <w:rPr>
                <w:rFonts w:hint="eastAsia"/>
                <w:sz w:val="18"/>
                <w:szCs w:val="18"/>
              </w:rPr>
              <w:t>（暂定金额/费率）</w:t>
            </w:r>
          </w:p>
        </w:tc>
        <w:tc>
          <w:tcPr>
            <w:tcW w:w="992"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Cs w:val="21"/>
              </w:rPr>
              <w:t>□</w:t>
            </w:r>
            <w:r>
              <w:rPr>
                <w:rFonts w:hint="eastAsia"/>
                <w:sz w:val="18"/>
                <w:szCs w:val="18"/>
              </w:rPr>
              <w:t>专业设备</w:t>
            </w:r>
            <w:r>
              <w:rPr>
                <w:sz w:val="18"/>
                <w:szCs w:val="18"/>
              </w:rPr>
              <w:t>材料费</w:t>
            </w:r>
            <w:r>
              <w:rPr>
                <w:rFonts w:hint="eastAsia"/>
                <w:sz w:val="18"/>
                <w:szCs w:val="18"/>
              </w:rPr>
              <w:t>报价</w:t>
            </w:r>
            <w:r>
              <w:rPr>
                <w:sz w:val="18"/>
                <w:szCs w:val="18"/>
              </w:rPr>
              <w:t>（</w:t>
            </w:r>
            <w:r>
              <w:rPr>
                <w:rFonts w:hint="eastAsia"/>
                <w:sz w:val="18"/>
                <w:szCs w:val="18"/>
              </w:rPr>
              <w:t>万</w:t>
            </w:r>
            <w:r>
              <w:rPr>
                <w:sz w:val="18"/>
                <w:szCs w:val="18"/>
              </w:rPr>
              <w:t>元）</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Cs w:val="21"/>
              </w:rPr>
              <w:t>□</w:t>
            </w:r>
            <w:r>
              <w:rPr>
                <w:rFonts w:hint="eastAsia"/>
                <w:sz w:val="18"/>
                <w:szCs w:val="18"/>
              </w:rPr>
              <w:t>建筑安装工程费报价</w:t>
            </w:r>
          </w:p>
          <w:p>
            <w:pPr>
              <w:spacing w:line="500" w:lineRule="exact"/>
              <w:ind w:left="-105" w:leftChars="-50" w:right="-105" w:rightChars="-50"/>
              <w:jc w:val="center"/>
              <w:rPr>
                <w:sz w:val="18"/>
                <w:szCs w:val="18"/>
              </w:rPr>
            </w:pPr>
            <w:r>
              <w:rPr>
                <w:rFonts w:hint="eastAsia"/>
                <w:sz w:val="18"/>
                <w:szCs w:val="18"/>
              </w:rPr>
              <w:t>（暂定金额/费率）</w:t>
            </w:r>
          </w:p>
        </w:tc>
        <w:tc>
          <w:tcPr>
            <w:tcW w:w="650"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 w:val="18"/>
                <w:szCs w:val="18"/>
              </w:rPr>
              <w:t>总承包项目</w:t>
            </w:r>
          </w:p>
          <w:p>
            <w:pPr>
              <w:spacing w:line="500" w:lineRule="exact"/>
              <w:ind w:left="-105" w:leftChars="-50" w:right="-105" w:rightChars="-50"/>
              <w:jc w:val="center"/>
              <w:rPr>
                <w:sz w:val="18"/>
                <w:szCs w:val="18"/>
              </w:rPr>
            </w:pPr>
            <w:r>
              <w:rPr>
                <w:rFonts w:hint="eastAsia"/>
                <w:sz w:val="18"/>
                <w:szCs w:val="18"/>
              </w:rPr>
              <w:t>经理</w:t>
            </w:r>
          </w:p>
        </w:tc>
        <w:tc>
          <w:tcPr>
            <w:tcW w:w="423"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 w:val="18"/>
                <w:szCs w:val="18"/>
              </w:rPr>
              <w:t>设计负责人</w:t>
            </w:r>
          </w:p>
        </w:tc>
        <w:tc>
          <w:tcPr>
            <w:tcW w:w="423"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rFonts w:hint="eastAsia"/>
                <w:sz w:val="18"/>
                <w:szCs w:val="18"/>
              </w:rPr>
              <w:t>施工负责人</w:t>
            </w:r>
          </w:p>
        </w:tc>
        <w:tc>
          <w:tcPr>
            <w:tcW w:w="423"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质量标准</w:t>
            </w:r>
          </w:p>
        </w:tc>
        <w:tc>
          <w:tcPr>
            <w:tcW w:w="468"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工期</w:t>
            </w:r>
          </w:p>
        </w:tc>
        <w:tc>
          <w:tcPr>
            <w:tcW w:w="468"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备注</w:t>
            </w:r>
          </w:p>
        </w:tc>
        <w:tc>
          <w:tcPr>
            <w:tcW w:w="458" w:type="dxa"/>
            <w:tcBorders>
              <w:top w:val="single" w:color="auto" w:sz="4" w:space="0"/>
              <w:left w:val="single" w:color="auto" w:sz="4" w:space="0"/>
              <w:bottom w:val="single" w:color="auto" w:sz="4" w:space="0"/>
              <w:right w:val="single" w:color="auto" w:sz="4" w:space="0"/>
            </w:tcBorders>
            <w:vAlign w:val="center"/>
          </w:tcPr>
          <w:p>
            <w:pPr>
              <w:spacing w:line="500" w:lineRule="exact"/>
              <w:ind w:left="-105" w:leftChars="-50" w:right="-105" w:rightChars="-50"/>
              <w:jc w:val="center"/>
              <w:rPr>
                <w:sz w:val="18"/>
                <w:szCs w:val="18"/>
              </w:rPr>
            </w:pPr>
            <w:r>
              <w:rPr>
                <w:sz w:val="18"/>
                <w:szCs w:val="18"/>
              </w:rPr>
              <w:t>签名</w:t>
            </w: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pPr>
              <w:spacing w:line="500" w:lineRule="exact"/>
              <w:jc w:val="center"/>
              <w:rPr>
                <w:szCs w:val="21"/>
              </w:rPr>
            </w:pPr>
            <w:r>
              <w:rPr>
                <w:rFonts w:hint="eastAsia"/>
                <w:szCs w:val="21"/>
              </w:rPr>
              <w:t>最高限价</w:t>
            </w:r>
          </w:p>
        </w:tc>
        <w:tc>
          <w:tcPr>
            <w:tcW w:w="7718" w:type="dxa"/>
            <w:gridSpan w:val="13"/>
            <w:tcBorders>
              <w:top w:val="single" w:color="auto" w:sz="4" w:space="0"/>
              <w:left w:val="single" w:color="auto" w:sz="4" w:space="0"/>
              <w:bottom w:val="single" w:color="auto" w:sz="4" w:space="0"/>
              <w:right w:val="single" w:color="auto" w:sz="4" w:space="0"/>
            </w:tcBorders>
          </w:tcPr>
          <w:p>
            <w:pPr>
              <w:spacing w:line="500" w:lineRule="exact"/>
              <w:jc w:val="left"/>
              <w:rPr>
                <w:szCs w:val="21"/>
              </w:rPr>
            </w:pPr>
          </w:p>
        </w:tc>
      </w:tr>
      <w:tr>
        <w:tblPrEx>
          <w:tblLayout w:type="fixed"/>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pPr>
              <w:spacing w:line="500" w:lineRule="exact"/>
              <w:jc w:val="center"/>
              <w:rPr>
                <w:szCs w:val="21"/>
              </w:rPr>
            </w:pPr>
            <w:r>
              <w:rPr>
                <w:rFonts w:hint="eastAsia"/>
                <w:szCs w:val="21"/>
              </w:rPr>
              <w:t>异常情况</w:t>
            </w:r>
          </w:p>
        </w:tc>
        <w:tc>
          <w:tcPr>
            <w:tcW w:w="7718" w:type="dxa"/>
            <w:gridSpan w:val="13"/>
            <w:tcBorders>
              <w:top w:val="single" w:color="auto" w:sz="4" w:space="0"/>
              <w:left w:val="single" w:color="auto" w:sz="4" w:space="0"/>
              <w:bottom w:val="single" w:color="auto" w:sz="4" w:space="0"/>
              <w:right w:val="single" w:color="auto" w:sz="4" w:space="0"/>
            </w:tcBorders>
          </w:tcPr>
          <w:p>
            <w:pPr>
              <w:spacing w:line="500" w:lineRule="exact"/>
              <w:rPr>
                <w:rFonts w:ascii="宋体" w:hAnsi="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snapToGrid w:val="0"/>
          <w:kern w:val="0"/>
          <w:szCs w:val="21"/>
        </w:rPr>
        <w:t>主持</w:t>
      </w:r>
      <w:r>
        <w:rPr>
          <w:rFonts w:ascii="宋体" w:hAnsi="宋体"/>
          <w:snapToGrid w:val="0"/>
          <w:kern w:val="0"/>
          <w:szCs w:val="21"/>
        </w:rPr>
        <w:t>人：</w:t>
      </w:r>
      <w:r>
        <w:rPr>
          <w:rFonts w:hint="eastAsia" w:ascii="宋体" w:hAnsi="宋体" w:cs="MingLiU"/>
          <w:snapToGrid w:val="0"/>
          <w:w w:val="200"/>
          <w:kern w:val="0"/>
          <w:szCs w:val="21"/>
          <w:u w:val="single"/>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62" w:beforeLines="20" w:line="360" w:lineRule="auto"/>
        <w:rPr>
          <w:rFonts w:ascii="宋体" w:hAnsi="宋体"/>
          <w:b/>
          <w:snapToGrid w:val="0"/>
          <w:kern w:val="0"/>
        </w:rPr>
      </w:pPr>
    </w:p>
    <w:p>
      <w:pPr>
        <w:autoSpaceDE w:val="0"/>
        <w:autoSpaceDN w:val="0"/>
        <w:adjustRightInd w:val="0"/>
        <w:snapToGrid w:val="0"/>
        <w:spacing w:before="62" w:beforeLines="20" w:line="360" w:lineRule="auto"/>
        <w:rPr>
          <w:rFonts w:ascii="宋体" w:hAnsi="宋体" w:cs="MingLiU"/>
          <w:snapToGrid w:val="0"/>
          <w:w w:val="198"/>
          <w:kern w:val="0"/>
          <w:sz w:val="28"/>
          <w:szCs w:val="28"/>
          <w:u w:val="single"/>
        </w:rPr>
      </w:pP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w:t>
      </w:r>
      <w:r>
        <w:rPr>
          <w:rFonts w:hint="eastAsia" w:ascii="宋体" w:hAnsi="宋体"/>
          <w:b/>
          <w:snapToGrid w:val="0"/>
          <w:kern w:val="0"/>
        </w:rPr>
        <w:t>纸质投标保函递交情况一览表（如有）</w:t>
      </w:r>
    </w:p>
    <w:p>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pPr>
        <w:autoSpaceDE w:val="0"/>
        <w:autoSpaceDN w:val="0"/>
        <w:adjustRightInd w:val="0"/>
        <w:snapToGrid w:val="0"/>
        <w:spacing w:before="62" w:beforeLines="20" w:line="360" w:lineRule="auto"/>
        <w:jc w:val="right"/>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623"/>
        <w:gridCol w:w="2166"/>
        <w:gridCol w:w="1934"/>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2623"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2166"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1934"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2044"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 w:type="dxa"/>
          </w:tcPr>
          <w:p>
            <w:pPr>
              <w:autoSpaceDE w:val="0"/>
              <w:autoSpaceDN w:val="0"/>
              <w:adjustRightInd w:val="0"/>
              <w:snapToGrid w:val="0"/>
              <w:spacing w:before="62" w:beforeLines="20" w:line="360" w:lineRule="auto"/>
              <w:rPr>
                <w:rFonts w:ascii="宋体" w:hAnsi="宋体"/>
                <w:szCs w:val="21"/>
              </w:rPr>
            </w:pPr>
          </w:p>
        </w:tc>
        <w:tc>
          <w:tcPr>
            <w:tcW w:w="2623" w:type="dxa"/>
          </w:tcPr>
          <w:p>
            <w:pPr>
              <w:autoSpaceDE w:val="0"/>
              <w:autoSpaceDN w:val="0"/>
              <w:adjustRightInd w:val="0"/>
              <w:snapToGrid w:val="0"/>
              <w:spacing w:before="62" w:beforeLines="20" w:line="360" w:lineRule="auto"/>
              <w:rPr>
                <w:rFonts w:ascii="宋体" w:hAnsi="宋体"/>
                <w:szCs w:val="21"/>
              </w:rPr>
            </w:pPr>
          </w:p>
        </w:tc>
        <w:tc>
          <w:tcPr>
            <w:tcW w:w="2166" w:type="dxa"/>
          </w:tcPr>
          <w:p>
            <w:pPr>
              <w:autoSpaceDE w:val="0"/>
              <w:autoSpaceDN w:val="0"/>
              <w:adjustRightInd w:val="0"/>
              <w:snapToGrid w:val="0"/>
              <w:spacing w:before="62" w:beforeLines="20" w:line="360" w:lineRule="auto"/>
              <w:rPr>
                <w:rFonts w:ascii="宋体" w:hAnsi="宋体"/>
                <w:szCs w:val="21"/>
              </w:rPr>
            </w:pPr>
          </w:p>
        </w:tc>
        <w:tc>
          <w:tcPr>
            <w:tcW w:w="1934" w:type="dxa"/>
          </w:tcPr>
          <w:p>
            <w:pPr>
              <w:autoSpaceDE w:val="0"/>
              <w:autoSpaceDN w:val="0"/>
              <w:adjustRightInd w:val="0"/>
              <w:snapToGrid w:val="0"/>
              <w:spacing w:before="62" w:beforeLines="20" w:line="360" w:lineRule="auto"/>
              <w:rPr>
                <w:rFonts w:ascii="宋体" w:hAnsi="宋体"/>
                <w:szCs w:val="21"/>
              </w:rPr>
            </w:pPr>
          </w:p>
        </w:tc>
        <w:tc>
          <w:tcPr>
            <w:tcW w:w="2044" w:type="dxa"/>
          </w:tcPr>
          <w:p>
            <w:pPr>
              <w:autoSpaceDE w:val="0"/>
              <w:autoSpaceDN w:val="0"/>
              <w:adjustRightInd w:val="0"/>
              <w:snapToGrid w:val="0"/>
              <w:spacing w:before="62" w:beforeLines="20" w:line="360" w:lineRule="auto"/>
              <w:rPr>
                <w:rFonts w:ascii="宋体" w:hAnsi="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line="360" w:lineRule="auto"/>
        <w:jc w:val="left"/>
        <w:rPr>
          <w:rFonts w:ascii="宋体" w:hAnsi="宋体"/>
          <w:b/>
          <w:snapToGrid w:val="0"/>
          <w:kern w:val="0"/>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ind w:firstLine="140" w:firstLineChars="50"/>
        <w:rPr>
          <w:rFonts w:ascii="宋体" w:hAnsi="宋体"/>
          <w:snapToGrid w:val="0"/>
          <w:kern w:val="0"/>
          <w:sz w:val="28"/>
          <w:szCs w:val="28"/>
        </w:rPr>
      </w:pPr>
    </w:p>
    <w:p>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招标的评标委员会，对你方的投标文件进行了仔细的审查，现需你方对下列问题予以澄清：</w:t>
      </w:r>
    </w:p>
    <w:p>
      <w:pPr>
        <w:autoSpaceDE w:val="0"/>
        <w:autoSpaceDN w:val="0"/>
        <w:adjustRightInd w:val="0"/>
        <w:snapToGrid w:val="0"/>
        <w:spacing w:line="360" w:lineRule="auto"/>
        <w:jc w:val="left"/>
        <w:rPr>
          <w:rFonts w:ascii="宋体" w:hAnsi="宋体"/>
          <w:snapToGrid w:val="0"/>
          <w:kern w:val="0"/>
          <w:sz w:val="24"/>
        </w:rPr>
      </w:pPr>
    </w:p>
    <w:p>
      <w:pPr>
        <w:autoSpaceDE w:val="0"/>
        <w:autoSpaceDN w:val="0"/>
        <w:adjustRightInd w:val="0"/>
        <w:snapToGrid w:val="0"/>
        <w:spacing w:line="360" w:lineRule="auto"/>
        <w:jc w:val="left"/>
        <w:rPr>
          <w:rFonts w:ascii="宋体" w:hAnsi="宋体"/>
          <w:snapToGrid w:val="0"/>
          <w:kern w:val="0"/>
          <w:sz w:val="24"/>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8"/>
          <w:szCs w:val="28"/>
        </w:rPr>
      </w:pPr>
    </w:p>
    <w:p>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（签名）</w:t>
      </w:r>
    </w:p>
    <w:p>
      <w:pPr>
        <w:tabs>
          <w:tab w:val="left" w:pos="6400"/>
        </w:tabs>
        <w:autoSpaceDE w:val="0"/>
        <w:autoSpaceDN w:val="0"/>
        <w:adjustRightInd w:val="0"/>
        <w:snapToGrid w:val="0"/>
        <w:spacing w:line="360" w:lineRule="auto"/>
        <w:jc w:val="right"/>
        <w:rPr>
          <w:rFonts w:ascii="宋体" w:hAnsi="宋体"/>
          <w:snapToGrid w:val="0"/>
          <w:kern w:val="0"/>
          <w:szCs w:val="21"/>
        </w:rPr>
      </w:pPr>
      <w:r>
        <w:rPr>
          <w:rFonts w:hint="eastAsia" w:ascii="宋体" w:hAnsi="宋体"/>
          <w:i/>
          <w:kern w:val="0"/>
          <w:szCs w:val="21"/>
        </w:rPr>
        <w:t>[提示：重庆市电子招投标系统应实现投标人接收端口签名隐藏功能]</w:t>
      </w:r>
      <w:r>
        <w:rPr>
          <w:rFonts w:ascii="宋体" w:hAnsi="宋体"/>
          <w:snapToGrid w:val="0"/>
          <w:kern w:val="0"/>
          <w:sz w:val="24"/>
        </w:rPr>
        <w:t xml:space="preserve"> </w:t>
      </w:r>
      <w:r>
        <w:rPr>
          <w:rFonts w:ascii="宋体" w:hAnsi="宋体"/>
          <w:snapToGrid w:val="0"/>
          <w:kern w:val="0"/>
          <w:szCs w:val="21"/>
        </w:rPr>
        <w:t xml:space="preserve">                            </w:t>
      </w:r>
    </w:p>
    <w:p>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pPr>
        <w:autoSpaceDE w:val="0"/>
        <w:autoSpaceDN w:val="0"/>
        <w:adjustRightInd w:val="0"/>
        <w:snapToGrid w:val="0"/>
        <w:spacing w:line="360" w:lineRule="auto"/>
        <w:jc w:val="left"/>
        <w:rPr>
          <w:rFonts w:ascii="宋体" w:hAnsi="宋体"/>
          <w:b/>
          <w:snapToGrid w:val="0"/>
          <w:kern w:val="0"/>
          <w:sz w:val="10"/>
          <w:szCs w:val="10"/>
        </w:rPr>
      </w:pPr>
    </w:p>
    <w:p>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pPr>
        <w:autoSpaceDE w:val="0"/>
        <w:autoSpaceDN w:val="0"/>
        <w:adjustRightInd w:val="0"/>
        <w:snapToGrid w:val="0"/>
        <w:spacing w:line="360" w:lineRule="auto"/>
        <w:ind w:firstLine="3255" w:firstLineChars="1550"/>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ind w:firstLine="3150" w:firstLineChars="1500"/>
        <w:rPr>
          <w:rFonts w:ascii="宋体" w:hAnsi="宋体"/>
          <w:snapToGrid w:val="0"/>
          <w:kern w:val="0"/>
          <w:szCs w:val="21"/>
        </w:rPr>
      </w:pPr>
    </w:p>
    <w:p>
      <w:pPr>
        <w:autoSpaceDE w:val="0"/>
        <w:autoSpaceDN w:val="0"/>
        <w:adjustRightInd w:val="0"/>
        <w:snapToGrid w:val="0"/>
        <w:spacing w:line="360" w:lineRule="auto"/>
        <w:ind w:firstLine="3150" w:firstLineChars="1500"/>
        <w:rPr>
          <w:rFonts w:ascii="宋体" w:hAnsi="宋体"/>
          <w:snapToGrid w:val="0"/>
          <w:kern w:val="0"/>
          <w:szCs w:val="21"/>
        </w:rPr>
      </w:pPr>
    </w:p>
    <w:p>
      <w:pPr>
        <w:tabs>
          <w:tab w:val="left" w:pos="2415"/>
          <w:tab w:val="left" w:pos="3480"/>
          <w:tab w:val="left" w:pos="4200"/>
        </w:tabs>
        <w:autoSpaceDE w:val="0"/>
        <w:autoSpaceDN w:val="0"/>
        <w:adjustRightInd w:val="0"/>
        <w:snapToGrid w:val="0"/>
        <w:spacing w:line="480" w:lineRule="auto"/>
        <w:ind w:firstLine="0" w:firstLineChars="0"/>
        <w:jc w:val="left"/>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lang w:val="en-US" w:eastAsia="zh-CN"/>
        </w:rPr>
        <w:t xml:space="preserve">     </w:t>
      </w:r>
      <w:r>
        <w:rPr>
          <w:rFonts w:ascii="宋体" w:hAnsi="宋体"/>
          <w:snapToGrid w:val="0"/>
          <w:kern w:val="0"/>
          <w:szCs w:val="21"/>
          <w:u w:val="single"/>
        </w:rPr>
        <w:t>（项目名称）</w:t>
      </w:r>
      <w:r>
        <w:rPr>
          <w:rFonts w:ascii="宋体" w:hAnsi="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2"/>
          <w:szCs w:val="22"/>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（签名或盖章）</w:t>
      </w:r>
    </w:p>
    <w:p>
      <w:pPr>
        <w:autoSpaceDE w:val="0"/>
        <w:autoSpaceDN w:val="0"/>
        <w:adjustRightInd w:val="0"/>
        <w:snapToGrid w:val="0"/>
        <w:spacing w:line="360" w:lineRule="auto"/>
        <w:jc w:val="right"/>
        <w:rPr>
          <w:rFonts w:ascii="宋体" w:hAnsi="宋体"/>
          <w:snapToGrid w:val="0"/>
          <w:kern w:val="0"/>
          <w:sz w:val="20"/>
          <w:szCs w:val="20"/>
        </w:rPr>
      </w:pPr>
    </w:p>
    <w:p>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jc w:val="left"/>
        <w:rPr>
          <w:rFonts w:ascii="宋体" w:hAnsi="宋体"/>
          <w:b/>
          <w:snapToGrid w:val="0"/>
          <w:kern w:val="0"/>
        </w:rPr>
      </w:pPr>
    </w:p>
    <w:p>
      <w:pPr>
        <w:widowControl/>
        <w:jc w:val="left"/>
        <w:rPr>
          <w:rFonts w:ascii="宋体" w:hAnsi="宋体"/>
          <w:b/>
          <w:snapToGrid w:val="0"/>
          <w:kern w:val="0"/>
        </w:rPr>
      </w:pPr>
      <w:r>
        <w:rPr>
          <w:rFonts w:ascii="宋体" w:hAnsi="宋体"/>
          <w:b/>
          <w:snapToGrid w:val="0"/>
          <w:kern w:val="0"/>
        </w:rPr>
        <w:br w:type="page"/>
      </w:r>
    </w:p>
    <w:p>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center"/>
        <w:rPr>
          <w:rFonts w:ascii="宋体" w:hAnsi="宋体"/>
          <w:snapToGrid w:val="0"/>
          <w:kern w:val="0"/>
          <w:sz w:val="20"/>
          <w:szCs w:val="20"/>
        </w:rPr>
      </w:pPr>
      <w:r>
        <w:rPr>
          <w:rFonts w:hint="eastAsia" w:ascii="宋体" w:hAnsi="宋体"/>
          <w:b/>
          <w:snapToGrid w:val="0"/>
          <w:w w:val="99"/>
          <w:kern w:val="0"/>
          <w:sz w:val="32"/>
          <w:szCs w:val="32"/>
        </w:rPr>
        <w:t>重庆市建设工程中标通知书</w:t>
      </w:r>
    </w:p>
    <w:p>
      <w:pPr>
        <w:spacing w:line="60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pPr>
        <w:spacing w:line="480" w:lineRule="auto"/>
        <w:ind w:firstLine="420" w:firstLineChars="200"/>
        <w:rPr>
          <w:szCs w:val="21"/>
        </w:rPr>
      </w:pPr>
      <w:r>
        <w:rPr>
          <w:szCs w:val="21"/>
        </w:rPr>
        <w:t>你方于</w:t>
      </w:r>
      <w:r>
        <w:rPr>
          <w:szCs w:val="21"/>
          <w:u w:val="single"/>
        </w:rPr>
        <w:t xml:space="preserve">         （投标日期）</w:t>
      </w:r>
      <w:r>
        <w:rPr>
          <w:szCs w:val="21"/>
        </w:rPr>
        <w:t>所递交的</w:t>
      </w:r>
      <w:r>
        <w:rPr>
          <w:szCs w:val="21"/>
          <w:u w:val="single"/>
        </w:rPr>
        <w:t xml:space="preserve">              （项目名称）</w:t>
      </w:r>
      <w:r>
        <w:rPr>
          <w:rFonts w:hint="eastAsia"/>
          <w:szCs w:val="21"/>
        </w:rPr>
        <w:t>招标的</w:t>
      </w:r>
      <w:r>
        <w:rPr>
          <w:szCs w:val="21"/>
        </w:rPr>
        <w:t>投标文件已被我方接受，被确定为中标人。</w:t>
      </w:r>
    </w:p>
    <w:p>
      <w:pPr>
        <w:spacing w:line="480" w:lineRule="auto"/>
        <w:ind w:firstLine="420"/>
        <w:rPr>
          <w:szCs w:val="21"/>
        </w:rPr>
      </w:pPr>
      <w:r>
        <w:rPr>
          <w:szCs w:val="21"/>
        </w:rPr>
        <w:t>中标价：</w:t>
      </w:r>
      <w:r>
        <w:rPr>
          <w:szCs w:val="21"/>
          <w:u w:val="single"/>
        </w:rPr>
        <w:t xml:space="preserve">                   </w:t>
      </w:r>
      <w:r>
        <w:rPr>
          <w:szCs w:val="21"/>
        </w:rPr>
        <w:t>元。</w:t>
      </w:r>
    </w:p>
    <w:p>
      <w:pPr>
        <w:spacing w:line="480" w:lineRule="auto"/>
        <w:ind w:firstLine="420"/>
        <w:rPr>
          <w:szCs w:val="21"/>
        </w:rPr>
      </w:pPr>
      <w:r>
        <w:rPr>
          <w:szCs w:val="21"/>
        </w:rPr>
        <w:t>工期：</w:t>
      </w:r>
      <w:r>
        <w:rPr>
          <w:szCs w:val="21"/>
          <w:u w:val="single"/>
        </w:rPr>
        <w:t xml:space="preserve">                  </w:t>
      </w:r>
      <w:r>
        <w:rPr>
          <w:szCs w:val="21"/>
        </w:rPr>
        <w:t>。</w:t>
      </w:r>
    </w:p>
    <w:p>
      <w:pPr>
        <w:spacing w:line="480" w:lineRule="auto"/>
        <w:ind w:firstLine="420"/>
        <w:rPr>
          <w:szCs w:val="21"/>
        </w:rPr>
      </w:pPr>
      <w:r>
        <w:rPr>
          <w:szCs w:val="21"/>
        </w:rPr>
        <w:t>质量标准：</w:t>
      </w:r>
      <w:r>
        <w:rPr>
          <w:szCs w:val="21"/>
          <w:u w:val="single"/>
        </w:rPr>
        <w:t xml:space="preserve">                      </w:t>
      </w:r>
      <w:r>
        <w:rPr>
          <w:szCs w:val="21"/>
        </w:rPr>
        <w:t>。</w:t>
      </w:r>
    </w:p>
    <w:p>
      <w:pPr>
        <w:spacing w:line="480" w:lineRule="auto"/>
        <w:ind w:firstLine="420"/>
        <w:rPr>
          <w:szCs w:val="21"/>
        </w:rPr>
      </w:pPr>
      <w:r>
        <w:rPr>
          <w:rFonts w:hint="eastAsia"/>
          <w:szCs w:val="21"/>
        </w:rPr>
        <w:t>工程总承包项目经理</w:t>
      </w:r>
      <w:r>
        <w:rPr>
          <w:szCs w:val="21"/>
        </w:rPr>
        <w:t>：</w:t>
      </w:r>
      <w:r>
        <w:rPr>
          <w:szCs w:val="21"/>
          <w:u w:val="single"/>
        </w:rPr>
        <w:t xml:space="preserve">      </w:t>
      </w:r>
      <w:r>
        <w:rPr>
          <w:rFonts w:hint="eastAsia"/>
          <w:szCs w:val="21"/>
          <w:u w:val="single"/>
        </w:rPr>
        <w:t xml:space="preserve">     </w:t>
      </w:r>
      <w:r>
        <w:rPr>
          <w:szCs w:val="21"/>
          <w:u w:val="single"/>
        </w:rPr>
        <w:t xml:space="preserve"> （姓名）</w:t>
      </w:r>
      <w:r>
        <w:rPr>
          <w:szCs w:val="21"/>
        </w:rPr>
        <w:t>。</w:t>
      </w:r>
    </w:p>
    <w:p>
      <w:pPr>
        <w:spacing w:line="480" w:lineRule="auto"/>
        <w:ind w:firstLine="420"/>
        <w:rPr>
          <w:szCs w:val="21"/>
        </w:rPr>
      </w:pPr>
      <w:r>
        <w:rPr>
          <w:rFonts w:hint="eastAsia"/>
          <w:szCs w:val="21"/>
        </w:rPr>
        <w:t>设计负责人：</w:t>
      </w:r>
      <w:r>
        <w:rPr>
          <w:szCs w:val="21"/>
          <w:u w:val="single"/>
        </w:rPr>
        <w:t xml:space="preserve">     </w:t>
      </w:r>
      <w:r>
        <w:rPr>
          <w:rFonts w:hint="eastAsia"/>
          <w:szCs w:val="21"/>
          <w:u w:val="single"/>
        </w:rPr>
        <w:t xml:space="preserve">   </w:t>
      </w:r>
      <w:r>
        <w:rPr>
          <w:szCs w:val="21"/>
          <w:u w:val="single"/>
        </w:rPr>
        <w:t xml:space="preserve">    （姓名）</w:t>
      </w:r>
      <w:r>
        <w:rPr>
          <w:szCs w:val="21"/>
        </w:rPr>
        <w:t>。</w:t>
      </w:r>
    </w:p>
    <w:p>
      <w:pPr>
        <w:spacing w:line="480" w:lineRule="auto"/>
        <w:ind w:firstLine="420"/>
        <w:rPr>
          <w:szCs w:val="21"/>
        </w:rPr>
      </w:pPr>
      <w:r>
        <w:rPr>
          <w:rFonts w:hint="eastAsia"/>
          <w:szCs w:val="21"/>
        </w:rPr>
        <w:t>施工负责人：</w:t>
      </w:r>
      <w:r>
        <w:rPr>
          <w:rFonts w:hint="eastAsia"/>
          <w:szCs w:val="21"/>
          <w:u w:val="single"/>
        </w:rPr>
        <w:t xml:space="preserve">            （姓名）</w:t>
      </w:r>
      <w:r>
        <w:rPr>
          <w:rFonts w:hint="eastAsia"/>
          <w:szCs w:val="21"/>
        </w:rPr>
        <w:t>。</w:t>
      </w:r>
    </w:p>
    <w:p>
      <w:pPr>
        <w:spacing w:line="480" w:lineRule="auto"/>
        <w:ind w:firstLine="420"/>
        <w:rPr>
          <w:szCs w:val="21"/>
        </w:rPr>
      </w:pPr>
      <w:r>
        <w:rPr>
          <w:szCs w:val="21"/>
        </w:rPr>
        <w:t>请你方在接到本通知书后的</w:t>
      </w:r>
      <w:r>
        <w:rPr>
          <w:szCs w:val="21"/>
          <w:u w:val="single"/>
        </w:rPr>
        <w:t xml:space="preserve">     </w:t>
      </w:r>
      <w:r>
        <w:rPr>
          <w:szCs w:val="21"/>
        </w:rPr>
        <w:t>日内到</w:t>
      </w:r>
      <w:r>
        <w:rPr>
          <w:szCs w:val="21"/>
          <w:u w:val="single"/>
        </w:rPr>
        <w:t xml:space="preserve">                      （指定地点）</w:t>
      </w:r>
      <w:r>
        <w:rPr>
          <w:szCs w:val="21"/>
        </w:rPr>
        <w:t>与我方签订</w:t>
      </w:r>
      <w:r>
        <w:rPr>
          <w:rFonts w:hint="eastAsia"/>
          <w:szCs w:val="21"/>
        </w:rPr>
        <w:t>工程总</w:t>
      </w:r>
      <w:r>
        <w:rPr>
          <w:szCs w:val="21"/>
        </w:rPr>
        <w:t>承包合同，在此之前按招标文件第二章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4</w:t>
      </w:r>
      <w:r>
        <w:rPr>
          <w:szCs w:val="21"/>
        </w:rPr>
        <w:t>款规定向我方提交履约担保。</w:t>
      </w:r>
    </w:p>
    <w:p>
      <w:pPr>
        <w:spacing w:line="480" w:lineRule="auto"/>
        <w:ind w:firstLine="420"/>
        <w:rPr>
          <w:rFonts w:ascii="宋体" w:hAnsi="宋体"/>
          <w:kern w:val="0"/>
          <w:szCs w:val="21"/>
        </w:rPr>
      </w:pPr>
      <w:r>
        <w:rPr>
          <w:szCs w:val="21"/>
        </w:rPr>
        <w:t>特此通知。</w:t>
      </w:r>
    </w:p>
    <w:p>
      <w:pPr>
        <w:spacing w:line="480" w:lineRule="auto"/>
        <w:rPr>
          <w:rFonts w:ascii="宋体" w:hAnsi="宋体"/>
          <w:kern w:val="0"/>
          <w:sz w:val="24"/>
        </w:rPr>
      </w:pPr>
    </w:p>
    <w:p>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 xml:space="preserve">   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（签名或盖章）</w:t>
      </w:r>
    </w:p>
    <w:p>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pPr>
        <w:spacing w:line="480" w:lineRule="auto"/>
        <w:rPr>
          <w:rFonts w:ascii="宋体" w:hAnsi="宋体"/>
          <w:kern w:val="0"/>
          <w:szCs w:val="21"/>
        </w:rPr>
      </w:pPr>
    </w:p>
    <w:p>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pStyle w:val="3"/>
        <w:spacing w:line="360" w:lineRule="auto"/>
        <w:jc w:val="center"/>
        <w:rPr>
          <w:rFonts w:ascii="宋体" w:hAnsi="宋体"/>
          <w:snapToGrid w:val="0"/>
          <w:kern w:val="0"/>
        </w:rPr>
      </w:pPr>
      <w:r>
        <w:rPr>
          <w:rFonts w:ascii="宋体" w:hAnsi="宋体"/>
          <w:kern w:val="0"/>
          <w:sz w:val="24"/>
        </w:rPr>
        <w:br w:type="page"/>
      </w:r>
      <w:bookmarkStart w:id="732" w:name="_Toc28623"/>
      <w:bookmarkStart w:id="733" w:name="_Toc26711"/>
      <w:bookmarkStart w:id="734" w:name="_Toc26302"/>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732"/>
      <w:bookmarkEnd w:id="733"/>
      <w:bookmarkEnd w:id="734"/>
    </w:p>
    <w:p>
      <w:pPr>
        <w:keepNext/>
        <w:keepLines/>
        <w:spacing w:before="100" w:after="100" w:line="360" w:lineRule="auto"/>
        <w:outlineLvl w:val="1"/>
        <w:rPr>
          <w:rFonts w:ascii="宋体" w:hAnsi="宋体"/>
          <w:b/>
          <w:sz w:val="32"/>
          <w:szCs w:val="32"/>
        </w:rPr>
      </w:pPr>
      <w:bookmarkStart w:id="735" w:name="_Toc13446"/>
      <w:bookmarkStart w:id="736" w:name="_Toc28113"/>
      <w:bookmarkStart w:id="737" w:name="_Toc26375"/>
      <w:r>
        <w:rPr>
          <w:rFonts w:hint="eastAsia" w:ascii="宋体" w:hAnsi="宋体"/>
          <w:b/>
          <w:sz w:val="32"/>
          <w:szCs w:val="32"/>
        </w:rPr>
        <w:t>评标办法前附表</w:t>
      </w:r>
      <w:bookmarkEnd w:id="735"/>
      <w:bookmarkEnd w:id="736"/>
      <w:bookmarkEnd w:id="737"/>
    </w:p>
    <w:p>
      <w:pPr>
        <w:spacing w:line="400" w:lineRule="exact"/>
        <w:ind w:firstLine="427" w:firstLineChars="196"/>
        <w:rPr>
          <w:rFonts w:ascii="宋体" w:hAnsi="宋体"/>
          <w:spacing w:val="4"/>
          <w:kern w:val="0"/>
          <w:szCs w:val="21"/>
        </w:rPr>
      </w:pPr>
      <w:bookmarkStart w:id="738"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738"/>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130"/>
        <w:gridCol w:w="1500"/>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438"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7245" w:type="dxa"/>
            <w:gridSpan w:val="3"/>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pStyle w:val="308"/>
              <w:spacing w:line="400" w:lineRule="exact"/>
              <w:ind w:firstLine="420"/>
              <w:rPr>
                <w:sz w:val="21"/>
                <w:szCs w:val="21"/>
              </w:rPr>
            </w:pPr>
            <w:r>
              <w:rPr>
                <w:sz w:val="21"/>
                <w:szCs w:val="21"/>
              </w:rPr>
              <w:t>1</w:t>
            </w:r>
          </w:p>
        </w:tc>
        <w:tc>
          <w:tcPr>
            <w:tcW w:w="1438" w:type="dxa"/>
            <w:tcBorders>
              <w:left w:val="single" w:color="auto" w:sz="4" w:space="0"/>
            </w:tcBorders>
            <w:vAlign w:val="center"/>
          </w:tcPr>
          <w:p>
            <w:pPr>
              <w:pStyle w:val="308"/>
              <w:spacing w:line="400" w:lineRule="exact"/>
              <w:ind w:firstLine="0" w:firstLineChars="0"/>
              <w:jc w:val="center"/>
              <w:rPr>
                <w:sz w:val="21"/>
                <w:szCs w:val="21"/>
              </w:rPr>
            </w:pPr>
            <w:r>
              <w:rPr>
                <w:rFonts w:hint="eastAsia"/>
                <w:sz w:val="21"/>
                <w:szCs w:val="21"/>
              </w:rPr>
              <w:t>评标办法</w:t>
            </w:r>
          </w:p>
        </w:tc>
        <w:tc>
          <w:tcPr>
            <w:tcW w:w="7245" w:type="dxa"/>
            <w:gridSpan w:val="3"/>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iCs/>
                <w:kern w:val="0"/>
                <w:szCs w:val="21"/>
              </w:rPr>
              <w:t>联合体投标的，须联合体牵头人在红名单中，并且按照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spacing w:val="4"/>
                <w:kern w:val="0"/>
                <w:szCs w:val="21"/>
              </w:rPr>
              <w:t>；投标人均在红名单中或均不在红名单中的，由评标委员会按照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245" w:type="dxa"/>
            <w:gridSpan w:val="3"/>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7245" w:type="dxa"/>
            <w:gridSpan w:val="3"/>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则全部纳入）进行符合性审查。符合性审查内容：□技术部分评审、资格评审、形式评审、响应性评审、投标函部分及</w:t>
            </w:r>
            <w:r>
              <w:rPr>
                <w:rFonts w:hint="eastAsia" w:ascii="宋体" w:hAnsi="宋体"/>
                <w:spacing w:val="4"/>
                <w:kern w:val="0"/>
                <w:szCs w:val="21"/>
                <w:lang w:eastAsia="zh-CN"/>
              </w:rPr>
              <w:t>报价</w:t>
            </w:r>
            <w:r>
              <w:rPr>
                <w:rFonts w:hint="eastAsia" w:ascii="宋体" w:hAnsi="宋体"/>
                <w:spacing w:val="4"/>
                <w:kern w:val="0"/>
                <w:szCs w:val="21"/>
              </w:rPr>
              <w:t>部分评审。符合性审查</w:t>
            </w:r>
            <w:r>
              <w:rPr>
                <w:rFonts w:hint="eastAsia" w:ascii="宋体" w:hAnsi="宋体"/>
                <w:kern w:val="0"/>
              </w:rPr>
              <w:t>合格的投标人中，报价最低的成为第一中标候选人，报价次低的成为第二中标候选人，依次类推。</w:t>
            </w:r>
          </w:p>
          <w:p>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pPr>
              <w:spacing w:line="400" w:lineRule="exact"/>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[提示：勾选技术部分评审的，符合性审查应首先进行技术部分评审，再按照资格、形式、响应性、投标函部分及</w:t>
            </w:r>
            <w:r>
              <w:rPr>
                <w:rFonts w:hint="eastAsia" w:ascii="宋体" w:hAnsi="宋体"/>
                <w:i/>
                <w:kern w:val="0"/>
                <w:lang w:eastAsia="zh-CN"/>
              </w:rPr>
              <w:t>报价</w:t>
            </w:r>
            <w:r>
              <w:rPr>
                <w:rFonts w:hint="eastAsia" w:ascii="宋体" w:hAnsi="宋体"/>
                <w:i/>
                <w:kern w:val="0"/>
              </w:rPr>
              <w:t>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技术</w:t>
            </w:r>
            <w:r>
              <w:rPr>
                <w:rFonts w:hint="eastAsia" w:ascii="宋体" w:hAnsi="宋体"/>
                <w:kern w:val="0"/>
              </w:rPr>
              <w:t>部分评审</w:t>
            </w:r>
            <w:r>
              <w:rPr>
                <w:rFonts w:ascii="宋体" w:hAnsi="宋体"/>
                <w:kern w:val="0"/>
              </w:rPr>
              <w:t>标准</w:t>
            </w:r>
          </w:p>
        </w:tc>
        <w:tc>
          <w:tcPr>
            <w:tcW w:w="263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exact"/>
              <w:jc w:val="center"/>
            </w:pPr>
            <w:r>
              <w:rPr>
                <w:rFonts w:hint="eastAsia" w:ascii="宋体" w:hAnsi="宋体" w:cs="宋体"/>
                <w:kern w:val="0"/>
              </w:rPr>
              <w:t>□</w:t>
            </w:r>
            <w:r>
              <w:rPr>
                <w:rFonts w:hint="eastAsia"/>
              </w:rPr>
              <w:t>技术部分形式要求</w:t>
            </w:r>
          </w:p>
          <w:p>
            <w:pPr>
              <w:snapToGrid w:val="0"/>
              <w:spacing w:line="400" w:lineRule="exact"/>
              <w:jc w:val="center"/>
              <w:rPr>
                <w:rFonts w:ascii="宋体" w:hAnsi="宋体"/>
                <w:kern w:val="0"/>
              </w:rPr>
            </w:pPr>
            <w:r>
              <w:rPr>
                <w:rFonts w:hint="eastAsia"/>
                <w:i/>
                <w:iCs/>
              </w:rPr>
              <w:t>[提示：技术部分采用暗标评审时适用</w:t>
            </w:r>
            <w:r>
              <w:rPr>
                <w:rFonts w:hint="eastAsia"/>
                <w:i/>
                <w:iCs/>
                <w:lang w:eastAsia="zh-CN"/>
              </w:rPr>
              <w:t>。</w:t>
            </w:r>
            <w:r>
              <w:rPr>
                <w:rFonts w:hint="eastAsia"/>
                <w:i/>
                <w:iCs/>
              </w:rPr>
              <w:t>]</w:t>
            </w:r>
          </w:p>
        </w:tc>
        <w:tc>
          <w:tcPr>
            <w:tcW w:w="4615" w:type="dxa"/>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的规定：符合</w:t>
            </w:r>
            <w:r>
              <w:rPr>
                <w:rFonts w:ascii="宋体" w:hAnsi="宋体" w:cs="宋体"/>
                <w:kern w:val="0"/>
              </w:rPr>
              <w:t>/不符合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4615" w:type="dxa"/>
            <w:vMerge w:val="restart"/>
            <w:tcBorders>
              <w:top w:val="single" w:color="auto" w:sz="4" w:space="0"/>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w:t>
            </w:r>
            <w:r>
              <w:rPr>
                <w:rFonts w:hint="eastAsia" w:ascii="宋体" w:hAnsi="宋体"/>
                <w:kern w:val="0"/>
              </w:rPr>
              <w:t>技术部分</w:t>
            </w:r>
            <w:r>
              <w:rPr>
                <w:rFonts w:hint="eastAsia" w:ascii="宋体" w:hAnsi="宋体" w:cs="宋体"/>
                <w:kern w:val="0"/>
              </w:rPr>
              <w:t>进行综合性评审，综合评判是否满足本工程需求：满足/不满足。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szCs w:val="21"/>
              </w:rPr>
              <w:t>项目实施重点</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kern w:val="0"/>
                <w:szCs w:val="21"/>
              </w:rPr>
            </w:pPr>
            <w:r>
              <w:rPr>
                <w:rFonts w:hint="eastAsia" w:ascii="宋体" w:hAnsi="宋体" w:cs="宋体"/>
                <w:kern w:val="0"/>
              </w:rPr>
              <w:t>□设计方案</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ascii="宋体" w:hAnsi="宋体" w:cs="宋体"/>
                <w:kern w:val="0"/>
              </w:rPr>
              <w:t>□施工组织设计</w:t>
            </w:r>
          </w:p>
        </w:tc>
        <w:tc>
          <w:tcPr>
            <w:tcW w:w="1500" w:type="dxa"/>
            <w:tcBorders>
              <w:top w:val="single" w:color="auto" w:sz="4" w:space="0"/>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ascii="宋体" w:hAnsi="宋体"/>
                <w:kern w:val="0"/>
              </w:rPr>
              <w:t>施工方案与技术措施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工程进度计划与</w:t>
            </w:r>
            <w:r>
              <w:rPr>
                <w:rFonts w:ascii="宋体" w:hAnsi="宋体"/>
                <w:kern w:val="0"/>
              </w:rPr>
              <w:t>资源配备</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restart"/>
            <w:tcBorders>
              <w:left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ascii="宋体" w:hAnsi="宋体" w:cs="宋体"/>
                <w:kern w:val="0"/>
              </w:rPr>
              <w:t>□设备材料技术性能</w:t>
            </w: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设备材料功能和技术性能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□节能环保</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□售后维保</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□质量创优</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2.2.2</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hint="default" w:ascii="宋体" w:hAnsi="宋体" w:eastAsia="宋体" w:cs="宋体"/>
                <w:kern w:val="0"/>
                <w:lang w:val="en-US" w:eastAsia="zh-CN"/>
              </w:rPr>
            </w:pPr>
            <w:r>
              <w:rPr>
                <w:rFonts w:hint="eastAsia" w:ascii="宋体" w:hAnsi="宋体" w:cs="宋体"/>
                <w:kern w:val="0"/>
                <w:lang w:val="en-US" w:eastAsia="zh-CN"/>
              </w:rPr>
              <w:t>独立法人资格</w:t>
            </w:r>
          </w:p>
        </w:tc>
        <w:tc>
          <w:tcPr>
            <w:tcW w:w="4615" w:type="dxa"/>
            <w:tcBorders>
              <w:top w:val="single" w:color="auto" w:sz="4" w:space="0"/>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工程总承包项目经理资格要求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438"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符合第二章“投标人须知”第3.7款规定（不含投标函部分）。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提交</w:t>
            </w:r>
            <w:r>
              <w:rPr>
                <w:rFonts w:hint="eastAsia" w:ascii="宋体" w:hAnsi="宋体" w:cs="宋体"/>
                <w:kern w:val="0"/>
                <w:lang w:eastAsia="zh-CN"/>
              </w:rPr>
              <w:t>共同投标协议</w:t>
            </w:r>
            <w:r>
              <w:rPr>
                <w:rFonts w:hint="eastAsia" w:ascii="宋体" w:hAnsi="宋体" w:cs="宋体"/>
                <w:kern w:val="0"/>
              </w:rPr>
              <w:t>，并明确联合体牵头人。在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宋体" w:hAnsi="宋体"/>
                <w:kern w:val="0"/>
              </w:rPr>
              <w:t>要求</w:t>
            </w:r>
            <w:r>
              <w:rPr>
                <w:rFonts w:ascii="宋体" w:hAnsi="宋体"/>
                <w:kern w:val="0"/>
              </w:rPr>
              <w:t>签名的，</w:t>
            </w:r>
            <w:r>
              <w:rPr>
                <w:rFonts w:hint="eastAsia" w:ascii="宋体" w:hAnsi="宋体"/>
                <w:kern w:val="0"/>
              </w:rPr>
              <w:t>签名采用手写签名</w:t>
            </w:r>
            <w:r>
              <w:rPr>
                <w:rFonts w:hint="eastAsia" w:ascii="宋体" w:hAnsi="宋体"/>
                <w:szCs w:val="21"/>
                <w:lang w:val="en-US" w:eastAsia="zh-CN"/>
              </w:rPr>
              <w:t>或签章</w:t>
            </w:r>
            <w:r>
              <w:rPr>
                <w:rFonts w:hint="eastAsia" w:ascii="宋体" w:hAnsi="宋体"/>
                <w:kern w:val="0"/>
              </w:rPr>
              <w:t>或加盖CA数字证书均可。</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中各联合体成员单位签名（或盖章）须齐全，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中要求各联合体成员盖单位法人章的，各联合体成员盖章须齐全，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符合第六章“发包人要求”规定。</w:t>
            </w:r>
            <w:r>
              <w:rPr>
                <w:rFonts w:hint="eastAsia" w:ascii="宋体" w:hAnsi="宋体"/>
                <w:kern w:val="0"/>
              </w:rPr>
              <w:t>（由投标人承诺，承诺书格式详见第八章投标文件格式。）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bottom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按照评标委员会要求澄清、说明或补正。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rPr>
              <w:t>投标</w:t>
            </w:r>
            <w:r>
              <w:rPr>
                <w:rFonts w:ascii="宋体" w:hAnsi="宋体"/>
                <w:kern w:val="0"/>
              </w:rPr>
              <w:t>函部分及</w:t>
            </w:r>
            <w:r>
              <w:rPr>
                <w:rFonts w:hint="eastAsia" w:ascii="宋体" w:hAnsi="宋体"/>
                <w:kern w:val="0"/>
                <w:lang w:eastAsia="zh-CN"/>
              </w:rPr>
              <w:t>报价</w:t>
            </w:r>
            <w:r>
              <w:rPr>
                <w:rFonts w:ascii="宋体" w:hAnsi="宋体"/>
                <w:kern w:val="0"/>
              </w:rPr>
              <w:t>部分</w:t>
            </w:r>
            <w:r>
              <w:rPr>
                <w:rFonts w:hint="eastAsia" w:ascii="宋体" w:hAnsi="宋体"/>
                <w:kern w:val="0"/>
              </w:rPr>
              <w:t>评审标准</w:t>
            </w: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ascii="宋体" w:hAnsi="宋体" w:cs="宋体"/>
                <w:kern w:val="0"/>
              </w:rPr>
              <w:t>投标函部分的格式</w:t>
            </w:r>
            <w:r>
              <w:rPr>
                <w:rFonts w:hint="eastAsia" w:ascii="宋体" w:hAnsi="宋体" w:cs="宋体"/>
                <w:kern w:val="0"/>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若投标单位为联合体，投标函部分的格式中要求投标人加盖单位法人章的，均由联合体牵头人使用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质量标准</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1.投标总报价不得高于招标人公布的投标总报价最高限价。投标分项报价不得高于招标人公布的投标分项报价最高限价。投标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2.投标人投标总报价或者部分单项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暂定金额（暂列金）</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暂定金额（暂列金）必须按照招标文件给定的金额填报。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已标价招标清单（如有）</w:t>
            </w:r>
          </w:p>
        </w:tc>
        <w:tc>
          <w:tcPr>
            <w:tcW w:w="4615" w:type="dxa"/>
            <w:tcBorders>
              <w:left w:val="single" w:color="auto" w:sz="4" w:space="0"/>
            </w:tcBorders>
            <w:vAlign w:val="center"/>
          </w:tcPr>
          <w:p>
            <w:pPr>
              <w:snapToGrid w:val="0"/>
              <w:spacing w:after="31" w:afterLines="10" w:line="400" w:lineRule="exact"/>
              <w:ind w:firstLine="420" w:firstLineChars="200"/>
            </w:pPr>
            <w:r>
              <w:rPr>
                <w:rFonts w:hint="eastAsia"/>
              </w:rPr>
              <w:t>1.投标人必须按招标清单要求填报价格。</w:t>
            </w:r>
          </w:p>
          <w:p>
            <w:pPr>
              <w:snapToGrid w:val="0"/>
              <w:spacing w:after="31" w:afterLines="10" w:line="400" w:lineRule="exact"/>
              <w:ind w:firstLine="420" w:firstLineChars="200"/>
              <w:rPr>
                <w:rFonts w:hint="eastAsia"/>
              </w:rPr>
            </w:pPr>
            <w:r>
              <w:rPr>
                <w:rFonts w:hint="eastAsia"/>
              </w:rPr>
              <w:t>2.每项清单综合单价报价不得超过每项清单综合单价最高限价。</w:t>
            </w:r>
          </w:p>
          <w:p>
            <w:pPr>
              <w:snapToGrid w:val="0"/>
              <w:spacing w:after="31" w:afterLines="10" w:line="400" w:lineRule="exact"/>
              <w:ind w:firstLine="420" w:firstLineChars="200"/>
            </w:pPr>
            <w:r>
              <w:rPr>
                <w:rFonts w:hint="eastAsia" w:ascii="宋体" w:hAnsi="宋体" w:cs="宋体"/>
                <w:kern w:val="0"/>
                <w:lang w:val="en-US" w:eastAsia="zh-CN"/>
              </w:rPr>
              <w:t>3.</w:t>
            </w:r>
            <w:r>
              <w:rPr>
                <w:rFonts w:hint="default" w:ascii="宋体" w:hAnsi="宋体"/>
                <w:kern w:val="0"/>
                <w:szCs w:val="21"/>
                <w:u w:val="none"/>
              </w:rPr>
              <w:t>投标人的</w:t>
            </w:r>
            <w:r>
              <w:rPr>
                <w:rFonts w:hint="eastAsia" w:ascii="宋体" w:hAnsi="宋体"/>
                <w:kern w:val="0"/>
                <w:szCs w:val="21"/>
                <w:u w:val="none"/>
                <w:lang w:val="en-US" w:eastAsia="zh-CN"/>
              </w:rPr>
              <w:t>清单综合单价报价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7245" w:type="dxa"/>
            <w:gridSpan w:val="3"/>
            <w:tcBorders>
              <w:left w:val="single" w:color="auto" w:sz="4" w:space="0"/>
            </w:tcBorders>
            <w:vAlign w:val="center"/>
          </w:tcPr>
          <w:p>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1.对报价不高于最高限价的所有投标人的投标文件，按照报价由低到高的顺序排序。需技术部分评审的，由电子评标系统对技术部分进行自动随机编号。在投标函部分及</w:t>
            </w:r>
            <w:r>
              <w:rPr>
                <w:rFonts w:hint="eastAsia" w:ascii="宋体" w:hAnsi="宋体"/>
                <w:kern w:val="0"/>
                <w:szCs w:val="21"/>
                <w:lang w:eastAsia="zh-CN"/>
              </w:rPr>
              <w:t>报价</w:t>
            </w:r>
            <w:r>
              <w:rPr>
                <w:rFonts w:hint="eastAsia" w:ascii="宋体" w:hAnsi="宋体"/>
                <w:kern w:val="0"/>
                <w:szCs w:val="21"/>
              </w:rPr>
              <w:t>部分评审前，推送给评标委员会的投标文件不得显示排序。</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31" w:afterLines="10" w:line="400" w:lineRule="exact"/>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[提示：勾选技术部分评审的，符合性审查应首先进行技术部分评审，再按照资格、形式、响应性、投标函部分及</w:t>
            </w:r>
            <w:r>
              <w:rPr>
                <w:rFonts w:hint="eastAsia" w:ascii="宋体" w:hAnsi="宋体"/>
                <w:i/>
                <w:kern w:val="0"/>
                <w:szCs w:val="21"/>
                <w:lang w:eastAsia="zh-CN"/>
              </w:rPr>
              <w:t>报价</w:t>
            </w:r>
            <w:r>
              <w:rPr>
                <w:rFonts w:hint="eastAsia" w:ascii="宋体" w:hAnsi="宋体"/>
                <w:i/>
                <w:kern w:val="0"/>
                <w:szCs w:val="21"/>
              </w:rPr>
              <w:t>部分的顺序进行评审。]</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lang w:eastAsia="zh-CN"/>
              </w:rPr>
              <w:t>经济</w:t>
            </w:r>
            <w:r>
              <w:rPr>
                <w:rFonts w:hint="eastAsia" w:ascii="宋体" w:hAnsi="宋体"/>
                <w:kern w:val="0"/>
                <w:szCs w:val="21"/>
              </w:rPr>
              <w:t>、技术等指标仍然具有市场竞争力，并满足招标文件要求的，评标委员会可以继续评标并确定中标候选人。</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（其中非联合体投标的，须投标人所属红名单类别包含在招标范围内；联合体投标的，须联合体牵头人在红名单中，并且按照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7245" w:type="dxa"/>
            <w:gridSpan w:val="3"/>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pPr>
        <w:pStyle w:val="4"/>
        <w:spacing w:before="0" w:after="0" w:line="360" w:lineRule="auto"/>
        <w:rPr>
          <w:rFonts w:ascii="宋体" w:hAnsi="宋体"/>
          <w:bCs w:val="0"/>
          <w:snapToGrid w:val="0"/>
        </w:rPr>
      </w:pPr>
      <w:r>
        <w:rPr>
          <w:rFonts w:ascii="宋体" w:hAnsi="宋体"/>
          <w:bCs w:val="0"/>
          <w:snapToGrid w:val="0"/>
        </w:rPr>
        <w:br w:type="page"/>
      </w:r>
      <w:bookmarkStart w:id="739" w:name="_Toc12857"/>
      <w:bookmarkStart w:id="740" w:name="_Toc13474"/>
      <w:bookmarkStart w:id="741" w:name="_Toc30736"/>
      <w:r>
        <w:rPr>
          <w:rFonts w:ascii="宋体" w:hAnsi="宋体"/>
          <w:b w:val="0"/>
          <w:snapToGrid w:val="0"/>
        </w:rPr>
        <w:t>1.  评标方法</w:t>
      </w:r>
      <w:bookmarkEnd w:id="739"/>
      <w:bookmarkEnd w:id="740"/>
      <w:bookmarkEnd w:id="741"/>
    </w:p>
    <w:p>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ascii="宋体" w:hAnsi="宋体"/>
          <w:b w:val="0"/>
          <w:snapToGrid w:val="0"/>
        </w:rPr>
      </w:pPr>
      <w:bookmarkStart w:id="742" w:name="_Toc16997"/>
      <w:bookmarkStart w:id="743" w:name="_Toc20182"/>
      <w:bookmarkStart w:id="744" w:name="_Toc27752"/>
      <w:r>
        <w:rPr>
          <w:rFonts w:ascii="宋体" w:hAnsi="宋体"/>
          <w:b w:val="0"/>
          <w:snapToGrid w:val="0"/>
        </w:rPr>
        <w:t>2.  评审标准</w:t>
      </w:r>
      <w:bookmarkEnd w:id="742"/>
      <w:bookmarkEnd w:id="743"/>
      <w:bookmarkEnd w:id="744"/>
    </w:p>
    <w:p>
      <w:pPr>
        <w:pStyle w:val="5"/>
        <w:spacing w:before="0" w:after="0" w:line="360" w:lineRule="auto"/>
        <w:rPr>
          <w:rFonts w:ascii="宋体" w:hAnsi="宋体" w:cs="宋体"/>
          <w:sz w:val="21"/>
          <w:szCs w:val="21"/>
        </w:rPr>
      </w:pPr>
      <w:bookmarkStart w:id="745" w:name="_Toc28579"/>
      <w:bookmarkStart w:id="746" w:name="_Toc12037"/>
      <w:bookmarkStart w:id="747" w:name="_Toc2286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745"/>
      <w:bookmarkEnd w:id="746"/>
      <w:bookmarkEnd w:id="747"/>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bookmarkStart w:id="748" w:name="_Toc18461"/>
      <w:bookmarkStart w:id="749" w:name="_Toc11477"/>
      <w:bookmarkStart w:id="750" w:name="_Toc24147"/>
      <w:r>
        <w:rPr>
          <w:rFonts w:ascii="宋体" w:hAnsi="宋体" w:cs="宋体"/>
          <w:sz w:val="21"/>
          <w:szCs w:val="21"/>
        </w:rPr>
        <w:t>2.</w:t>
      </w:r>
      <w:r>
        <w:rPr>
          <w:rFonts w:hint="eastAsia" w:ascii="宋体" w:hAnsi="宋体" w:cs="宋体"/>
          <w:sz w:val="21"/>
          <w:szCs w:val="21"/>
        </w:rPr>
        <w:t>2符合性审查标准</w:t>
      </w:r>
      <w:bookmarkEnd w:id="748"/>
      <w:bookmarkEnd w:id="749"/>
      <w:bookmarkEnd w:id="750"/>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符合性审查内容：技术部分评审（如有）、资格评审、形式评审、响应性、投标函部分及</w:t>
      </w:r>
      <w:r>
        <w:rPr>
          <w:rFonts w:hint="eastAsia" w:ascii="宋体" w:hAnsi="宋体"/>
          <w:spacing w:val="4"/>
          <w:kern w:val="0"/>
          <w:szCs w:val="21"/>
          <w:lang w:eastAsia="zh-CN"/>
        </w:rPr>
        <w:t>报价</w:t>
      </w:r>
      <w:r>
        <w:rPr>
          <w:rFonts w:hint="eastAsia" w:ascii="宋体" w:hAnsi="宋体"/>
          <w:spacing w:val="4"/>
          <w:kern w:val="0"/>
          <w:szCs w:val="21"/>
        </w:rPr>
        <w:t>部分评审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投标函部分及</w:t>
      </w:r>
      <w:r>
        <w:rPr>
          <w:rFonts w:hint="eastAsia" w:ascii="宋体" w:hAnsi="宋体" w:cs="宋体"/>
          <w:szCs w:val="21"/>
          <w:lang w:eastAsia="zh-CN"/>
        </w:rPr>
        <w:t>报价</w:t>
      </w:r>
      <w:r>
        <w:rPr>
          <w:rFonts w:hint="eastAsia" w:ascii="宋体" w:hAnsi="宋体" w:cs="宋体"/>
          <w:szCs w:val="21"/>
        </w:rPr>
        <w:t>部分评审标准：见评标办法前附表。</w:t>
      </w:r>
    </w:p>
    <w:p>
      <w:pPr>
        <w:pStyle w:val="4"/>
        <w:spacing w:before="0" w:after="0" w:line="360" w:lineRule="auto"/>
        <w:rPr>
          <w:rFonts w:ascii="宋体" w:hAnsi="宋体"/>
          <w:b w:val="0"/>
          <w:snapToGrid w:val="0"/>
        </w:rPr>
      </w:pPr>
      <w:bookmarkStart w:id="751" w:name="_Toc28172"/>
      <w:bookmarkStart w:id="752" w:name="_Toc19440"/>
      <w:bookmarkStart w:id="753" w:name="_Toc24807"/>
      <w:r>
        <w:rPr>
          <w:rFonts w:ascii="宋体" w:hAnsi="宋体"/>
          <w:b w:val="0"/>
          <w:snapToGrid w:val="0"/>
        </w:rPr>
        <w:t>3.  评标程序</w:t>
      </w:r>
      <w:bookmarkEnd w:id="751"/>
      <w:bookmarkEnd w:id="752"/>
      <w:bookmarkEnd w:id="753"/>
    </w:p>
    <w:p>
      <w:pPr>
        <w:pStyle w:val="5"/>
        <w:spacing w:before="0" w:after="0" w:line="360" w:lineRule="auto"/>
        <w:rPr>
          <w:rFonts w:ascii="宋体" w:hAnsi="宋体" w:cs="宋体"/>
          <w:sz w:val="21"/>
          <w:szCs w:val="21"/>
        </w:rPr>
      </w:pPr>
      <w:bookmarkStart w:id="754" w:name="_Toc30535"/>
      <w:bookmarkStart w:id="755" w:name="_Toc8104"/>
      <w:bookmarkStart w:id="756" w:name="_Toc14910"/>
      <w:r>
        <w:rPr>
          <w:rFonts w:ascii="宋体" w:hAnsi="宋体" w:cs="宋体"/>
          <w:sz w:val="21"/>
          <w:szCs w:val="21"/>
        </w:rPr>
        <w:t>3.1</w:t>
      </w:r>
      <w:r>
        <w:rPr>
          <w:rFonts w:hint="eastAsia" w:ascii="宋体" w:hAnsi="宋体" w:cs="宋体"/>
          <w:sz w:val="21"/>
          <w:szCs w:val="21"/>
        </w:rPr>
        <w:t>报价排序</w:t>
      </w:r>
      <w:bookmarkEnd w:id="754"/>
      <w:bookmarkEnd w:id="755"/>
      <w:bookmarkEnd w:id="756"/>
    </w:p>
    <w:p>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对报价不高于最高限价的所有投标人的投标文件，按照报价由低到高的顺序排序。需技术部分评审的，由电子评标系统对技术部分进行自动随机编号。在投标函部分及</w:t>
      </w:r>
      <w:r>
        <w:rPr>
          <w:rFonts w:hint="eastAsia" w:ascii="宋体" w:hAnsi="宋体" w:cs="宋体"/>
          <w:szCs w:val="21"/>
          <w:lang w:eastAsia="zh-CN"/>
        </w:rPr>
        <w:t>报价</w:t>
      </w:r>
      <w:r>
        <w:rPr>
          <w:rFonts w:hint="eastAsia" w:ascii="宋体" w:hAnsi="宋体" w:cs="宋体"/>
          <w:szCs w:val="21"/>
        </w:rPr>
        <w:t>部分评审前，推送给评标委员会的投标文件不得显示排序。</w:t>
      </w:r>
    </w:p>
    <w:p>
      <w:pPr>
        <w:pStyle w:val="5"/>
        <w:spacing w:before="0" w:after="0" w:line="360" w:lineRule="auto"/>
        <w:rPr>
          <w:rFonts w:ascii="宋体" w:hAnsi="宋体" w:cs="宋体"/>
          <w:sz w:val="21"/>
          <w:szCs w:val="21"/>
        </w:rPr>
      </w:pPr>
      <w:bookmarkStart w:id="757" w:name="_Toc8542"/>
      <w:bookmarkStart w:id="758" w:name="_Toc31595"/>
      <w:bookmarkStart w:id="759" w:name="_Toc23909"/>
      <w:r>
        <w:rPr>
          <w:rFonts w:ascii="宋体" w:hAnsi="宋体" w:cs="宋体"/>
          <w:sz w:val="21"/>
          <w:szCs w:val="21"/>
        </w:rPr>
        <w:t>3.</w:t>
      </w:r>
      <w:r>
        <w:rPr>
          <w:rFonts w:hint="eastAsia" w:ascii="宋体" w:hAnsi="宋体" w:cs="宋体"/>
          <w:sz w:val="21"/>
          <w:szCs w:val="21"/>
        </w:rPr>
        <w:t>2符合性审查</w:t>
      </w:r>
      <w:bookmarkEnd w:id="757"/>
      <w:bookmarkEnd w:id="758"/>
      <w:bookmarkEnd w:id="759"/>
    </w:p>
    <w:p>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款规定的标准对投标文件进行符合性审查。符合性审查顺序：技术部分评审（如有）、资格评审、形式评审、响应性、投标函部分及</w:t>
      </w:r>
      <w:r>
        <w:rPr>
          <w:rFonts w:hint="eastAsia" w:ascii="宋体" w:hAnsi="宋体" w:cs="宋体"/>
          <w:szCs w:val="21"/>
          <w:lang w:eastAsia="zh-CN"/>
        </w:rPr>
        <w:t>报价</w:t>
      </w:r>
      <w:r>
        <w:rPr>
          <w:rFonts w:hint="eastAsia" w:ascii="宋体" w:hAnsi="宋体" w:cs="宋体"/>
          <w:szCs w:val="21"/>
        </w:rPr>
        <w:t>部分评审。</w:t>
      </w:r>
    </w:p>
    <w:p>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勾选技术部分评审的，符合性审查应首先进行技术部分审查，再按照资格、形式、响应性、投标函部分及</w:t>
      </w:r>
      <w:r>
        <w:rPr>
          <w:rFonts w:hint="eastAsia" w:ascii="宋体" w:hAnsi="宋体" w:cs="宋体"/>
          <w:szCs w:val="21"/>
          <w:lang w:eastAsia="zh-CN"/>
        </w:rPr>
        <w:t>报价</w:t>
      </w:r>
      <w:r>
        <w:rPr>
          <w:rFonts w:hint="eastAsia" w:ascii="宋体" w:hAnsi="宋体" w:cs="宋体"/>
          <w:szCs w:val="21"/>
        </w:rPr>
        <w:t>部分的顺序进行评审。有一项不符合评审标准的，作否决投标处理。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）串通投标或弄虚作假或有其他违法行为的</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（3）不按评标委员会要求澄清、说明或补正的。</w:t>
      </w:r>
    </w:p>
    <w:p>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pPr>
        <w:spacing w:line="360" w:lineRule="auto"/>
        <w:ind w:firstLine="420" w:firstLineChars="200"/>
        <w:rPr>
          <w:rFonts w:ascii="宋体" w:hAnsi="宋体" w:cs="宋体"/>
          <w:szCs w:val="21"/>
        </w:rPr>
      </w:pPr>
      <w:r>
        <w:rPr>
          <w:rFonts w:hint="eastAsia" w:ascii="宋体" w:hAnsi="宋体" w:cs="宋体"/>
          <w:szCs w:val="21"/>
        </w:rPr>
        <w:t>（2）</w:t>
      </w:r>
      <w:bookmarkStart w:id="760" w:name="_Hlk45901177"/>
      <w:r>
        <w:rPr>
          <w:rFonts w:hint="eastAsia" w:ascii="宋体" w:hAnsi="宋体" w:cs="宋体"/>
          <w:szCs w:val="21"/>
        </w:rPr>
        <w:t>总报价与依据分项报价、单价/费率报价计算出的结果不一致的，由评标委员会作否决投标处理。</w:t>
      </w:r>
      <w:bookmarkEnd w:id="760"/>
    </w:p>
    <w:p>
      <w:pPr>
        <w:pStyle w:val="5"/>
        <w:spacing w:before="0" w:after="0" w:line="360" w:lineRule="auto"/>
        <w:rPr>
          <w:rFonts w:ascii="宋体" w:hAnsi="宋体" w:cs="宋体"/>
          <w:sz w:val="21"/>
          <w:szCs w:val="21"/>
        </w:rPr>
      </w:pPr>
      <w:bookmarkStart w:id="761" w:name="_Toc27937"/>
      <w:bookmarkStart w:id="762" w:name="_Toc7562"/>
      <w:bookmarkStart w:id="763" w:name="_Toc31186"/>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761"/>
      <w:bookmarkEnd w:id="762"/>
      <w:bookmarkEnd w:id="763"/>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pPr>
        <w:pStyle w:val="5"/>
        <w:spacing w:before="0" w:after="0" w:line="360" w:lineRule="auto"/>
        <w:rPr>
          <w:rFonts w:ascii="宋体" w:hAnsi="宋体" w:cs="宋体"/>
          <w:sz w:val="21"/>
          <w:szCs w:val="21"/>
        </w:rPr>
      </w:pPr>
      <w:bookmarkStart w:id="764" w:name="_Toc14007"/>
      <w:bookmarkStart w:id="765" w:name="_Toc14679"/>
      <w:bookmarkStart w:id="766" w:name="_Toc484465184"/>
      <w:bookmarkStart w:id="767" w:name="_Toc16743"/>
      <w:bookmarkStart w:id="768" w:name="_Toc479262406"/>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764"/>
      <w:bookmarkEnd w:id="765"/>
      <w:bookmarkEnd w:id="766"/>
      <w:bookmarkEnd w:id="767"/>
      <w:bookmarkEnd w:id="768"/>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szCs w:val="21"/>
              </w:rPr>
            </w:pPr>
            <w:r>
              <w:rPr>
                <w:rFonts w:ascii="宋体" w:hAnsi="宋体"/>
                <w:b/>
                <w:szCs w:val="21"/>
              </w:rPr>
              <w:t>条款名称</w:t>
            </w:r>
          </w:p>
        </w:tc>
        <w:tc>
          <w:tcPr>
            <w:tcW w:w="7478"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A-1投标人的技术部分综合性评审不合格，由评标委员会作否决投标处理。</w:t>
            </w:r>
            <w:r>
              <w:rPr>
                <w:rFonts w:hint="eastAsia" w:ascii="宋体" w:hAnsi="宋体"/>
                <w:szCs w:val="21"/>
                <w:lang w:val="en-US" w:eastAsia="zh-CN"/>
              </w:rPr>
              <w:t>技术部分采用暗标评审时，其形式应符合</w:t>
            </w:r>
            <w:r>
              <w:rPr>
                <w:rFonts w:hint="eastAsia" w:ascii="宋体" w:hAnsi="宋体"/>
                <w:szCs w:val="21"/>
              </w:rPr>
              <w:t>第二章投标人须知前附表第3.7.5项（</w:t>
            </w:r>
            <w:r>
              <w:rPr>
                <w:rFonts w:hint="eastAsia" w:ascii="宋体" w:hAnsi="宋体"/>
                <w:szCs w:val="21"/>
                <w:lang w:val="en-US" w:eastAsia="zh-CN"/>
              </w:rPr>
              <w:t>4</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A-2投标人的资质条件、</w:t>
            </w:r>
            <w:r>
              <w:rPr>
                <w:rFonts w:hint="eastAsia" w:ascii="宋体" w:hAnsi="宋体"/>
                <w:szCs w:val="21"/>
                <w:lang w:val="en-US" w:eastAsia="zh-CN"/>
              </w:rPr>
              <w:t>独立法人资格</w:t>
            </w:r>
            <w:r>
              <w:rPr>
                <w:rFonts w:hint="eastAsia" w:ascii="宋体" w:hAnsi="宋体"/>
                <w:szCs w:val="21"/>
              </w:rPr>
              <w:t>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5</w:t>
            </w:r>
            <w:r>
              <w:rPr>
                <w:rFonts w:hint="eastAsia" w:ascii="宋体" w:hAnsi="宋体"/>
                <w:szCs w:val="21"/>
              </w:rPr>
              <w:t>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6</w:t>
            </w:r>
            <w:r>
              <w:rPr>
                <w:rFonts w:hint="eastAsia" w:ascii="宋体" w:hAnsi="宋体"/>
                <w:szCs w:val="21"/>
              </w:rPr>
              <w:t>投标人的工程总承包项目经理资格须满足投标人须知前附表第1.4.1项的要求，否则由评标委员会作否决投标处理。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7</w:t>
            </w:r>
            <w:r>
              <w:rPr>
                <w:rFonts w:hint="eastAsia" w:ascii="宋体" w:hAnsi="宋体"/>
                <w:szCs w:val="21"/>
              </w:rPr>
              <w:t>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8</w:t>
            </w:r>
            <w:r>
              <w:rPr>
                <w:rFonts w:hint="eastAsia" w:ascii="宋体" w:hAnsi="宋体"/>
                <w:szCs w:val="21"/>
              </w:rPr>
              <w:t>联合体投标人应满足：</w:t>
            </w:r>
          </w:p>
          <w:p>
            <w:pPr>
              <w:spacing w:line="400" w:lineRule="exact"/>
              <w:ind w:firstLine="420" w:firstLineChars="200"/>
              <w:rPr>
                <w:rFonts w:ascii="宋体" w:hAnsi="宋体"/>
                <w:szCs w:val="21"/>
              </w:rPr>
            </w:pPr>
            <w:r>
              <w:rPr>
                <w:rFonts w:hint="eastAsia" w:ascii="宋体" w:hAnsi="宋体"/>
                <w:szCs w:val="21"/>
              </w:rPr>
              <w:t>（1）联合体各方应按照招标文件提供的格式签订</w:t>
            </w:r>
            <w:r>
              <w:rPr>
                <w:rFonts w:hint="eastAsia" w:ascii="宋体" w:hAnsi="宋体"/>
                <w:szCs w:val="21"/>
                <w:lang w:eastAsia="zh-CN"/>
              </w:rPr>
              <w:t>共同投标协议</w:t>
            </w:r>
            <w:r>
              <w:rPr>
                <w:rFonts w:hint="eastAsia" w:ascii="宋体" w:hAnsi="宋体"/>
                <w:szCs w:val="21"/>
              </w:rPr>
              <w:t>，明确联合体牵头人和各方权利义务；</w:t>
            </w:r>
          </w:p>
          <w:p>
            <w:pPr>
              <w:spacing w:line="400" w:lineRule="exact"/>
              <w:ind w:firstLine="420" w:firstLineChars="200"/>
              <w:rPr>
                <w:rFonts w:ascii="宋体" w:hAnsi="宋体"/>
                <w:szCs w:val="21"/>
              </w:rPr>
            </w:pPr>
            <w:r>
              <w:rPr>
                <w:rFonts w:hint="eastAsia" w:ascii="宋体" w:hAnsi="宋体"/>
                <w:szCs w:val="21"/>
              </w:rPr>
              <w:t>（2）联合体各方均应当具备承担招标项目的相应能力，</w:t>
            </w:r>
            <w:r>
              <w:rPr>
                <w:rFonts w:hint="eastAsia" w:ascii="宋体" w:hAnsi="宋体"/>
                <w:szCs w:val="21"/>
                <w:lang w:eastAsia="zh-CN"/>
              </w:rPr>
              <w:t>共同投标协议</w:t>
            </w:r>
            <w:r>
              <w:rPr>
                <w:rFonts w:hint="eastAsia" w:ascii="宋体" w:hAnsi="宋体"/>
                <w:szCs w:val="21"/>
              </w:rPr>
              <w:t>约定同一专业分工由两个及以上单位共同承担的，按照资质等级较低的单位确定资质等级；</w:t>
            </w:r>
          </w:p>
          <w:p>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478" w:type="dxa"/>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9</w:t>
            </w:r>
            <w:r>
              <w:rPr>
                <w:rFonts w:hint="eastAsia" w:ascii="宋体" w:hAnsi="宋体"/>
                <w:szCs w:val="21"/>
              </w:rPr>
              <w:t>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0</w:t>
            </w:r>
            <w:r>
              <w:rPr>
                <w:rFonts w:hint="eastAsia" w:ascii="宋体" w:hAnsi="宋体"/>
                <w:szCs w:val="21"/>
              </w:rPr>
              <w:t>投标文件格式（不含投标函部分）符合第二章“投标人须知”第3.7款规定，否则由评标委员会作否决投标处理。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1</w:t>
            </w:r>
            <w:r>
              <w:rPr>
                <w:rFonts w:hint="eastAsia" w:ascii="宋体" w:hAnsi="宋体"/>
                <w:szCs w:val="21"/>
              </w:rPr>
              <w:t>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cs="宋体"/>
                <w:kern w:val="0"/>
              </w:rPr>
            </w:pPr>
            <w:r>
              <w:rPr>
                <w:rFonts w:ascii="宋体" w:hAnsi="宋体" w:cs="宋体"/>
                <w:kern w:val="0"/>
              </w:rPr>
              <w:t>A-1</w:t>
            </w:r>
            <w:r>
              <w:rPr>
                <w:rFonts w:hint="eastAsia" w:ascii="宋体" w:hAnsi="宋体" w:cs="宋体"/>
                <w:kern w:val="0"/>
                <w:lang w:val="en-US" w:eastAsia="zh-CN"/>
              </w:rPr>
              <w:t>2</w:t>
            </w:r>
            <w:r>
              <w:rPr>
                <w:rFonts w:hint="eastAsia" w:ascii="宋体" w:hAnsi="宋体" w:cs="宋体"/>
                <w:kern w:val="0"/>
              </w:rPr>
              <w:t>第八章 投标文件格式（不含投标函部分）要求法定代表人或其委托代理人签名（或盖章）的须齐全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w:t>
            </w:r>
            <w:r>
              <w:rPr>
                <w:rFonts w:hint="eastAsia" w:ascii="宋体" w:hAnsi="宋体" w:cs="宋体"/>
                <w:kern w:val="0"/>
              </w:rPr>
              <w:t>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中各联合体成员单位签名（或盖章）须齐全，</w:t>
            </w:r>
            <w:r>
              <w:rPr>
                <w:rFonts w:hint="eastAsia" w:ascii="宋体" w:hAnsi="宋体" w:cs="宋体"/>
                <w:kern w:val="0"/>
                <w:lang w:eastAsia="zh-CN"/>
              </w:rPr>
              <w:t>共同投标协议</w:t>
            </w:r>
            <w:r>
              <w:rPr>
                <w:rFonts w:hint="eastAsia" w:ascii="宋体" w:hAnsi="宋体" w:cs="宋体"/>
                <w:kern w:val="0"/>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3</w:t>
            </w:r>
            <w:r>
              <w:rPr>
                <w:rFonts w:hint="eastAsia" w:ascii="宋体" w:hAnsi="宋体"/>
                <w:szCs w:val="21"/>
              </w:rPr>
              <w:t>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4</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5</w:t>
            </w:r>
            <w:r>
              <w:rPr>
                <w:rFonts w:hint="eastAsia" w:ascii="宋体" w:hAnsi="宋体"/>
                <w:szCs w:val="21"/>
              </w:rPr>
              <w:t>投标人应按投标人须知前附表第3.4款的规定递交投标保证金，并作为其投标文件的组成部分。否则由评标委员会作否决投标处理。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lang w:val="en-US" w:eastAsia="zh-CN"/>
              </w:rPr>
              <w:t>6</w:t>
            </w:r>
            <w:r>
              <w:rPr>
                <w:rFonts w:hint="eastAsia" w:ascii="宋体" w:hAnsi="宋体"/>
                <w:szCs w:val="21"/>
              </w:rPr>
              <w:t>符合第四章“合同条款及格式”规定，投标文件不应附有招标人不能接受的条件</w:t>
            </w:r>
            <w:r>
              <w:rPr>
                <w:rFonts w:hint="eastAsia" w:ascii="宋体" w:hAnsi="宋体" w:cs="宋体"/>
                <w:kern w:val="0"/>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cs="宋体"/>
                <w:kern w:val="0"/>
              </w:rPr>
              <w:t>A-1</w:t>
            </w:r>
            <w:r>
              <w:rPr>
                <w:rFonts w:hint="eastAsia" w:ascii="宋体" w:hAnsi="宋体" w:cs="宋体"/>
                <w:kern w:val="0"/>
                <w:lang w:val="en-US" w:eastAsia="zh-CN"/>
              </w:rPr>
              <w:t>7</w:t>
            </w:r>
            <w:r>
              <w:rPr>
                <w:rFonts w:hint="eastAsia" w:ascii="宋体" w:hAnsi="宋体" w:cs="宋体"/>
                <w:kern w:val="0"/>
              </w:rPr>
              <w:t>技术标准和要求符合第六章“发包人要求”的规定，不得有负偏离，</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8</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3.不按评标委员会要求澄清、说明或补正的。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投标</w:t>
            </w:r>
            <w:r>
              <w:rPr>
                <w:rFonts w:ascii="宋体" w:hAnsi="宋体"/>
                <w:szCs w:val="21"/>
              </w:rPr>
              <w:t>函部分及</w:t>
            </w:r>
            <w:r>
              <w:rPr>
                <w:rFonts w:hint="eastAsia" w:ascii="宋体" w:hAnsi="宋体"/>
                <w:szCs w:val="21"/>
                <w:lang w:eastAsia="zh-CN"/>
              </w:rPr>
              <w:t>报价</w:t>
            </w:r>
            <w:r>
              <w:rPr>
                <w:rFonts w:ascii="宋体" w:hAnsi="宋体"/>
                <w:szCs w:val="21"/>
              </w:rPr>
              <w:t>部分</w:t>
            </w:r>
            <w:r>
              <w:rPr>
                <w:rFonts w:hint="eastAsia" w:ascii="宋体" w:hAnsi="宋体"/>
                <w:szCs w:val="21"/>
              </w:rPr>
              <w:t>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ascii="宋体" w:hAnsi="宋体"/>
                <w:szCs w:val="21"/>
              </w:rPr>
              <w:t>投标函部分的格式</w:t>
            </w:r>
            <w:r>
              <w:rPr>
                <w:rFonts w:hint="eastAsia" w:ascii="宋体" w:hAnsi="宋体"/>
                <w:szCs w:val="21"/>
              </w:rPr>
              <w:t>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rPr>
              <w:t>若投标单位为联合体，投标函部分的格式中要求投标人加盖单位法人章的，均由联合体牵头人使用 CA 数字证书加盖其单位电子印章。</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szCs w:val="21"/>
              </w:rPr>
              <w:t>投标函中的总报价不得高于招标人公布的投标总报价最高限价，</w:t>
            </w:r>
            <w:r>
              <w:rPr>
                <w:rFonts w:hint="eastAsia" w:ascii="宋体" w:hAnsi="宋体" w:cs="宋体"/>
                <w:kern w:val="0"/>
              </w:rPr>
              <w:t>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cs="宋体"/>
                <w:kern w:val="0"/>
              </w:rPr>
              <w:t>暂定金额（暂列金）必须按照招标文件给定的金额填报</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7</w:t>
            </w:r>
            <w:r>
              <w:rPr>
                <w:rFonts w:hint="eastAsia" w:ascii="宋体" w:hAnsi="宋体"/>
                <w:szCs w:val="21"/>
              </w:rPr>
              <w:t>投标人必须按招标清单（如有）要求填报价格。内容必须与招标清单一致，否则交由评标委员会作否决投标处理。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8</w:t>
            </w:r>
            <w:r>
              <w:rPr>
                <w:rFonts w:hint="eastAsia" w:ascii="宋体" w:hAnsi="宋体"/>
                <w:szCs w:val="21"/>
              </w:rPr>
              <w:t>投标人的每项清单综合单价报价（如有）不得超过每项清单综合单价最高限价，否则由评标委员会作否决投标处理。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A-29</w:t>
            </w:r>
            <w:r>
              <w:rPr>
                <w:rFonts w:hint="default" w:ascii="宋体" w:hAnsi="宋体"/>
                <w:kern w:val="0"/>
                <w:szCs w:val="21"/>
                <w:u w:val="none"/>
              </w:rPr>
              <w:t>投标人的</w:t>
            </w:r>
            <w:r>
              <w:rPr>
                <w:rFonts w:hint="eastAsia" w:ascii="宋体" w:hAnsi="宋体"/>
                <w:kern w:val="0"/>
                <w:szCs w:val="21"/>
                <w:u w:val="none"/>
                <w:lang w:val="en-US" w:eastAsia="zh-CN"/>
              </w:rPr>
              <w:t>清单综合单价报价（如有）</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A-3</w:t>
            </w:r>
            <w:r>
              <w:rPr>
                <w:rFonts w:ascii="宋体" w:hAnsi="宋体"/>
                <w:szCs w:val="21"/>
              </w:rPr>
              <w:t>0</w:t>
            </w:r>
            <w:r>
              <w:rPr>
                <w:rFonts w:hint="eastAsia" w:ascii="宋体" w:hAnsi="宋体"/>
                <w:szCs w:val="21"/>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szCs w:val="21"/>
              </w:rPr>
            </w:pPr>
            <w:r>
              <w:rPr>
                <w:rFonts w:hint="eastAsia" w:ascii="宋体" w:hAnsi="宋体"/>
                <w:szCs w:val="21"/>
              </w:rPr>
              <w:t>其他</w:t>
            </w:r>
          </w:p>
        </w:tc>
        <w:tc>
          <w:tcPr>
            <w:tcW w:w="7478"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pStyle w:val="33"/>
        <w:spacing w:line="360" w:lineRule="auto"/>
        <w:jc w:val="both"/>
        <w:rPr>
          <w:rFonts w:ascii="宋体" w:hAnsi="宋体"/>
          <w:sz w:val="21"/>
          <w:szCs w:val="21"/>
          <w:u w:val="none"/>
          <w:lang w:eastAsia="zh-CN"/>
        </w:rPr>
      </w:pPr>
    </w:p>
    <w:p>
      <w:pPr>
        <w:spacing w:line="200" w:lineRule="exact"/>
        <w:rPr>
          <w:rFonts w:ascii="宋体" w:hAnsi="宋体"/>
          <w:kern w:val="0"/>
        </w:rPr>
      </w:pPr>
      <w:r>
        <w:rPr>
          <w:rFonts w:ascii="宋体" w:hAnsi="宋体"/>
          <w:snapToGrid w:val="0"/>
          <w:kern w:val="0"/>
        </w:rPr>
        <w:br w:type="page"/>
      </w:r>
      <w:bookmarkStart w:id="769" w:name="招标文件03章02评标办法综合评估法00"/>
      <w:bookmarkEnd w:id="769"/>
      <w:bookmarkStart w:id="770" w:name="招标文件03章02评标办法综合评估法"/>
      <w:bookmarkEnd w:id="770"/>
      <w:bookmarkStart w:id="771" w:name="_Toc430530500"/>
      <w:bookmarkStart w:id="772" w:name="_Toc287607812"/>
      <w:bookmarkStart w:id="773" w:name="_Toc287620751"/>
      <w:bookmarkStart w:id="774" w:name="_Toc224103384"/>
      <w:bookmarkStart w:id="775" w:name="_Toc277082618"/>
      <w:bookmarkStart w:id="776" w:name="_Toc200513198"/>
    </w:p>
    <w:p>
      <w:pPr>
        <w:pStyle w:val="3"/>
        <w:spacing w:line="360" w:lineRule="auto"/>
        <w:ind w:firstLine="883" w:firstLineChars="200"/>
        <w:jc w:val="center"/>
        <w:rPr>
          <w:rFonts w:ascii="宋体" w:hAnsi="宋体"/>
        </w:rPr>
      </w:pPr>
      <w:bookmarkStart w:id="777" w:name="_Toc509218774"/>
      <w:bookmarkStart w:id="778" w:name="_Toc29322"/>
      <w:bookmarkStart w:id="779" w:name="_Toc15894"/>
      <w:bookmarkStart w:id="780" w:name="_Toc30679"/>
      <w:r>
        <w:rPr>
          <w:rFonts w:ascii="宋体" w:hAnsi="宋体"/>
        </w:rPr>
        <w:t xml:space="preserve">第三章 </w:t>
      </w:r>
      <w:r>
        <w:rPr>
          <w:rFonts w:hint="eastAsia" w:ascii="宋体" w:hAnsi="宋体"/>
        </w:rPr>
        <w:t xml:space="preserve"> </w:t>
      </w:r>
      <w:r>
        <w:rPr>
          <w:rFonts w:ascii="宋体" w:hAnsi="宋体"/>
        </w:rPr>
        <w:t>评标办法（综合评估法）</w:t>
      </w:r>
      <w:bookmarkEnd w:id="777"/>
      <w:bookmarkEnd w:id="778"/>
      <w:bookmarkEnd w:id="779"/>
      <w:bookmarkEnd w:id="780"/>
      <w:bookmarkStart w:id="781" w:name="_Toc277082617"/>
      <w:bookmarkStart w:id="782" w:name="_Toc430530499"/>
      <w:bookmarkStart w:id="783" w:name="_Toc287620750"/>
      <w:bookmarkStart w:id="784" w:name="_Toc224103383"/>
      <w:bookmarkStart w:id="785" w:name="_Toc287607811"/>
    </w:p>
    <w:p>
      <w:pPr>
        <w:pStyle w:val="4"/>
        <w:spacing w:before="100" w:after="100" w:line="360" w:lineRule="auto"/>
        <w:rPr>
          <w:rFonts w:ascii="宋体" w:hAnsi="宋体"/>
        </w:rPr>
      </w:pPr>
      <w:bookmarkStart w:id="786" w:name="_Toc22462"/>
      <w:bookmarkStart w:id="787" w:name="_Toc21027"/>
      <w:bookmarkStart w:id="788" w:name="_Toc509218775"/>
      <w:bookmarkStart w:id="789" w:name="_Toc27747"/>
      <w:r>
        <w:rPr>
          <w:rFonts w:hint="eastAsia" w:ascii="宋体" w:hAnsi="宋体"/>
        </w:rPr>
        <w:t>评标办法前附表</w:t>
      </w:r>
      <w:bookmarkEnd w:id="786"/>
      <w:bookmarkEnd w:id="787"/>
      <w:bookmarkEnd w:id="788"/>
      <w:bookmarkEnd w:id="789"/>
    </w:p>
    <w:p>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tbl>
      <w:tblPr>
        <w:tblStyle w:val="45"/>
        <w:tblW w:w="947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68"/>
        <w:gridCol w:w="709"/>
        <w:gridCol w:w="851"/>
        <w:gridCol w:w="69"/>
        <w:gridCol w:w="1584"/>
        <w:gridCol w:w="54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tcBorders>
              <w:right w:val="single" w:color="auto" w:sz="4" w:space="0"/>
            </w:tcBorders>
            <w:vAlign w:val="center"/>
          </w:tcPr>
          <w:p>
            <w:pPr>
              <w:spacing w:line="400" w:lineRule="exact"/>
              <w:ind w:left="-105" w:leftChars="-50" w:right="-105" w:rightChars="-50"/>
              <w:jc w:val="center"/>
              <w:rPr>
                <w:rFonts w:ascii="宋体" w:hAnsi="宋体"/>
                <w:b/>
                <w:kern w:val="0"/>
              </w:rPr>
            </w:pPr>
            <w:r>
              <w:rPr>
                <w:rFonts w:ascii="宋体" w:hAnsi="宋体"/>
                <w:b/>
                <w:kern w:val="0"/>
              </w:rPr>
              <w:t>条款号</w:t>
            </w:r>
          </w:p>
        </w:tc>
        <w:tc>
          <w:tcPr>
            <w:tcW w:w="3213" w:type="dxa"/>
            <w:gridSpan w:val="4"/>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5492" w:type="dxa"/>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1</w:t>
            </w:r>
          </w:p>
        </w:tc>
        <w:tc>
          <w:tcPr>
            <w:tcW w:w="3213" w:type="dxa"/>
            <w:gridSpan w:val="4"/>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评标办法</w:t>
            </w:r>
          </w:p>
        </w:tc>
        <w:tc>
          <w:tcPr>
            <w:tcW w:w="5492" w:type="dxa"/>
            <w:vAlign w:val="center"/>
          </w:tcPr>
          <w:p>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，按得分由高到低顺序推荐中标候选人，或根据招标人授权直接确定中标人。综合评分相等时，以投标报价低的优先；投标报价相等的，以“投标人在红名单中优先”的原则排序</w:t>
            </w:r>
            <w:r>
              <w:rPr>
                <w:rFonts w:hint="eastAsia" w:ascii="宋体" w:hAnsi="宋体"/>
                <w:iCs/>
                <w:kern w:val="0"/>
              </w:rPr>
              <w:t>（其中非联合体投标的，须投标人所属红名单类别包含在招标范围内；</w:t>
            </w:r>
            <w:r>
              <w:rPr>
                <w:rFonts w:hint="eastAsia" w:ascii="宋体" w:hAnsi="宋体"/>
                <w:iCs/>
                <w:kern w:val="0"/>
                <w:szCs w:val="21"/>
              </w:rPr>
              <w:t>联合体投标的，须联合体牵头人在红名单中，并且按照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iCs/>
                <w:kern w:val="0"/>
              </w:rPr>
              <w:t>），投标人是否属于红名单，以开标环节信用状况查询结果为准</w:t>
            </w:r>
            <w:r>
              <w:rPr>
                <w:rFonts w:hint="eastAsia" w:ascii="宋体" w:hAnsi="宋体"/>
                <w:kern w:val="0"/>
              </w:rPr>
              <w:t>；投标人均在红名单中或均不在红名单中的，由评标委员会按照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[提示：由招标人事先在招标文件中按照有利于合同履行的原则确定，但不得采用抽签、摇号方式直接确定中标候选人。]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709"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资格评审标准</w:t>
            </w:r>
          </w:p>
        </w:tc>
        <w:tc>
          <w:tcPr>
            <w:tcW w:w="2504" w:type="dxa"/>
            <w:gridSpan w:val="3"/>
            <w:tcBorders>
              <w:left w:val="single" w:color="auto" w:sz="4" w:space="0"/>
            </w:tcBorders>
            <w:vAlign w:val="center"/>
          </w:tcPr>
          <w:p>
            <w:pPr>
              <w:spacing w:line="400" w:lineRule="exact"/>
              <w:jc w:val="left"/>
              <w:rPr>
                <w:rFonts w:ascii="宋体" w:hAnsi="宋体"/>
                <w:kern w:val="0"/>
              </w:rPr>
            </w:pPr>
            <w:r>
              <w:rPr>
                <w:rFonts w:ascii="宋体" w:hAnsi="宋体"/>
                <w:kern w:val="0"/>
              </w:rPr>
              <w:t>资质</w:t>
            </w:r>
            <w:r>
              <w:rPr>
                <w:rFonts w:hint="eastAsia" w:ascii="宋体" w:hAnsi="宋体"/>
                <w:kern w:val="0"/>
              </w:rPr>
              <w:t>条件</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hint="default" w:ascii="宋体" w:hAnsi="宋体" w:eastAsia="宋体"/>
                <w:kern w:val="0"/>
                <w:lang w:val="en-US" w:eastAsia="zh-CN"/>
              </w:rPr>
            </w:pPr>
            <w:r>
              <w:rPr>
                <w:rFonts w:hint="eastAsia" w:ascii="宋体" w:hAnsi="宋体"/>
                <w:kern w:val="0"/>
                <w:lang w:val="en-US" w:eastAsia="zh-CN"/>
              </w:rPr>
              <w:t>独立法人资格</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ascii="宋体" w:hAnsi="宋体"/>
                <w:kern w:val="0"/>
              </w:rPr>
              <w:t>安全生产条件</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ascii="宋体" w:hAnsi="宋体"/>
                <w:szCs w:val="21"/>
              </w:rPr>
              <w:t>投标截止日投标资格情况</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hint="eastAsia" w:ascii="宋体" w:hAnsi="宋体"/>
                <w:kern w:val="0"/>
              </w:rPr>
              <w:t>工程总承包项目经理</w:t>
            </w:r>
            <w:r>
              <w:rPr>
                <w:rFonts w:ascii="宋体" w:hAnsi="宋体"/>
                <w:kern w:val="0"/>
              </w:rPr>
              <w:t>资格</w:t>
            </w:r>
            <w:r>
              <w:rPr>
                <w:rFonts w:hint="eastAsia" w:ascii="宋体" w:hAnsi="宋体"/>
                <w:kern w:val="0"/>
              </w:rPr>
              <w:t>要求</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ascii="宋体" w:hAnsi="宋体"/>
                <w:kern w:val="0"/>
              </w:rPr>
              <w:t>其他要求</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tcPr>
          <w:p>
            <w:pPr>
              <w:spacing w:line="400" w:lineRule="exact"/>
              <w:jc w:val="center"/>
              <w:rPr>
                <w:rFonts w:ascii="宋体" w:hAnsi="宋体"/>
                <w:kern w:val="0"/>
              </w:rPr>
            </w:pPr>
          </w:p>
        </w:tc>
        <w:tc>
          <w:tcPr>
            <w:tcW w:w="709" w:type="dxa"/>
            <w:vMerge w:val="continue"/>
            <w:tcBorders>
              <w:right w:val="single" w:color="auto" w:sz="4" w:space="0"/>
            </w:tcBorders>
          </w:tcPr>
          <w:p>
            <w:pPr>
              <w:spacing w:line="400" w:lineRule="exact"/>
              <w:jc w:val="center"/>
              <w:rPr>
                <w:rFonts w:ascii="宋体" w:hAnsi="宋体"/>
                <w:kern w:val="0"/>
              </w:rPr>
            </w:pPr>
          </w:p>
        </w:tc>
        <w:tc>
          <w:tcPr>
            <w:tcW w:w="2504" w:type="dxa"/>
            <w:gridSpan w:val="3"/>
            <w:tcBorders>
              <w:left w:val="single" w:color="auto" w:sz="4" w:space="0"/>
            </w:tcBorders>
          </w:tcPr>
          <w:p>
            <w:pPr>
              <w:spacing w:line="400" w:lineRule="exact"/>
              <w:jc w:val="left"/>
              <w:rPr>
                <w:rFonts w:ascii="宋体" w:hAnsi="宋体"/>
                <w:kern w:val="0"/>
              </w:rPr>
            </w:pPr>
            <w:r>
              <w:rPr>
                <w:rFonts w:ascii="宋体" w:hAnsi="宋体"/>
                <w:kern w:val="0"/>
              </w:rPr>
              <w:t>联合体投标人</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restart"/>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709" w:type="dxa"/>
            <w:vMerge w:val="restart"/>
            <w:vAlign w:val="center"/>
          </w:tcPr>
          <w:p>
            <w:pPr>
              <w:spacing w:line="400" w:lineRule="exact"/>
              <w:jc w:val="center"/>
              <w:rPr>
                <w:rFonts w:ascii="宋体" w:hAnsi="宋体"/>
                <w:kern w:val="0"/>
              </w:rPr>
            </w:pPr>
            <w:r>
              <w:rPr>
                <w:rFonts w:ascii="宋体" w:hAnsi="宋体"/>
                <w:kern w:val="0"/>
              </w:rPr>
              <w:t>形式评审标准</w:t>
            </w:r>
          </w:p>
        </w:tc>
        <w:tc>
          <w:tcPr>
            <w:tcW w:w="2504" w:type="dxa"/>
            <w:gridSpan w:val="3"/>
            <w:vAlign w:val="center"/>
          </w:tcPr>
          <w:p>
            <w:pPr>
              <w:spacing w:line="400" w:lineRule="exact"/>
              <w:jc w:val="left"/>
              <w:rPr>
                <w:rFonts w:ascii="宋体" w:hAnsi="宋体"/>
                <w:kern w:val="0"/>
              </w:rPr>
            </w:pPr>
            <w:r>
              <w:rPr>
                <w:rFonts w:ascii="宋体" w:hAnsi="宋体"/>
                <w:kern w:val="0"/>
              </w:rPr>
              <w:t>投标人名称</w:t>
            </w:r>
          </w:p>
        </w:tc>
        <w:tc>
          <w:tcPr>
            <w:tcW w:w="5492" w:type="dxa"/>
            <w:vAlign w:val="center"/>
          </w:tcPr>
          <w:p>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投标文件格式</w:t>
            </w:r>
          </w:p>
        </w:tc>
        <w:tc>
          <w:tcPr>
            <w:tcW w:w="5492" w:type="dxa"/>
            <w:vAlign w:val="center"/>
          </w:tcPr>
          <w:p>
            <w:pPr>
              <w:spacing w:line="400" w:lineRule="exact"/>
              <w:ind w:firstLine="420" w:firstLineChars="200"/>
              <w:rPr>
                <w:rFonts w:ascii="宋体" w:hAnsi="宋体"/>
                <w:kern w:val="0"/>
              </w:rPr>
            </w:pPr>
            <w:r>
              <w:rPr>
                <w:rFonts w:hint="eastAsia" w:ascii="宋体" w:hAnsi="宋体" w:cs="宋体"/>
                <w:kern w:val="0"/>
              </w:rPr>
              <w:t>符合第二章“投标人须知”第3.7款规定（不含投标函部分）。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2" w:type="dxa"/>
            <w:vAlign w:val="center"/>
          </w:tcPr>
          <w:p>
            <w:pPr>
              <w:spacing w:line="400" w:lineRule="exact"/>
              <w:ind w:firstLine="420" w:firstLineChars="200"/>
              <w:rPr>
                <w:rFonts w:ascii="宋体" w:hAnsi="宋体"/>
                <w:kern w:val="0"/>
              </w:rPr>
            </w:pPr>
            <w:r>
              <w:rPr>
                <w:rFonts w:ascii="宋体" w:hAnsi="宋体"/>
                <w:kern w:val="0"/>
              </w:rPr>
              <w:t>提交</w:t>
            </w:r>
            <w:r>
              <w:rPr>
                <w:rFonts w:hint="eastAsia" w:ascii="宋体" w:hAnsi="宋体"/>
                <w:kern w:val="0"/>
                <w:lang w:eastAsia="zh-CN"/>
              </w:rPr>
              <w:t>共同投标协议</w:t>
            </w:r>
            <w:r>
              <w:rPr>
                <w:rFonts w:ascii="宋体" w:hAnsi="宋体"/>
                <w:kern w:val="0"/>
              </w:rPr>
              <w:t>，并明确联合体牵头人</w:t>
            </w:r>
            <w:r>
              <w:rPr>
                <w:rFonts w:hint="eastAsia" w:ascii="宋体" w:hAnsi="宋体"/>
                <w:kern w:val="0"/>
              </w:rPr>
              <w:t>。在</w:t>
            </w:r>
            <w:r>
              <w:rPr>
                <w:rFonts w:hint="eastAsia" w:ascii="宋体" w:hAnsi="宋体"/>
                <w:kern w:val="0"/>
                <w:lang w:eastAsia="zh-CN"/>
              </w:rPr>
              <w:t>共同投标协议</w:t>
            </w:r>
            <w:r>
              <w:rPr>
                <w:rFonts w:hint="eastAsia" w:ascii="宋体" w:hAnsi="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投标文件的签署</w:t>
            </w:r>
          </w:p>
        </w:tc>
        <w:tc>
          <w:tcPr>
            <w:tcW w:w="5492" w:type="dxa"/>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中各联合体成员单位签名（或盖章）须齐全，</w:t>
            </w:r>
            <w:r>
              <w:rPr>
                <w:rFonts w:hint="eastAsia" w:ascii="宋体" w:hAnsi="宋体" w:cs="宋体"/>
                <w:kern w:val="0"/>
                <w:lang w:eastAsia="zh-CN"/>
              </w:rPr>
              <w:t>共同投标协议</w:t>
            </w:r>
            <w:r>
              <w:rPr>
                <w:rFonts w:hint="eastAsia" w:ascii="宋体" w:hAnsi="宋体" w:cs="宋体"/>
                <w:kern w:val="0"/>
              </w:rPr>
              <w:t>以外的投标文件格式中，要求法定代表人或其委托代理人签名（或盖章）的均由联合体牵头人法定代表人或其委托代理人签名（或盖章）。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委托代理人</w:t>
            </w:r>
          </w:p>
        </w:tc>
        <w:tc>
          <w:tcPr>
            <w:tcW w:w="5492" w:type="dxa"/>
            <w:vAlign w:val="center"/>
          </w:tcPr>
          <w:p>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和投标人为其缴纳的养老保险证明材料</w:t>
            </w:r>
            <w:r>
              <w:rPr>
                <w:rFonts w:ascii="宋体" w:hAnsi="宋体"/>
                <w:kern w:val="0"/>
              </w:rPr>
              <w:t>。</w:t>
            </w:r>
          </w:p>
        </w:tc>
      </w:tr>
      <w:bookmarkEnd w:id="781"/>
      <w:bookmarkEnd w:id="782"/>
      <w:bookmarkEnd w:id="783"/>
      <w:bookmarkEnd w:id="784"/>
      <w:bookmarkEnd w:id="785"/>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restart"/>
            <w:vAlign w:val="center"/>
          </w:tcPr>
          <w:p>
            <w:pPr>
              <w:spacing w:line="400" w:lineRule="exact"/>
              <w:jc w:val="center"/>
              <w:rPr>
                <w:rFonts w:ascii="宋体" w:hAnsi="宋体"/>
              </w:rPr>
            </w:pPr>
            <w:r>
              <w:rPr>
                <w:rFonts w:ascii="宋体" w:hAnsi="宋体"/>
                <w:kern w:val="0"/>
              </w:rPr>
              <w:t>2.1.3</w:t>
            </w:r>
          </w:p>
        </w:tc>
        <w:tc>
          <w:tcPr>
            <w:tcW w:w="709" w:type="dxa"/>
            <w:vMerge w:val="restart"/>
            <w:vAlign w:val="center"/>
          </w:tcPr>
          <w:p>
            <w:pPr>
              <w:spacing w:line="400" w:lineRule="exact"/>
              <w:jc w:val="center"/>
              <w:rPr>
                <w:rFonts w:ascii="宋体" w:hAnsi="宋体"/>
              </w:rPr>
            </w:pPr>
            <w:r>
              <w:rPr>
                <w:rFonts w:ascii="宋体" w:hAnsi="宋体"/>
                <w:kern w:val="0"/>
              </w:rPr>
              <w:t>响应性评审标准</w:t>
            </w:r>
          </w:p>
        </w:tc>
        <w:tc>
          <w:tcPr>
            <w:tcW w:w="2504" w:type="dxa"/>
            <w:gridSpan w:val="3"/>
            <w:vAlign w:val="center"/>
          </w:tcPr>
          <w:p>
            <w:pPr>
              <w:spacing w:line="400" w:lineRule="exact"/>
              <w:jc w:val="left"/>
              <w:rPr>
                <w:rFonts w:ascii="宋体" w:hAnsi="宋体"/>
                <w:kern w:val="0"/>
              </w:rPr>
            </w:pPr>
            <w:r>
              <w:rPr>
                <w:rFonts w:ascii="宋体" w:hAnsi="宋体"/>
                <w:kern w:val="0"/>
              </w:rPr>
              <w:t>投标内容</w:t>
            </w:r>
          </w:p>
        </w:tc>
        <w:tc>
          <w:tcPr>
            <w:tcW w:w="5492" w:type="dxa"/>
            <w:vAlign w:val="center"/>
          </w:tcPr>
          <w:p>
            <w:pPr>
              <w:spacing w:line="400" w:lineRule="exact"/>
              <w:ind w:firstLine="420" w:firstLineChars="200"/>
              <w:rPr>
                <w:rFonts w:ascii="宋体" w:hAnsi="宋体"/>
                <w:kern w:val="0"/>
              </w:rPr>
            </w:pPr>
            <w:r>
              <w:rPr>
                <w:rFonts w:ascii="宋体" w:hAnsi="宋体"/>
                <w:kern w:val="0"/>
              </w:rPr>
              <w:t>符合第二章“投标人须知”第1.3.1项规定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jc w:val="center"/>
              <w:rPr>
                <w:rFonts w:ascii="宋体" w:hAnsi="宋体"/>
              </w:rPr>
            </w:pPr>
          </w:p>
        </w:tc>
        <w:tc>
          <w:tcPr>
            <w:tcW w:w="709" w:type="dxa"/>
            <w:vMerge w:val="continue"/>
          </w:tcPr>
          <w:p>
            <w:pPr>
              <w:spacing w:line="400" w:lineRule="exact"/>
              <w:jc w:val="center"/>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投标保证金</w:t>
            </w:r>
          </w:p>
        </w:tc>
        <w:tc>
          <w:tcPr>
            <w:tcW w:w="5492" w:type="dxa"/>
            <w:vAlign w:val="center"/>
          </w:tcPr>
          <w:p>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jc w:val="center"/>
              <w:rPr>
                <w:rFonts w:ascii="宋体" w:hAnsi="宋体"/>
              </w:rPr>
            </w:pPr>
          </w:p>
        </w:tc>
        <w:tc>
          <w:tcPr>
            <w:tcW w:w="709" w:type="dxa"/>
            <w:vMerge w:val="continue"/>
          </w:tcPr>
          <w:p>
            <w:pPr>
              <w:spacing w:line="400" w:lineRule="exact"/>
              <w:jc w:val="center"/>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权利义务</w:t>
            </w:r>
          </w:p>
        </w:tc>
        <w:tc>
          <w:tcPr>
            <w:tcW w:w="5492" w:type="dxa"/>
            <w:vAlign w:val="center"/>
          </w:tcPr>
          <w:p>
            <w:pPr>
              <w:spacing w:after="62"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技术标准和要求</w:t>
            </w:r>
          </w:p>
        </w:tc>
        <w:tc>
          <w:tcPr>
            <w:tcW w:w="5492" w:type="dxa"/>
            <w:vAlign w:val="center"/>
          </w:tcPr>
          <w:p>
            <w:pPr>
              <w:spacing w:line="400" w:lineRule="exact"/>
              <w:ind w:firstLine="420" w:firstLineChars="200"/>
              <w:rPr>
                <w:rFonts w:ascii="宋体" w:hAnsi="宋体"/>
                <w:kern w:val="0"/>
              </w:rPr>
            </w:pPr>
            <w:r>
              <w:rPr>
                <w:rFonts w:ascii="宋体" w:hAnsi="宋体"/>
                <w:kern w:val="0"/>
              </w:rPr>
              <w:t>符合</w:t>
            </w:r>
            <w:r>
              <w:rPr>
                <w:rFonts w:hint="eastAsia" w:ascii="宋体" w:hAnsi="宋体"/>
                <w:kern w:val="0"/>
              </w:rPr>
              <w:t>第六章</w:t>
            </w:r>
            <w:r>
              <w:rPr>
                <w:rFonts w:ascii="宋体" w:hAnsi="宋体"/>
                <w:kern w:val="0"/>
              </w:rPr>
              <w:t>“</w:t>
            </w:r>
            <w:r>
              <w:rPr>
                <w:rFonts w:hint="eastAsia" w:ascii="宋体" w:hAnsi="宋体"/>
                <w:kern w:val="0"/>
              </w:rPr>
              <w:t>发包人要求</w:t>
            </w:r>
            <w:r>
              <w:rPr>
                <w:rFonts w:ascii="宋体" w:hAnsi="宋体"/>
                <w:kern w:val="0"/>
              </w:rPr>
              <w:t>”</w:t>
            </w:r>
            <w:r>
              <w:rPr>
                <w:rFonts w:hint="eastAsia" w:ascii="宋体" w:hAnsi="宋体"/>
                <w:kern w:val="0"/>
              </w:rPr>
              <w:t>的</w:t>
            </w:r>
            <w:r>
              <w:rPr>
                <w:rFonts w:ascii="宋体" w:hAnsi="宋体"/>
                <w:kern w:val="0"/>
              </w:rPr>
              <w:t>规定</w:t>
            </w:r>
            <w:r>
              <w:rPr>
                <w:rFonts w:hint="eastAsia" w:ascii="宋体" w:hAnsi="宋体"/>
                <w:kern w:val="0"/>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Pr>
          <w:p>
            <w:pPr>
              <w:spacing w:line="400" w:lineRule="exact"/>
              <w:rPr>
                <w:rFonts w:ascii="宋体" w:hAnsi="宋体"/>
              </w:rPr>
            </w:pPr>
          </w:p>
        </w:tc>
        <w:tc>
          <w:tcPr>
            <w:tcW w:w="709" w:type="dxa"/>
            <w:vMerge w:val="continue"/>
          </w:tcPr>
          <w:p>
            <w:pPr>
              <w:spacing w:line="400" w:lineRule="exact"/>
              <w:rPr>
                <w:rFonts w:ascii="宋体" w:hAnsi="宋体"/>
              </w:rPr>
            </w:pPr>
          </w:p>
        </w:tc>
        <w:tc>
          <w:tcPr>
            <w:tcW w:w="2504" w:type="dxa"/>
            <w:gridSpan w:val="3"/>
            <w:vAlign w:val="center"/>
          </w:tcPr>
          <w:p>
            <w:pPr>
              <w:spacing w:line="400" w:lineRule="exact"/>
              <w:jc w:val="left"/>
              <w:rPr>
                <w:rFonts w:ascii="宋体" w:hAnsi="宋体"/>
                <w:kern w:val="0"/>
              </w:rPr>
            </w:pPr>
            <w:r>
              <w:rPr>
                <w:rFonts w:ascii="宋体" w:hAnsi="宋体"/>
                <w:kern w:val="0"/>
              </w:rPr>
              <w:t>实质性要求</w:t>
            </w:r>
          </w:p>
        </w:tc>
        <w:tc>
          <w:tcPr>
            <w:tcW w:w="5492" w:type="dxa"/>
            <w:vAlign w:val="center"/>
          </w:tcPr>
          <w:p>
            <w:pPr>
              <w:spacing w:after="62" w:afterLines="20" w:line="400" w:lineRule="exact"/>
              <w:ind w:firstLine="420" w:firstLineChars="200"/>
              <w:rPr>
                <w:rFonts w:ascii="宋体" w:hAnsi="宋体"/>
                <w:kern w:val="0"/>
              </w:rPr>
            </w:pPr>
            <w:r>
              <w:rPr>
                <w:rFonts w:hint="eastAsia" w:ascii="宋体" w:hAnsi="宋体"/>
                <w:kern w:val="0"/>
              </w:rPr>
              <w:t>符合第二章“投标人须知”第1.4.3项规定。</w:t>
            </w:r>
          </w:p>
          <w:p>
            <w:pPr>
              <w:spacing w:after="62"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pPr>
              <w:spacing w:after="62" w:afterLines="20" w:line="400" w:lineRule="exact"/>
              <w:ind w:firstLine="420" w:firstLineChars="200"/>
              <w:rPr>
                <w:rFonts w:ascii="宋体" w:hAnsi="宋体"/>
                <w:kern w:val="0"/>
              </w:rPr>
            </w:pPr>
            <w:r>
              <w:rPr>
                <w:rFonts w:hint="eastAsia" w:ascii="宋体" w:hAnsi="宋体"/>
                <w:kern w:val="0"/>
              </w:rPr>
              <w:t>按照评标委员会要求澄清、说明或补正。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479" w:hRule="atLeast"/>
          <w:jc w:val="center"/>
        </w:trPr>
        <w:tc>
          <w:tcPr>
            <w:tcW w:w="768" w:type="dxa"/>
            <w:tcBorders>
              <w:right w:val="single" w:color="auto" w:sz="4" w:space="0"/>
            </w:tcBorders>
            <w:vAlign w:val="center"/>
          </w:tcPr>
          <w:p>
            <w:pPr>
              <w:spacing w:line="400" w:lineRule="exact"/>
              <w:rPr>
                <w:rFonts w:ascii="宋体" w:hAnsi="宋体"/>
                <w:kern w:val="0"/>
              </w:rPr>
            </w:pPr>
            <w:r>
              <w:rPr>
                <w:rFonts w:ascii="宋体" w:hAnsi="宋体"/>
                <w:kern w:val="0"/>
              </w:rPr>
              <w:t>2.2.1</w:t>
            </w:r>
          </w:p>
        </w:tc>
        <w:tc>
          <w:tcPr>
            <w:tcW w:w="3213" w:type="dxa"/>
            <w:gridSpan w:val="4"/>
            <w:tcBorders>
              <w:left w:val="single" w:color="auto" w:sz="4" w:space="0"/>
            </w:tcBorders>
            <w:vAlign w:val="center"/>
          </w:tcPr>
          <w:p>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2" w:type="dxa"/>
            <w:vAlign w:val="center"/>
          </w:tcPr>
          <w:p>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r>
              <w:rPr>
                <w:rFonts w:ascii="宋体" w:hAnsi="宋体"/>
                <w:i/>
                <w:iCs/>
                <w:kern w:val="0"/>
              </w:rPr>
              <w:t>[</w:t>
            </w:r>
            <w:r>
              <w:rPr>
                <w:rFonts w:hint="eastAsia" w:ascii="宋体" w:hAnsi="宋体"/>
                <w:i/>
                <w:iCs/>
                <w:kern w:val="0"/>
              </w:rPr>
              <w:t>提示：</w:t>
            </w:r>
            <w:r>
              <w:rPr>
                <w:rFonts w:hint="eastAsia" w:ascii="宋体" w:hAnsi="宋体"/>
                <w:i/>
                <w:iCs/>
                <w:kern w:val="0"/>
                <w:lang w:val="en-US" w:eastAsia="zh-CN"/>
              </w:rPr>
              <w:t>一般</w:t>
            </w:r>
            <w:r>
              <w:rPr>
                <w:rFonts w:hint="eastAsia" w:ascii="宋体" w:hAnsi="宋体"/>
                <w:i/>
                <w:iCs/>
                <w:kern w:val="0"/>
              </w:rPr>
              <w:t>不高于</w:t>
            </w:r>
            <w:r>
              <w:rPr>
                <w:rFonts w:ascii="宋体" w:hAnsi="宋体"/>
                <w:i/>
                <w:iCs/>
                <w:kern w:val="0"/>
              </w:rPr>
              <w:t>30分]</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（1）总承包管理及设计方案</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（2）施工组织设计</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2.商务部分</w:t>
            </w:r>
            <w:r>
              <w:rPr>
                <w:rFonts w:hint="eastAsia" w:ascii="宋体" w:hAnsi="宋体"/>
                <w:kern w:val="0"/>
                <w:u w:val="single"/>
              </w:rPr>
              <w:t xml:space="preserve">      </w:t>
            </w:r>
            <w:r>
              <w:rPr>
                <w:rFonts w:hint="eastAsia" w:ascii="宋体" w:hAnsi="宋体"/>
                <w:kern w:val="0"/>
              </w:rPr>
              <w:t>分；</w:t>
            </w:r>
            <w:r>
              <w:rPr>
                <w:rFonts w:ascii="宋体" w:hAnsi="宋体"/>
                <w:i/>
                <w:iCs/>
                <w:kern w:val="0"/>
              </w:rPr>
              <w:t>[</w:t>
            </w:r>
            <w:r>
              <w:rPr>
                <w:rFonts w:hint="eastAsia" w:ascii="宋体" w:hAnsi="宋体"/>
                <w:i/>
                <w:iCs/>
                <w:kern w:val="0"/>
              </w:rPr>
              <w:t>提示：</w:t>
            </w:r>
            <w:r>
              <w:rPr>
                <w:rFonts w:hint="eastAsia" w:ascii="宋体" w:hAnsi="宋体"/>
                <w:i/>
                <w:iCs/>
                <w:kern w:val="0"/>
                <w:lang w:val="en-US" w:eastAsia="zh-CN"/>
              </w:rPr>
              <w:t>一般</w:t>
            </w:r>
            <w:r>
              <w:rPr>
                <w:rFonts w:hint="eastAsia" w:ascii="宋体" w:hAnsi="宋体"/>
                <w:i/>
                <w:iCs/>
                <w:kern w:val="0"/>
              </w:rPr>
              <w:t>不高于</w:t>
            </w:r>
            <w:r>
              <w:rPr>
                <w:rFonts w:hint="eastAsia" w:ascii="宋体" w:hAnsi="宋体"/>
                <w:i/>
                <w:iCs/>
                <w:kern w:val="0"/>
                <w:lang w:val="en-US" w:eastAsia="zh-CN"/>
              </w:rPr>
              <w:t>20</w:t>
            </w:r>
            <w:r>
              <w:rPr>
                <w:rFonts w:ascii="宋体" w:hAnsi="宋体"/>
                <w:i/>
                <w:iCs/>
                <w:kern w:val="0"/>
              </w:rPr>
              <w:t>分]</w:t>
            </w:r>
          </w:p>
          <w:p>
            <w:pPr>
              <w:snapToGrid w:val="0"/>
              <w:spacing w:line="400" w:lineRule="exact"/>
              <w:ind w:firstLine="420" w:firstLineChars="200"/>
              <w:rPr>
                <w:rFonts w:ascii="宋体" w:hAnsi="宋体"/>
                <w:kern w:val="0"/>
              </w:rPr>
            </w:pPr>
            <w:r>
              <w:rPr>
                <w:rFonts w:hint="eastAsia" w:ascii="宋体" w:hAnsi="宋体"/>
                <w:kern w:val="0"/>
              </w:rPr>
              <w:t>3.</w:t>
            </w:r>
            <w:r>
              <w:rPr>
                <w:rFonts w:hint="eastAsia" w:ascii="宋体" w:hAnsi="宋体"/>
                <w:kern w:val="0"/>
                <w:lang w:eastAsia="zh-CN"/>
              </w:rPr>
              <w:t>报价</w:t>
            </w:r>
            <w:r>
              <w:rPr>
                <w:rFonts w:hint="eastAsia" w:ascii="宋体" w:hAnsi="宋体"/>
                <w:kern w:val="0"/>
              </w:rPr>
              <w:t>部分</w:t>
            </w:r>
            <w:r>
              <w:rPr>
                <w:rFonts w:hint="eastAsia" w:ascii="宋体" w:hAnsi="宋体"/>
                <w:kern w:val="0"/>
                <w:u w:val="single"/>
              </w:rPr>
              <w:t xml:space="preserve">      </w:t>
            </w:r>
            <w:r>
              <w:rPr>
                <w:rFonts w:hint="eastAsia" w:ascii="宋体" w:hAnsi="宋体"/>
                <w:kern w:val="0"/>
              </w:rPr>
              <w:t>分；</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（1）设计费投标报价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（2）专业设备材料费投标报价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pPr>
              <w:snapToGrid w:val="0"/>
              <w:spacing w:line="400" w:lineRule="exact"/>
              <w:ind w:firstLine="420" w:firstLineChars="200"/>
              <w:rPr>
                <w:rFonts w:ascii="宋体" w:hAnsi="宋体"/>
                <w:i/>
                <w:kern w:val="0"/>
              </w:rPr>
            </w:pPr>
            <w:r>
              <w:rPr>
                <w:rFonts w:hint="eastAsia" w:ascii="宋体" w:hAnsi="宋体"/>
                <w:kern w:val="0"/>
              </w:rPr>
              <w:t>（3）建筑安装工程费投标报价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2.2.2（1）</w:t>
            </w:r>
          </w:p>
        </w:tc>
        <w:tc>
          <w:tcPr>
            <w:tcW w:w="709" w:type="dxa"/>
            <w:vMerge w:val="restart"/>
            <w:tcBorders>
              <w:left w:val="single" w:color="auto" w:sz="4" w:space="0"/>
            </w:tcBorders>
            <w:vAlign w:val="center"/>
          </w:tcPr>
          <w:p>
            <w:pPr>
              <w:spacing w:line="400" w:lineRule="exact"/>
              <w:rPr>
                <w:rFonts w:ascii="宋体" w:hAnsi="宋体"/>
                <w:kern w:val="0"/>
              </w:rPr>
            </w:pPr>
            <w:r>
              <w:rPr>
                <w:rFonts w:hint="eastAsia" w:ascii="宋体" w:hAnsi="宋体"/>
                <w:kern w:val="0"/>
              </w:rPr>
              <w:t>技术部分评审标准</w:t>
            </w:r>
          </w:p>
        </w:tc>
        <w:tc>
          <w:tcPr>
            <w:tcW w:w="920" w:type="dxa"/>
            <w:gridSpan w:val="2"/>
            <w:vMerge w:val="restart"/>
            <w:tcBorders>
              <w:right w:val="single" w:color="auto" w:sz="4" w:space="0"/>
            </w:tcBorders>
            <w:vAlign w:val="center"/>
          </w:tcPr>
          <w:p>
            <w:pPr>
              <w:tabs>
                <w:tab w:val="left" w:pos="1875"/>
              </w:tabs>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84" w:type="dxa"/>
            <w:tcBorders>
              <w:left w:val="single" w:color="auto" w:sz="4" w:space="0"/>
              <w:bottom w:val="single" w:color="auto" w:sz="4" w:space="0"/>
            </w:tcBorders>
            <w:vAlign w:val="center"/>
          </w:tcPr>
          <w:p>
            <w:pPr>
              <w:spacing w:line="400" w:lineRule="exact"/>
              <w:rPr>
                <w:rFonts w:ascii="宋体" w:hAnsi="宋体"/>
                <w:szCs w:val="21"/>
              </w:rPr>
            </w:pPr>
            <w:r>
              <w:rPr>
                <w:rFonts w:hint="eastAsia" w:ascii="宋体" w:hAnsi="宋体"/>
                <w:szCs w:val="21"/>
              </w:rPr>
              <w:t>□</w:t>
            </w:r>
            <w:r>
              <w:rPr>
                <w:rFonts w:hint="eastAsia" w:ascii="宋体" w:hAnsi="宋体"/>
                <w:kern w:val="0"/>
              </w:rPr>
              <w:t>总承包管理及设计方案</w:t>
            </w:r>
            <w:r>
              <w:rPr>
                <w:rFonts w:hint="eastAsia" w:ascii="宋体" w:hAnsi="宋体"/>
                <w:szCs w:val="21"/>
              </w:rPr>
              <w:t>形式要求</w:t>
            </w:r>
            <w:r>
              <w:rPr>
                <w:rFonts w:ascii="宋体" w:hAnsi="宋体"/>
                <w:i/>
                <w:iCs/>
                <w:szCs w:val="21"/>
              </w:rPr>
              <w:t>[提示：技术部分采用暗标评审时适用]</w:t>
            </w:r>
          </w:p>
        </w:tc>
        <w:tc>
          <w:tcPr>
            <w:tcW w:w="5492" w:type="dxa"/>
            <w:vAlign w:val="center"/>
          </w:tcPr>
          <w:p>
            <w:pPr>
              <w:snapToGrid w:val="0"/>
              <w:spacing w:line="400" w:lineRule="exact"/>
              <w:ind w:firstLine="420" w:firstLineChars="200"/>
              <w:rPr>
                <w:rFonts w:ascii="宋体" w:hAnsi="宋体"/>
                <w:kern w:val="0"/>
              </w:rPr>
            </w:pPr>
            <w:r>
              <w:rPr>
                <w:rFonts w:hint="eastAsia" w:ascii="宋体" w:hAnsi="宋体"/>
                <w:u w:val="single"/>
              </w:rPr>
              <w:t>须符合第二章投标人须知前附表第3.7.5项</w:t>
            </w:r>
            <w:r>
              <w:rPr>
                <w:rFonts w:hint="eastAsia" w:ascii="宋体" w:hAnsi="宋体"/>
                <w:u w:val="single"/>
                <w:lang w:eastAsia="zh-CN"/>
              </w:rPr>
              <w:t>（</w:t>
            </w:r>
            <w:r>
              <w:rPr>
                <w:rFonts w:hint="eastAsia" w:ascii="宋体" w:hAnsi="宋体"/>
                <w:u w:val="single"/>
                <w:lang w:val="en-US" w:eastAsia="zh-CN"/>
              </w:rPr>
              <w:t>4</w:t>
            </w:r>
            <w:r>
              <w:rPr>
                <w:rFonts w:hint="eastAsia" w:ascii="宋体" w:hAnsi="宋体"/>
                <w:u w:val="single"/>
                <w:lang w:eastAsia="zh-CN"/>
              </w:rPr>
              <w:t>）</w:t>
            </w:r>
            <w:r>
              <w:rPr>
                <w:rFonts w:hint="eastAsia" w:ascii="宋体" w:hAnsi="宋体"/>
                <w:u w:val="single"/>
                <w:lang w:val="en-US" w:eastAsia="zh-CN"/>
              </w:rPr>
              <w:t>技术部分的</w:t>
            </w:r>
            <w:r>
              <w:rPr>
                <w:rFonts w:hint="eastAsia" w:ascii="宋体" w:hAnsi="宋体"/>
                <w:u w:val="single"/>
              </w:rPr>
              <w:t>要求，否则其技术部分为0分，不再对技术部分的其他评分标准进行评审。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center"/>
              <w:rPr>
                <w:rFonts w:ascii="宋体" w:hAnsi="宋体" w:cs="宋体"/>
                <w:kern w:val="0"/>
              </w:rPr>
            </w:pPr>
          </w:p>
        </w:tc>
        <w:tc>
          <w:tcPr>
            <w:tcW w:w="1584" w:type="dxa"/>
            <w:tcBorders>
              <w:left w:val="single" w:color="auto" w:sz="4" w:space="0"/>
              <w:bottom w:val="single" w:color="auto" w:sz="4" w:space="0"/>
            </w:tcBorders>
            <w:vAlign w:val="center"/>
          </w:tcPr>
          <w:p>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spacing w:line="400" w:lineRule="exact"/>
              <w:rPr>
                <w:rFonts w:ascii="宋体" w:hAnsi="宋体"/>
                <w:szCs w:val="21"/>
              </w:rPr>
            </w:pPr>
            <w:r>
              <w:rPr>
                <w:rFonts w:hint="eastAsia"/>
                <w:szCs w:val="21"/>
              </w:rPr>
              <w:t>项目实施重点</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spacing w:line="400" w:lineRule="exact"/>
              <w:rPr>
                <w:rFonts w:ascii="宋体" w:hAnsi="宋体" w:cs="宋体"/>
                <w:kern w:val="0"/>
                <w:szCs w:val="21"/>
              </w:rPr>
            </w:pPr>
            <w:r>
              <w:rPr>
                <w:rFonts w:hint="eastAsia" w:ascii="宋体" w:hAnsi="宋体" w:cs="宋体"/>
                <w:kern w:val="0"/>
              </w:rPr>
              <w:t>□设计方案</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restart"/>
            <w:tcBorders>
              <w:right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cs="宋体"/>
                <w:kern w:val="0"/>
              </w:rPr>
              <w:t>□施工组织设计</w:t>
            </w:r>
          </w:p>
        </w:tc>
        <w:tc>
          <w:tcPr>
            <w:tcW w:w="1584" w:type="dxa"/>
            <w:tcBorders>
              <w:left w:val="single" w:color="auto" w:sz="4" w:space="0"/>
            </w:tcBorders>
            <w:vAlign w:val="center"/>
          </w:tcPr>
          <w:p>
            <w:pPr>
              <w:snapToGrid w:val="0"/>
              <w:spacing w:line="400" w:lineRule="exact"/>
              <w:rPr>
                <w:rFonts w:ascii="宋体" w:hAnsi="宋体" w:cs="宋体"/>
                <w:kern w:val="0"/>
              </w:rPr>
            </w:pPr>
            <w:r>
              <w:rPr>
                <w:rFonts w:hint="eastAsia" w:ascii="宋体" w:hAnsi="宋体"/>
                <w:szCs w:val="21"/>
              </w:rPr>
              <w:t>□</w:t>
            </w:r>
            <w:r>
              <w:rPr>
                <w:rFonts w:hint="eastAsia" w:ascii="宋体" w:hAnsi="宋体" w:cs="宋体"/>
                <w:kern w:val="0"/>
              </w:rPr>
              <w:t>施工组织设计</w:t>
            </w:r>
            <w:r>
              <w:rPr>
                <w:rFonts w:hint="eastAsia" w:ascii="宋体" w:hAnsi="宋体"/>
                <w:szCs w:val="21"/>
              </w:rPr>
              <w:t>形式要求</w:t>
            </w:r>
            <w:r>
              <w:rPr>
                <w:rFonts w:ascii="宋体" w:hAnsi="宋体"/>
                <w:i/>
                <w:iCs/>
                <w:szCs w:val="21"/>
              </w:rPr>
              <w:t>[提示：技术部分采用暗标评审时适用]</w:t>
            </w:r>
          </w:p>
        </w:tc>
        <w:tc>
          <w:tcPr>
            <w:tcW w:w="5492" w:type="dxa"/>
            <w:vAlign w:val="center"/>
          </w:tcPr>
          <w:p>
            <w:pPr>
              <w:snapToGrid w:val="0"/>
              <w:spacing w:line="400" w:lineRule="exact"/>
              <w:ind w:firstLine="420" w:firstLineChars="200"/>
              <w:rPr>
                <w:rFonts w:ascii="宋体" w:hAnsi="宋体"/>
                <w:u w:val="single"/>
              </w:rPr>
            </w:pPr>
            <w:r>
              <w:rPr>
                <w:rFonts w:hint="eastAsia" w:ascii="宋体" w:hAnsi="宋体"/>
                <w:u w:val="single"/>
              </w:rPr>
              <w:t>须符合第二章投标人须知前附表第3.7.5项</w:t>
            </w:r>
            <w:r>
              <w:rPr>
                <w:rFonts w:hint="eastAsia" w:ascii="宋体" w:hAnsi="宋体"/>
                <w:u w:val="single"/>
                <w:lang w:eastAsia="zh-CN"/>
              </w:rPr>
              <w:t>（</w:t>
            </w:r>
            <w:r>
              <w:rPr>
                <w:rFonts w:hint="eastAsia" w:ascii="宋体" w:hAnsi="宋体"/>
                <w:u w:val="single"/>
                <w:lang w:val="en-US" w:eastAsia="zh-CN"/>
              </w:rPr>
              <w:t>4</w:t>
            </w:r>
            <w:r>
              <w:rPr>
                <w:rFonts w:hint="eastAsia" w:ascii="宋体" w:hAnsi="宋体"/>
                <w:u w:val="single"/>
                <w:lang w:eastAsia="zh-CN"/>
              </w:rPr>
              <w:t>）</w:t>
            </w:r>
            <w:r>
              <w:rPr>
                <w:rFonts w:hint="eastAsia" w:ascii="宋体" w:hAnsi="宋体"/>
                <w:u w:val="single"/>
                <w:lang w:val="en-US" w:eastAsia="zh-CN"/>
              </w:rPr>
              <w:t>技术部分的</w:t>
            </w:r>
            <w:r>
              <w:rPr>
                <w:rFonts w:hint="eastAsia" w:ascii="宋体" w:hAnsi="宋体"/>
                <w:u w:val="single"/>
              </w:rPr>
              <w:t>要求，否则其技术部分为0分，不再对技术部分的其他评分标准进行评审。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center"/>
              <w:rPr>
                <w:rFonts w:ascii="宋体" w:hAnsi="宋体"/>
                <w:kern w:val="0"/>
              </w:rPr>
            </w:pPr>
          </w:p>
        </w:tc>
        <w:tc>
          <w:tcPr>
            <w:tcW w:w="1584" w:type="dxa"/>
            <w:tcBorders>
              <w:left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施工方案与技术措施</w:t>
            </w:r>
          </w:p>
        </w:tc>
        <w:tc>
          <w:tcPr>
            <w:tcW w:w="5492"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5492"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584" w:type="dxa"/>
            <w:tcBorders>
              <w:left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工程进度计划与资源配备</w:t>
            </w:r>
          </w:p>
        </w:tc>
        <w:tc>
          <w:tcPr>
            <w:tcW w:w="5492"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pPr>
              <w:tabs>
                <w:tab w:val="left" w:pos="1875"/>
              </w:tabs>
              <w:spacing w:line="400" w:lineRule="exact"/>
              <w:jc w:val="left"/>
              <w:rPr>
                <w:rFonts w:ascii="宋体" w:hAnsi="宋体"/>
                <w:kern w:val="0"/>
              </w:rPr>
            </w:pPr>
          </w:p>
        </w:tc>
        <w:tc>
          <w:tcPr>
            <w:tcW w:w="1584" w:type="dxa"/>
            <w:tcBorders>
              <w:left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□危大工程清单安全管理措施</w:t>
            </w:r>
          </w:p>
        </w:tc>
        <w:tc>
          <w:tcPr>
            <w:tcW w:w="5492"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□BIM、智慧工地建设管理方案及措施</w:t>
            </w:r>
          </w:p>
        </w:tc>
        <w:tc>
          <w:tcPr>
            <w:tcW w:w="5492"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920" w:type="dxa"/>
            <w:gridSpan w:val="2"/>
            <w:vMerge w:val="continue"/>
            <w:tcBorders>
              <w:bottom w:val="single" w:color="auto" w:sz="4" w:space="0"/>
              <w:right w:val="single" w:color="auto" w:sz="4" w:space="0"/>
            </w:tcBorders>
          </w:tcPr>
          <w:p>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2.2.2（2）</w:t>
            </w:r>
          </w:p>
        </w:tc>
        <w:tc>
          <w:tcPr>
            <w:tcW w:w="709" w:type="dxa"/>
            <w:vMerge w:val="restart"/>
            <w:tcBorders>
              <w:left w:val="single" w:color="auto" w:sz="4" w:space="0"/>
            </w:tcBorders>
            <w:vAlign w:val="center"/>
          </w:tcPr>
          <w:p>
            <w:pPr>
              <w:spacing w:line="400" w:lineRule="exact"/>
              <w:rPr>
                <w:rFonts w:ascii="宋体" w:hAnsi="宋体"/>
                <w:kern w:val="0"/>
              </w:rPr>
            </w:pPr>
            <w:r>
              <w:rPr>
                <w:rFonts w:hint="eastAsia" w:ascii="宋体" w:hAnsi="宋体"/>
                <w:kern w:val="0"/>
              </w:rPr>
              <w:t>商务部分评审标准</w:t>
            </w:r>
          </w:p>
        </w:tc>
        <w:tc>
          <w:tcPr>
            <w:tcW w:w="2504" w:type="dxa"/>
            <w:gridSpan w:val="3"/>
            <w:vAlign w:val="center"/>
          </w:tcPr>
          <w:p>
            <w:pPr>
              <w:tabs>
                <w:tab w:val="left" w:pos="1875"/>
              </w:tabs>
              <w:spacing w:line="400" w:lineRule="exact"/>
              <w:jc w:val="both"/>
              <w:rPr>
                <w:rFonts w:ascii="宋体" w:hAnsi="宋体" w:cs="宋体"/>
                <w:kern w:val="0"/>
              </w:rPr>
            </w:pPr>
            <w:r>
              <w:rPr>
                <w:rFonts w:hint="eastAsia" w:ascii="宋体" w:hAnsi="宋体" w:cs="宋体"/>
                <w:kern w:val="0"/>
              </w:rPr>
              <w:t>□</w:t>
            </w:r>
            <w:r>
              <w:rPr>
                <w:rFonts w:hint="eastAsia" w:ascii="宋体" w:hAnsi="宋体" w:cs="宋体"/>
                <w:kern w:val="0"/>
                <w:lang w:val="en-US" w:eastAsia="zh-CN"/>
              </w:rPr>
              <w:t>投标人</w:t>
            </w:r>
            <w:r>
              <w:rPr>
                <w:rFonts w:hint="eastAsia" w:ascii="宋体" w:hAnsi="宋体" w:cs="宋体"/>
                <w:kern w:val="0"/>
              </w:rPr>
              <w:t>业绩</w:t>
            </w:r>
          </w:p>
        </w:tc>
        <w:tc>
          <w:tcPr>
            <w:tcW w:w="5492" w:type="dxa"/>
            <w:vAlign w:val="center"/>
          </w:tcPr>
          <w:p>
            <w:pPr>
              <w:autoSpaceDE w:val="0"/>
              <w:autoSpaceDN w:val="0"/>
              <w:adjustRightInd w:val="0"/>
              <w:snapToGrid w:val="0"/>
              <w:spacing w:line="400" w:lineRule="exact"/>
              <w:ind w:firstLine="415" w:firstLineChars="198"/>
              <w:jc w:val="left"/>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参与设计业绩和施工业绩评审的投标人业绩个数均不超过3个</w:t>
            </w:r>
            <w:r>
              <w:rPr>
                <w:rFonts w:hint="eastAsia" w:ascii="宋体" w:hAnsi="宋体" w:eastAsia="宋体" w:cs="宋体"/>
                <w:i/>
                <w:color w:val="auto"/>
                <w:kern w:val="0"/>
                <w:szCs w:val="21"/>
                <w:highlight w:val="none"/>
              </w:rPr>
              <w:t>。</w:t>
            </w:r>
            <w:r>
              <w:rPr>
                <w:rFonts w:hint="eastAsia" w:ascii="宋体" w:hAnsi="宋体" w:eastAsia="宋体" w:cs="宋体"/>
                <w:i/>
                <w:szCs w:val="21"/>
                <w:highlight w:val="none"/>
                <w:lang w:val="en-US" w:eastAsia="zh-CN"/>
              </w:rPr>
              <w:t>设置的业绩指标不得超过本项目对应指标。</w:t>
            </w:r>
            <w:r>
              <w:rPr>
                <w:rFonts w:hint="eastAsia" w:ascii="宋体" w:hAnsi="宋体" w:eastAsia="宋体" w:cs="宋体"/>
                <w:i/>
                <w:color w:val="auto"/>
                <w:kern w:val="0"/>
                <w:szCs w:val="21"/>
                <w:highlight w:val="none"/>
              </w:rPr>
              <w:t>]</w:t>
            </w:r>
          </w:p>
          <w:p>
            <w:pPr>
              <w:autoSpaceDE w:val="0"/>
              <w:autoSpaceDN w:val="0"/>
              <w:adjustRightInd w:val="0"/>
              <w:snapToGrid w:val="0"/>
              <w:spacing w:line="400" w:lineRule="exact"/>
              <w:ind w:firstLine="415" w:firstLineChars="198"/>
              <w:jc w:val="left"/>
              <w:rPr>
                <w:rFonts w:hint="eastAsia" w:ascii="宋体" w:hAnsi="宋体" w:cs="宋体"/>
                <w:kern w:val="0"/>
                <w:sz w:val="21"/>
                <w:szCs w:val="21"/>
                <w:highlight w:val="none"/>
                <w:lang w:val="en-US" w:eastAsia="zh-CN"/>
              </w:rPr>
            </w:pPr>
            <w:r>
              <w:rPr>
                <w:rFonts w:hint="eastAsia" w:ascii="宋体" w:hAnsi="宋体" w:cs="宋体"/>
                <w:kern w:val="0"/>
              </w:rPr>
              <w:t>□</w:t>
            </w:r>
            <w:r>
              <w:rPr>
                <w:rFonts w:hint="eastAsia" w:ascii="宋体" w:hAnsi="宋体" w:cs="宋体"/>
                <w:kern w:val="0"/>
                <w:sz w:val="21"/>
                <w:szCs w:val="21"/>
                <w:highlight w:val="none"/>
                <w:lang w:val="en-US" w:eastAsia="zh-CN"/>
              </w:rPr>
              <w:t>1、设计业绩</w:t>
            </w:r>
          </w:p>
          <w:p>
            <w:pPr>
              <w:autoSpaceDE w:val="0"/>
              <w:autoSpaceDN w:val="0"/>
              <w:adjustRightInd w:val="0"/>
              <w:snapToGrid w:val="0"/>
              <w:spacing w:line="400" w:lineRule="exact"/>
              <w:ind w:firstLine="415" w:firstLineChars="198"/>
              <w:jc w:val="left"/>
              <w:rPr>
                <w:rFonts w:hint="eastAsia" w:ascii="宋体" w:hAnsi="宋体"/>
                <w:szCs w:val="21"/>
                <w:highlight w:val="none"/>
              </w:rPr>
            </w:pPr>
            <w:r>
              <w:rPr>
                <w:rFonts w:hint="eastAsia" w:ascii="宋体" w:hAnsi="宋体" w:eastAsia="宋体" w:cs="宋体"/>
                <w:kern w:val="0"/>
                <w:sz w:val="21"/>
                <w:szCs w:val="21"/>
                <w:highlight w:val="none"/>
                <w:lang w:eastAsia="zh-CN"/>
              </w:rPr>
              <w:t>在通过资格审查的基础上（通过资格审查的业绩不参与商务评审），</w:t>
            </w:r>
            <w:r>
              <w:rPr>
                <w:rFonts w:hint="eastAsia" w:ascii="宋体" w:hAnsi="宋体"/>
                <w:kern w:val="0"/>
                <w:szCs w:val="21"/>
                <w:lang w:val="en-US" w:eastAsia="zh-CN"/>
              </w:rPr>
              <w:t>投标人自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至投标截止日止（以施工图</w:t>
            </w:r>
            <w:r>
              <w:rPr>
                <w:rFonts w:hint="eastAsia" w:ascii="宋体" w:hAnsi="宋体"/>
                <w:szCs w:val="21"/>
                <w:lang w:val="en-US" w:eastAsia="zh-CN"/>
              </w:rPr>
              <w:t>通过备案或批复或</w:t>
            </w:r>
            <w:r>
              <w:rPr>
                <w:rFonts w:hint="eastAsia" w:ascii="宋体" w:hAnsi="宋体"/>
                <w:szCs w:val="21"/>
              </w:rPr>
              <w:t>审查时间为准）</w:t>
            </w:r>
            <w:r>
              <w:rPr>
                <w:rFonts w:hint="eastAsia" w:ascii="宋体" w:hAnsi="宋体"/>
                <w:szCs w:val="21"/>
                <w:lang w:eastAsia="zh-CN"/>
              </w:rPr>
              <w:t>，</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施工图设计</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jc w:val="left"/>
              <w:rPr>
                <w:rFonts w:hint="eastAsia" w:ascii="宋体" w:hAnsi="宋体" w:cs="宋体"/>
                <w:kern w:val="0"/>
                <w:sz w:val="21"/>
                <w:szCs w:val="21"/>
                <w:highlight w:val="none"/>
                <w:lang w:val="en-US" w:eastAsia="zh-CN"/>
              </w:rPr>
            </w:pPr>
            <w:r>
              <w:rPr>
                <w:rFonts w:hint="eastAsia" w:ascii="宋体" w:hAnsi="宋体" w:cs="宋体"/>
                <w:kern w:val="0"/>
              </w:rPr>
              <w:t>□</w:t>
            </w:r>
            <w:r>
              <w:rPr>
                <w:rFonts w:hint="eastAsia" w:ascii="宋体" w:hAnsi="宋体" w:cs="宋体"/>
                <w:kern w:val="0"/>
                <w:sz w:val="21"/>
                <w:szCs w:val="21"/>
                <w:highlight w:val="none"/>
                <w:lang w:val="en-US" w:eastAsia="zh-CN"/>
              </w:rPr>
              <w:t>2、施工业绩</w:t>
            </w:r>
          </w:p>
          <w:p>
            <w:pPr>
              <w:autoSpaceDE w:val="0"/>
              <w:autoSpaceDN w:val="0"/>
              <w:adjustRightInd w:val="0"/>
              <w:snapToGrid w:val="0"/>
              <w:spacing w:line="400" w:lineRule="exact"/>
              <w:ind w:firstLine="415" w:firstLineChars="198"/>
              <w:jc w:val="left"/>
              <w:rPr>
                <w:rFonts w:hint="eastAsia" w:ascii="宋体" w:hAnsi="宋体"/>
                <w:szCs w:val="21"/>
                <w:highlight w:val="none"/>
              </w:rPr>
            </w:pPr>
            <w:r>
              <w:rPr>
                <w:rFonts w:hint="eastAsia" w:ascii="宋体" w:hAnsi="宋体" w:eastAsia="宋体" w:cs="宋体"/>
                <w:kern w:val="0"/>
                <w:sz w:val="21"/>
                <w:szCs w:val="21"/>
                <w:highlight w:val="none"/>
                <w:lang w:eastAsia="zh-CN"/>
              </w:rPr>
              <w:t>在通过资格审查的基础上（通过资格审查的业绩不参与商务评审），</w:t>
            </w:r>
            <w:r>
              <w:rPr>
                <w:rFonts w:hint="eastAsia" w:ascii="宋体" w:hAnsi="宋体"/>
                <w:kern w:val="0"/>
                <w:szCs w:val="21"/>
                <w:lang w:val="en-US" w:eastAsia="zh-CN"/>
              </w:rPr>
              <w:t>投标人自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至投标截止日止（以竣工时间为准）</w:t>
            </w:r>
            <w:r>
              <w:rPr>
                <w:rFonts w:hint="eastAsia" w:ascii="宋体" w:hAnsi="宋体"/>
                <w:szCs w:val="21"/>
                <w:lang w:eastAsia="zh-CN"/>
              </w:rPr>
              <w:t>，</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00" w:lineRule="exact"/>
              <w:ind w:firstLine="415" w:firstLineChars="198"/>
              <w:jc w:val="left"/>
              <w:textAlignment w:val="auto"/>
              <w:rPr>
                <w:rFonts w:hint="eastAsia" w:ascii="宋体" w:hAnsi="宋体"/>
              </w:rPr>
            </w:pPr>
            <w:r>
              <w:rPr>
                <w:rFonts w:hint="eastAsia" w:ascii="宋体" w:hAnsi="宋体"/>
              </w:rPr>
              <w:t>业绩证明材料按投标人须知前附表第1</w:t>
            </w:r>
            <w:r>
              <w:rPr>
                <w:rFonts w:ascii="宋体" w:hAnsi="宋体"/>
              </w:rPr>
              <w:t>.4.1</w:t>
            </w:r>
            <w:r>
              <w:rPr>
                <w:rFonts w:hint="eastAsia" w:ascii="宋体" w:hAnsi="宋体"/>
              </w:rPr>
              <w:t>条第3款</w:t>
            </w:r>
            <w:r>
              <w:rPr>
                <w:rFonts w:hint="eastAsia" w:ascii="宋体" w:hAnsi="宋体"/>
                <w:lang w:val="en-US" w:eastAsia="zh-CN"/>
              </w:rPr>
              <w:t>业绩</w:t>
            </w:r>
            <w:r>
              <w:rPr>
                <w:rFonts w:hint="eastAsia" w:ascii="宋体" w:hAnsi="宋体"/>
              </w:rPr>
              <w:t>要求</w:t>
            </w:r>
            <w:r>
              <w:rPr>
                <w:rFonts w:hint="eastAsia" w:ascii="宋体" w:hAnsi="宋体"/>
                <w:lang w:val="en-US" w:eastAsia="zh-CN"/>
              </w:rPr>
              <w:t>的规定</w:t>
            </w:r>
            <w:r>
              <w:rPr>
                <w:rFonts w:hint="eastAsia" w:ascii="宋体" w:hAnsi="宋体"/>
              </w:rPr>
              <w:t>提供。</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00" w:lineRule="exact"/>
              <w:ind w:firstLine="415" w:firstLineChars="198"/>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□联合体投标的，按</w:t>
            </w:r>
            <w:r>
              <w:rPr>
                <w:rFonts w:hint="eastAsia" w:ascii="宋体" w:hAnsi="宋体" w:cs="宋体"/>
                <w:lang w:val="en-US" w:eastAsia="zh-CN"/>
              </w:rPr>
              <w:t>共同投标协议</w:t>
            </w:r>
            <w:r>
              <w:rPr>
                <w:rFonts w:hint="eastAsia" w:ascii="宋体" w:hAnsi="宋体" w:cs="宋体"/>
                <w:color w:val="auto"/>
                <w:kern w:val="0"/>
                <w:szCs w:val="21"/>
                <w:highlight w:val="none"/>
              </w:rPr>
              <w:t>约定的分工提供。</w:t>
            </w:r>
          </w:p>
          <w:p>
            <w:pPr>
              <w:snapToGrid w:val="0"/>
              <w:spacing w:line="400" w:lineRule="exact"/>
              <w:ind w:firstLine="420" w:firstLineChars="200"/>
              <w:rPr>
                <w:rFonts w:ascii="宋体" w:hAnsi="宋体"/>
                <w:u w:val="single"/>
              </w:rPr>
            </w:pPr>
            <w:r>
              <w:rPr>
                <w:rFonts w:hint="eastAsia" w:ascii="宋体" w:hAnsi="宋体" w:eastAsia="宋体" w:cs="宋体"/>
                <w:color w:val="auto"/>
                <w:kern w:val="0"/>
                <w:sz w:val="21"/>
                <w:szCs w:val="21"/>
                <w:highlight w:val="none"/>
              </w:rPr>
              <w:t>□</w:t>
            </w:r>
            <w:r>
              <w:rPr>
                <w:rFonts w:hint="eastAsia" w:ascii="宋体" w:hAnsi="宋体" w:cs="宋体"/>
                <w:color w:val="auto"/>
                <w:sz w:val="21"/>
                <w:szCs w:val="21"/>
                <w:highlight w:val="none"/>
                <w:lang w:val="en-US" w:eastAsia="zh-CN"/>
              </w:rPr>
              <w:t>如果投标人提供一个</w:t>
            </w:r>
            <w:r>
              <w:rPr>
                <w:rFonts w:hint="eastAsia" w:ascii="宋体" w:hAnsi="宋体" w:eastAsia="宋体" w:cs="宋体"/>
                <w:color w:val="auto"/>
                <w:sz w:val="21"/>
                <w:szCs w:val="21"/>
                <w:highlight w:val="none"/>
                <w:lang w:val="en-US" w:eastAsia="zh-CN"/>
              </w:rPr>
              <w:t>业绩同时满足</w:t>
            </w:r>
            <w:r>
              <w:rPr>
                <w:rFonts w:hint="eastAsia" w:ascii="宋体" w:hAnsi="宋体" w:cs="宋体"/>
                <w:color w:val="auto"/>
                <w:sz w:val="21"/>
                <w:szCs w:val="21"/>
                <w:highlight w:val="none"/>
                <w:lang w:val="en-US" w:eastAsia="zh-CN"/>
              </w:rPr>
              <w:t>以上1、</w:t>
            </w:r>
            <w:r>
              <w:rPr>
                <w:rFonts w:hint="eastAsia" w:ascii="宋体" w:hAnsi="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lang w:eastAsia="zh-CN"/>
              </w:rPr>
              <w:t>业绩</w:t>
            </w:r>
            <w:r>
              <w:rPr>
                <w:rFonts w:hint="eastAsia" w:ascii="宋体" w:hAnsi="宋体" w:eastAsia="宋体" w:cs="宋体"/>
                <w:color w:val="auto"/>
                <w:sz w:val="21"/>
                <w:szCs w:val="21"/>
                <w:highlight w:val="none"/>
                <w:lang w:val="en-US" w:eastAsia="zh-CN"/>
              </w:rPr>
              <w:t>和</w:t>
            </w:r>
            <w:r>
              <w:rPr>
                <w:rFonts w:hint="eastAsia" w:ascii="宋体" w:hAnsi="宋体" w:cs="宋体"/>
                <w:color w:val="auto"/>
                <w:sz w:val="21"/>
                <w:szCs w:val="21"/>
                <w:highlight w:val="none"/>
                <w:lang w:val="en-US" w:eastAsia="zh-CN"/>
              </w:rPr>
              <w:t>2、</w:t>
            </w:r>
            <w:r>
              <w:rPr>
                <w:rFonts w:hint="eastAsia" w:ascii="宋体" w:hAnsi="宋体" w:cs="宋体"/>
                <w:color w:val="auto"/>
                <w:kern w:val="0"/>
                <w:sz w:val="21"/>
                <w:szCs w:val="21"/>
                <w:highlight w:val="none"/>
                <w:lang w:val="en-US" w:eastAsia="zh-CN"/>
              </w:rPr>
              <w:t>施工</w:t>
            </w:r>
            <w:r>
              <w:rPr>
                <w:rFonts w:hint="eastAsia" w:ascii="宋体" w:hAnsi="宋体" w:eastAsia="宋体" w:cs="宋体"/>
                <w:color w:val="auto"/>
                <w:kern w:val="0"/>
                <w:sz w:val="21"/>
                <w:szCs w:val="21"/>
                <w:highlight w:val="none"/>
              </w:rPr>
              <w:t>业绩要求</w:t>
            </w:r>
            <w:r>
              <w:rPr>
                <w:rFonts w:hint="eastAsia" w:ascii="宋体" w:hAnsi="宋体" w:eastAsia="宋体" w:cs="宋体"/>
                <w:color w:val="auto"/>
                <w:kern w:val="0"/>
                <w:sz w:val="21"/>
                <w:szCs w:val="21"/>
                <w:highlight w:val="none"/>
                <w:lang w:eastAsia="zh-CN"/>
              </w:rPr>
              <w:t>的，则</w:t>
            </w:r>
            <w:r>
              <w:rPr>
                <w:rFonts w:hint="eastAsia" w:ascii="宋体" w:hAnsi="宋体" w:cs="宋体"/>
                <w:color w:val="auto"/>
                <w:kern w:val="0"/>
                <w:sz w:val="21"/>
                <w:szCs w:val="21"/>
                <w:highlight w:val="none"/>
                <w:lang w:val="en-US" w:eastAsia="zh-CN"/>
              </w:rPr>
              <w:t>可以同时得分。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rPr>
                <w:rFonts w:ascii="宋体" w:hAnsi="宋体"/>
                <w:kern w:val="0"/>
              </w:rPr>
            </w:pPr>
          </w:p>
        </w:tc>
        <w:tc>
          <w:tcPr>
            <w:tcW w:w="709" w:type="dxa"/>
            <w:vMerge w:val="continue"/>
            <w:tcBorders>
              <w:left w:val="single" w:color="auto" w:sz="4" w:space="0"/>
            </w:tcBorders>
            <w:vAlign w:val="center"/>
          </w:tcPr>
          <w:p>
            <w:pPr>
              <w:spacing w:line="400" w:lineRule="exact"/>
              <w:rPr>
                <w:rFonts w:ascii="宋体" w:hAnsi="宋体"/>
                <w:kern w:val="0"/>
              </w:rPr>
            </w:pPr>
          </w:p>
        </w:tc>
        <w:tc>
          <w:tcPr>
            <w:tcW w:w="2504" w:type="dxa"/>
            <w:gridSpan w:val="3"/>
            <w:vAlign w:val="center"/>
          </w:tcPr>
          <w:p>
            <w:pPr>
              <w:tabs>
                <w:tab w:val="left" w:pos="1875"/>
              </w:tabs>
              <w:spacing w:line="400" w:lineRule="exact"/>
              <w:jc w:val="both"/>
              <w:rPr>
                <w:rFonts w:ascii="宋体" w:hAnsi="宋体" w:cs="宋体"/>
                <w:kern w:val="0"/>
              </w:rPr>
            </w:pPr>
            <w:r>
              <w:rPr>
                <w:rFonts w:hint="eastAsia" w:ascii="宋体" w:hAnsi="宋体" w:cs="宋体"/>
                <w:kern w:val="0"/>
              </w:rPr>
              <w:t>□</w:t>
            </w:r>
            <w:r>
              <w:rPr>
                <w:rFonts w:hint="eastAsia" w:ascii="宋体" w:hAnsi="宋体" w:cs="宋体"/>
                <w:kern w:val="0"/>
                <w:lang w:val="en-US" w:eastAsia="zh-CN"/>
              </w:rPr>
              <w:t>人员</w:t>
            </w:r>
            <w:r>
              <w:rPr>
                <w:rFonts w:hint="eastAsia" w:ascii="宋体" w:hAnsi="宋体" w:cs="宋体"/>
                <w:kern w:val="0"/>
              </w:rPr>
              <w:t>业绩</w:t>
            </w:r>
          </w:p>
        </w:tc>
        <w:tc>
          <w:tcPr>
            <w:tcW w:w="5492" w:type="dxa"/>
            <w:vAlign w:val="center"/>
          </w:tcPr>
          <w:p>
            <w:pPr>
              <w:snapToGrid/>
              <w:spacing w:line="400" w:lineRule="exact"/>
              <w:ind w:firstLine="420" w:firstLineChars="200"/>
              <w:jc w:val="left"/>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参与商务评审的人员业绩总个数不超过3个</w:t>
            </w:r>
            <w:r>
              <w:rPr>
                <w:rFonts w:hint="eastAsia" w:ascii="宋体" w:hAnsi="宋体" w:cs="宋体"/>
                <w:i/>
                <w:color w:val="auto"/>
                <w:kern w:val="0"/>
                <w:szCs w:val="21"/>
                <w:highlight w:val="none"/>
              </w:rPr>
              <w:t>。</w:t>
            </w:r>
            <w:r>
              <w:rPr>
                <w:rFonts w:hint="eastAsia" w:ascii="宋体" w:hAnsi="宋体" w:cs="宋体"/>
                <w:i/>
                <w:iCs/>
                <w:szCs w:val="21"/>
                <w:highlight w:val="none"/>
                <w:lang w:val="en-US" w:eastAsia="zh-CN"/>
              </w:rPr>
              <w:t>设置的人员业绩指标不得超过本项目对应指标。</w:t>
            </w:r>
            <w:r>
              <w:rPr>
                <w:rFonts w:hint="eastAsia" w:ascii="宋体" w:hAnsi="宋体" w:cs="宋体"/>
                <w:i/>
                <w:color w:val="auto"/>
                <w:kern w:val="0"/>
                <w:szCs w:val="21"/>
                <w:highlight w:val="none"/>
              </w:rPr>
              <w:t>]</w:t>
            </w:r>
          </w:p>
          <w:p>
            <w:pPr>
              <w:snapToGrid/>
              <w:spacing w:line="400" w:lineRule="exact"/>
              <w:ind w:firstLine="420" w:firstLineChars="200"/>
              <w:jc w:val="left"/>
              <w:rPr>
                <w:rFonts w:hint="eastAsia" w:ascii="宋体" w:hAnsi="宋体" w:cs="宋体"/>
                <w:color w:val="auto"/>
                <w:highlight w:val="none"/>
                <w:u w:val="none"/>
                <w:lang w:val="en-US" w:eastAsia="zh-CN"/>
              </w:rPr>
            </w:pPr>
            <w:r>
              <w:rPr>
                <w:rFonts w:hint="eastAsia" w:ascii="宋体" w:hAnsi="宋体" w:cs="宋体"/>
                <w:color w:val="auto"/>
                <w:highlight w:val="none"/>
                <w:u w:val="none"/>
                <w:lang w:val="en-US" w:eastAsia="zh-CN"/>
              </w:rPr>
              <w:t>投标人拟派下列人员中，每增加1个业绩</w:t>
            </w:r>
            <w:r>
              <w:rPr>
                <w:rFonts w:hint="eastAsia" w:ascii="宋体" w:hAnsi="宋体" w:eastAsia="宋体" w:cs="宋体"/>
                <w:kern w:val="0"/>
                <w:sz w:val="21"/>
                <w:szCs w:val="21"/>
                <w:highlight w:val="none"/>
                <w:lang w:eastAsia="zh-CN"/>
              </w:rPr>
              <w:t>（通过资格审查的业绩不参与商务评审）</w:t>
            </w:r>
            <w:r>
              <w:rPr>
                <w:rFonts w:hint="eastAsia" w:ascii="宋体" w:hAnsi="宋体" w:cs="宋体"/>
                <w:color w:val="auto"/>
                <w:highlight w:val="none"/>
                <w:u w:val="none"/>
                <w:lang w:val="en-US" w:eastAsia="zh-CN"/>
              </w:rPr>
              <w:t>，得</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snapToGrid/>
              <w:spacing w:line="400" w:lineRule="exact"/>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w:t>
            </w:r>
            <w:r>
              <w:rPr>
                <w:rFonts w:hint="eastAsia" w:ascii="宋体" w:hAnsi="宋体" w:eastAsia="宋体" w:cs="宋体"/>
                <w:color w:val="auto"/>
                <w:highlight w:val="none"/>
                <w:u w:val="none"/>
                <w:lang w:val="en-US" w:eastAsia="zh-CN"/>
              </w:rPr>
              <w:t>工程总承包</w:t>
            </w:r>
            <w:r>
              <w:rPr>
                <w:rFonts w:hint="eastAsia" w:ascii="宋体" w:hAnsi="宋体" w:cs="宋体"/>
                <w:color w:val="auto"/>
                <w:highlight w:val="none"/>
                <w:u w:val="none"/>
                <w:lang w:val="en-US" w:eastAsia="zh-CN"/>
              </w:rPr>
              <w:t>项目经理业绩：</w:t>
            </w:r>
            <w:r>
              <w:rPr>
                <w:rFonts w:hint="eastAsia" w:ascii="宋体" w:hAnsi="宋体" w:cs="宋体"/>
                <w:color w:val="auto"/>
                <w:highlight w:val="none"/>
                <w:u w:val="single"/>
                <w:lang w:val="en-US" w:eastAsia="zh-CN"/>
              </w:rPr>
              <w:t xml:space="preserve">        </w:t>
            </w:r>
          </w:p>
          <w:p>
            <w:pPr>
              <w:snapToGrid/>
              <w:spacing w:line="400" w:lineRule="exact"/>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w:t>
            </w:r>
            <w:r>
              <w:rPr>
                <w:rFonts w:hint="eastAsia" w:ascii="宋体" w:hAnsi="宋体" w:eastAsia="宋体" w:cs="宋体"/>
                <w:color w:val="auto"/>
                <w:highlight w:val="none"/>
                <w:u w:val="none"/>
                <w:lang w:val="en-US" w:eastAsia="zh-CN"/>
              </w:rPr>
              <w:t>设计</w:t>
            </w:r>
            <w:r>
              <w:rPr>
                <w:rFonts w:hint="eastAsia" w:ascii="宋体" w:hAnsi="宋体" w:cs="宋体"/>
                <w:color w:val="auto"/>
                <w:highlight w:val="none"/>
                <w:u w:val="none"/>
                <w:lang w:val="en-US" w:eastAsia="zh-CN"/>
              </w:rPr>
              <w:t>负责人业绩：</w:t>
            </w:r>
            <w:r>
              <w:rPr>
                <w:rFonts w:hint="eastAsia" w:ascii="宋体" w:hAnsi="宋体" w:cs="宋体"/>
                <w:color w:val="auto"/>
                <w:highlight w:val="none"/>
                <w:u w:val="single"/>
                <w:lang w:val="en-US" w:eastAsia="zh-CN"/>
              </w:rPr>
              <w:t xml:space="preserve">        </w:t>
            </w:r>
          </w:p>
          <w:p>
            <w:pPr>
              <w:snapToGrid w:val="0"/>
              <w:spacing w:line="400" w:lineRule="exact"/>
              <w:ind w:firstLine="420" w:firstLineChars="200"/>
              <w:rPr>
                <w:rFonts w:hint="eastAsia" w:ascii="宋体" w:hAnsi="宋体" w:eastAsia="宋体" w:cs="宋体"/>
                <w:color w:val="auto"/>
                <w:highlight w:val="none"/>
                <w:u w:val="single"/>
                <w:lang w:val="en-US" w:eastAsia="zh-CN"/>
              </w:rPr>
            </w:pPr>
            <w:r>
              <w:rPr>
                <w:rFonts w:hint="eastAsia" w:ascii="宋体" w:hAnsi="宋体" w:cs="宋体"/>
                <w:color w:val="auto"/>
                <w:highlight w:val="none"/>
                <w:u w:val="none"/>
                <w:lang w:val="en-US" w:eastAsia="zh-CN"/>
              </w:rPr>
              <w:t>□</w:t>
            </w:r>
            <w:r>
              <w:rPr>
                <w:rFonts w:hint="eastAsia" w:ascii="宋体" w:hAnsi="宋体" w:eastAsia="宋体" w:cs="宋体"/>
                <w:color w:val="auto"/>
                <w:highlight w:val="none"/>
                <w:u w:val="none"/>
                <w:lang w:val="en-US" w:eastAsia="zh-CN"/>
              </w:rPr>
              <w:t>施工负责人</w:t>
            </w:r>
            <w:r>
              <w:rPr>
                <w:rFonts w:hint="eastAsia" w:ascii="宋体" w:hAnsi="宋体" w:cs="宋体"/>
                <w:color w:val="auto"/>
                <w:highlight w:val="none"/>
                <w:u w:val="none"/>
                <w:lang w:val="en-US" w:eastAsia="zh-CN"/>
              </w:rPr>
              <w:t>业绩：</w:t>
            </w:r>
            <w:r>
              <w:rPr>
                <w:rFonts w:hint="eastAsia" w:ascii="宋体" w:hAnsi="宋体" w:cs="宋体"/>
                <w:color w:val="auto"/>
                <w:highlight w:val="none"/>
                <w:u w:val="single"/>
                <w:lang w:val="en-US" w:eastAsia="zh-CN"/>
              </w:rPr>
              <w:t xml:space="preserve">        </w:t>
            </w:r>
          </w:p>
          <w:p>
            <w:pPr>
              <w:snapToGrid w:val="0"/>
              <w:spacing w:line="400" w:lineRule="exact"/>
              <w:ind w:firstLine="420" w:firstLineChars="200"/>
              <w:rPr>
                <w:rFonts w:hint="eastAsia" w:ascii="宋体" w:hAnsi="宋体"/>
              </w:rPr>
            </w:pPr>
            <w:r>
              <w:rPr>
                <w:rFonts w:hint="eastAsia" w:ascii="宋体" w:hAnsi="宋体"/>
              </w:rPr>
              <w:t>业绩证明材料按投标人须知前附表第1</w:t>
            </w:r>
            <w:r>
              <w:rPr>
                <w:rFonts w:ascii="宋体" w:hAnsi="宋体"/>
              </w:rPr>
              <w:t>.4.1</w:t>
            </w:r>
            <w:r>
              <w:rPr>
                <w:rFonts w:hint="eastAsia" w:ascii="宋体" w:hAnsi="宋体"/>
              </w:rPr>
              <w:t>条第</w:t>
            </w:r>
            <w:r>
              <w:rPr>
                <w:rFonts w:hint="eastAsia" w:ascii="宋体" w:hAnsi="宋体"/>
                <w:lang w:val="en-US" w:eastAsia="zh-CN"/>
              </w:rPr>
              <w:t>5</w:t>
            </w:r>
            <w:r>
              <w:rPr>
                <w:rFonts w:hint="eastAsia" w:ascii="宋体" w:hAnsi="宋体"/>
              </w:rPr>
              <w:t>款</w:t>
            </w:r>
            <w:r>
              <w:rPr>
                <w:rFonts w:hint="eastAsia" w:ascii="宋体" w:hAnsi="宋体"/>
                <w:lang w:eastAsia="zh-CN"/>
              </w:rPr>
              <w:t>、</w:t>
            </w:r>
            <w:r>
              <w:rPr>
                <w:rFonts w:hint="eastAsia" w:ascii="宋体" w:hAnsi="宋体"/>
                <w:lang w:val="en-US" w:eastAsia="zh-CN"/>
              </w:rPr>
              <w:t>第6款对应人员的业绩要求</w:t>
            </w:r>
            <w:r>
              <w:rPr>
                <w:rFonts w:hint="eastAsia" w:ascii="宋体" w:hAnsi="宋体"/>
              </w:rPr>
              <w:t>提供。</w:t>
            </w:r>
          </w:p>
          <w:p>
            <w:pPr>
              <w:snapToGrid w:val="0"/>
              <w:spacing w:line="400" w:lineRule="exact"/>
              <w:ind w:firstLine="420" w:firstLineChars="200"/>
              <w:rPr>
                <w:rFonts w:ascii="宋体" w:hAnsi="宋体"/>
                <w:u w:val="single"/>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both"/>
              <w:rPr>
                <w:rFonts w:ascii="宋体" w:hAnsi="宋体" w:cs="宋体"/>
                <w:kern w:val="0"/>
              </w:rPr>
            </w:pPr>
            <w:r>
              <w:rPr>
                <w:rFonts w:hint="eastAsia" w:ascii="宋体" w:hAnsi="宋体" w:cs="宋体"/>
                <w:kern w:val="0"/>
              </w:rPr>
              <w:t>□人员职称（或执业）证书</w:t>
            </w:r>
          </w:p>
        </w:tc>
        <w:tc>
          <w:tcPr>
            <w:tcW w:w="5492" w:type="dxa"/>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w:t>
            </w:r>
            <w:r>
              <w:rPr>
                <w:rFonts w:hint="eastAsia" w:ascii="宋体" w:hAnsi="宋体" w:eastAsia="宋体" w:cs="宋体"/>
                <w:color w:val="auto"/>
                <w:highlight w:val="none"/>
                <w:u w:val="none"/>
                <w:lang w:val="en-US" w:eastAsia="zh-CN"/>
              </w:rPr>
              <w:t>工程总承包</w:t>
            </w: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□设计负责人</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□施工负责人</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特别说明（4）</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napToGrid w:val="0"/>
              <w:spacing w:line="400" w:lineRule="exact"/>
              <w:ind w:firstLine="420" w:firstLineChars="200"/>
              <w:rPr>
                <w:rFonts w:ascii="宋体" w:hAnsi="宋体"/>
                <w:u w:val="single"/>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both"/>
              <w:rPr>
                <w:rFonts w:ascii="宋体" w:hAnsi="宋体" w:cs="宋体"/>
                <w:kern w:val="0"/>
              </w:rPr>
            </w:pPr>
            <w:r>
              <w:rPr>
                <w:rFonts w:hint="eastAsia" w:ascii="宋体" w:hAnsi="宋体" w:cs="宋体"/>
                <w:kern w:val="0"/>
              </w:rPr>
              <w:t>□</w:t>
            </w:r>
            <w:bookmarkStart w:id="790" w:name="OLE_LINK2"/>
            <w:r>
              <w:rPr>
                <w:rFonts w:hint="eastAsia" w:ascii="宋体" w:hAnsi="宋体" w:cs="宋体"/>
                <w:kern w:val="0"/>
              </w:rPr>
              <w:t>获奖情况</w:t>
            </w:r>
            <w:bookmarkEnd w:id="790"/>
          </w:p>
        </w:tc>
        <w:tc>
          <w:tcPr>
            <w:tcW w:w="5492" w:type="dxa"/>
            <w:vAlign w:val="center"/>
          </w:tcPr>
          <w:p>
            <w:pPr>
              <w:snapToGrid w:val="0"/>
              <w:spacing w:line="400" w:lineRule="exact"/>
              <w:ind w:firstLine="420" w:firstLineChars="200"/>
              <w:jc w:val="left"/>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参与商务评审的奖项总个数不超过2个，该项总分不超过2分</w:t>
            </w:r>
            <w:r>
              <w:rPr>
                <w:rFonts w:hint="eastAsia" w:ascii="宋体" w:hAnsi="宋体" w:cs="宋体"/>
                <w:i/>
                <w:color w:val="auto"/>
                <w:kern w:val="0"/>
                <w:szCs w:val="21"/>
                <w:highlight w:val="none"/>
              </w:rPr>
              <w:t>。]</w:t>
            </w:r>
          </w:p>
          <w:p>
            <w:pPr>
              <w:snapToGrid w:val="0"/>
              <w:spacing w:line="400" w:lineRule="exact"/>
              <w:ind w:firstLine="420" w:firstLineChars="200"/>
              <w:jc w:val="left"/>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cs="宋体"/>
                <w:szCs w:val="21"/>
                <w:highlight w:val="none"/>
              </w:rPr>
              <w:t>）</w:t>
            </w:r>
            <w:r>
              <w:rPr>
                <w:rFonts w:hint="eastAsia" w:ascii="宋体" w:hAnsi="宋体" w:cs="宋体"/>
                <w:szCs w:val="21"/>
                <w:highlight w:val="none"/>
                <w:lang w:eastAsia="zh-CN"/>
              </w:rPr>
              <w:t>，</w:t>
            </w:r>
            <w:r>
              <w:rPr>
                <w:rFonts w:hint="eastAsia" w:ascii="宋体" w:hAnsi="宋体" w:cs="宋体"/>
                <w:color w:val="auto"/>
                <w:highlight w:val="none"/>
                <w:u w:val="single"/>
                <w:lang w:val="en-US" w:eastAsia="zh-CN"/>
              </w:rPr>
              <w:t>投标人（或拟派人员）</w:t>
            </w:r>
            <w:r>
              <w:rPr>
                <w:rFonts w:hint="eastAsia" w:ascii="宋体" w:hAnsi="宋体" w:cs="宋体"/>
                <w:color w:val="auto"/>
                <w:highlight w:val="none"/>
                <w:u w:val="none"/>
                <w:lang w:val="en-US" w:eastAsia="zh-CN"/>
              </w:rPr>
              <w:t>承担（或参与）的项目获得过国家级奖项，每有1个得</w:t>
            </w:r>
            <w:r>
              <w:rPr>
                <w:rFonts w:hint="eastAsia" w:ascii="宋体" w:hAnsi="宋体" w:cs="宋体"/>
                <w:color w:val="auto"/>
                <w:highlight w:val="none"/>
                <w:u w:val="single"/>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获奖</w:t>
            </w:r>
            <w:r>
              <w:rPr>
                <w:rFonts w:hint="eastAsia" w:ascii="宋体" w:hAnsi="宋体" w:eastAsia="宋体" w:cs="宋体"/>
                <w:color w:val="auto"/>
                <w:szCs w:val="21"/>
                <w:highlight w:val="none"/>
                <w:lang w:val="en-US"/>
              </w:rPr>
              <w:t>证书</w:t>
            </w:r>
            <w:r>
              <w:rPr>
                <w:rFonts w:hint="eastAsia" w:ascii="宋体" w:hAnsi="宋体" w:eastAsia="宋体" w:cs="宋体"/>
                <w:color w:val="auto"/>
                <w:szCs w:val="21"/>
                <w:highlight w:val="none"/>
                <w:lang w:val="en-US" w:eastAsia="zh-CN"/>
              </w:rPr>
              <w:t>或获奖证明材料</w:t>
            </w:r>
            <w:r>
              <w:rPr>
                <w:rFonts w:hint="eastAsia" w:ascii="宋体" w:hAnsi="宋体" w:eastAsia="宋体" w:cs="宋体"/>
                <w:color w:val="auto"/>
                <w:szCs w:val="21"/>
                <w:highlight w:val="none"/>
              </w:rPr>
              <w:t>。</w:t>
            </w:r>
          </w:p>
          <w:p>
            <w:pPr>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cs="宋体"/>
                <w:kern w:val="0"/>
                <w:szCs w:val="21"/>
              </w:rPr>
              <w:t>□联合体投标的，</w:t>
            </w:r>
            <w:r>
              <w:rPr>
                <w:rFonts w:hint="eastAsia" w:ascii="宋体" w:hAnsi="宋体" w:cs="宋体"/>
                <w:kern w:val="0"/>
                <w:szCs w:val="21"/>
                <w:lang w:val="en-US" w:eastAsia="zh-CN"/>
              </w:rPr>
              <w:t>由联合体任一单位提供</w:t>
            </w:r>
            <w:r>
              <w:rPr>
                <w:rFonts w:hint="eastAsia" w:ascii="宋体" w:hAnsi="宋体" w:cs="宋体"/>
                <w:kern w:val="0"/>
                <w:szCs w:val="21"/>
              </w:rPr>
              <w:t>。</w:t>
            </w:r>
          </w:p>
          <w:p>
            <w:pPr>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注：国家级奖项是指：</w:t>
            </w:r>
            <w:r>
              <w:rPr>
                <w:rFonts w:hint="eastAsia" w:ascii="宋体" w:hAnsi="宋体"/>
                <w:color w:val="auto"/>
                <w:highlight w:val="none"/>
                <w:u w:val="none"/>
              </w:rPr>
              <w:t>国家住房和城乡建设部评选的</w:t>
            </w:r>
            <w:r>
              <w:rPr>
                <w:rFonts w:hint="eastAsia" w:ascii="宋体" w:hAnsi="宋体"/>
                <w:color w:val="auto"/>
                <w:highlight w:val="none"/>
                <w:u w:val="none"/>
                <w:lang w:eastAsia="zh-CN"/>
              </w:rPr>
              <w:t>“</w:t>
            </w:r>
            <w:r>
              <w:rPr>
                <w:rFonts w:hint="eastAsia" w:ascii="宋体" w:hAnsi="宋体"/>
                <w:color w:val="auto"/>
                <w:highlight w:val="none"/>
                <w:u w:val="none"/>
              </w:rPr>
              <w:t>全国优秀工程勘察设计奖</w:t>
            </w:r>
            <w:r>
              <w:rPr>
                <w:rFonts w:hint="eastAsia" w:ascii="宋体" w:hAnsi="宋体"/>
                <w:color w:val="auto"/>
                <w:highlight w:val="none"/>
                <w:u w:val="none"/>
                <w:lang w:eastAsia="zh-CN"/>
              </w:rPr>
              <w:t>”；国家住房和城乡建设部评选的“绿色建筑创新奖”；</w:t>
            </w:r>
            <w:r>
              <w:rPr>
                <w:rFonts w:hint="eastAsia" w:ascii="宋体" w:hAnsi="宋体"/>
                <w:color w:val="auto"/>
                <w:highlight w:val="none"/>
                <w:u w:val="none"/>
              </w:rPr>
              <w:t>中国建筑学会评选的</w:t>
            </w:r>
            <w:r>
              <w:rPr>
                <w:rFonts w:hint="eastAsia" w:ascii="宋体" w:hAnsi="宋体"/>
                <w:color w:val="auto"/>
                <w:highlight w:val="none"/>
                <w:u w:val="none"/>
                <w:lang w:eastAsia="zh-CN"/>
              </w:rPr>
              <w:t>“</w:t>
            </w:r>
            <w:r>
              <w:rPr>
                <w:rFonts w:hint="eastAsia" w:ascii="宋体" w:hAnsi="宋体"/>
                <w:color w:val="auto"/>
                <w:highlight w:val="none"/>
                <w:u w:val="none"/>
              </w:rPr>
              <w:t>建筑设计奖</w:t>
            </w:r>
            <w:r>
              <w:rPr>
                <w:rFonts w:hint="eastAsia" w:ascii="宋体" w:hAnsi="宋体"/>
                <w:color w:val="auto"/>
                <w:highlight w:val="none"/>
                <w:u w:val="none"/>
                <w:lang w:eastAsia="zh-CN"/>
              </w:rPr>
              <w:t>”</w:t>
            </w:r>
            <w:r>
              <w:rPr>
                <w:rFonts w:hint="eastAsia" w:ascii="宋体" w:hAnsi="宋体"/>
                <w:color w:val="auto"/>
                <w:highlight w:val="none"/>
                <w:u w:val="none"/>
              </w:rPr>
              <w:t>；中国勘察设计协会评选的</w:t>
            </w:r>
            <w:r>
              <w:rPr>
                <w:rFonts w:hint="eastAsia" w:ascii="宋体" w:hAnsi="宋体"/>
                <w:color w:val="auto"/>
                <w:highlight w:val="none"/>
                <w:u w:val="none"/>
                <w:lang w:eastAsia="zh-CN"/>
              </w:rPr>
              <w:t>“</w:t>
            </w:r>
            <w:r>
              <w:rPr>
                <w:rFonts w:hint="eastAsia" w:ascii="宋体" w:hAnsi="宋体"/>
                <w:color w:val="auto"/>
                <w:highlight w:val="none"/>
                <w:u w:val="none"/>
              </w:rPr>
              <w:t>工程勘察、建筑设计行业和市政公用工程优秀勘察设计奖</w:t>
            </w:r>
            <w:r>
              <w:rPr>
                <w:rFonts w:hint="eastAsia" w:ascii="宋体" w:hAnsi="宋体"/>
                <w:color w:val="auto"/>
                <w:highlight w:val="none"/>
                <w:u w:val="none"/>
                <w:lang w:eastAsia="zh-CN"/>
              </w:rPr>
              <w:t>”</w:t>
            </w:r>
            <w:r>
              <w:rPr>
                <w:rFonts w:hint="eastAsia" w:ascii="宋体" w:hAnsi="宋体"/>
                <w:color w:val="auto"/>
                <w:highlight w:val="none"/>
                <w:u w:val="none"/>
              </w:rPr>
              <w:t>或</w:t>
            </w:r>
            <w:r>
              <w:rPr>
                <w:rFonts w:hint="eastAsia" w:ascii="宋体" w:hAnsi="宋体"/>
                <w:color w:val="auto"/>
                <w:highlight w:val="none"/>
                <w:u w:val="none"/>
                <w:lang w:eastAsia="zh-CN"/>
              </w:rPr>
              <w:t>“</w:t>
            </w:r>
            <w:r>
              <w:rPr>
                <w:rFonts w:hint="eastAsia" w:ascii="宋体" w:hAnsi="宋体"/>
                <w:color w:val="auto"/>
                <w:highlight w:val="none"/>
                <w:u w:val="none"/>
              </w:rPr>
              <w:t>全国优秀工程勘察设计行业奖</w:t>
            </w:r>
            <w:r>
              <w:rPr>
                <w:rFonts w:hint="eastAsia" w:ascii="宋体" w:hAnsi="宋体"/>
                <w:color w:val="auto"/>
                <w:highlight w:val="none"/>
                <w:u w:val="none"/>
                <w:lang w:eastAsia="zh-CN"/>
              </w:rPr>
              <w:t>”；</w:t>
            </w:r>
            <w:r>
              <w:rPr>
                <w:rFonts w:hint="eastAsia"/>
                <w:color w:val="auto"/>
                <w:highlight w:val="none"/>
                <w:u w:val="none"/>
              </w:rPr>
              <w:t>中国建筑学会评选的“梁思成建筑奖”</w:t>
            </w:r>
            <w:r>
              <w:rPr>
                <w:rFonts w:hint="eastAsia"/>
                <w:color w:val="auto"/>
                <w:highlight w:val="none"/>
                <w:u w:val="none"/>
                <w:lang w:eastAsia="zh-CN"/>
              </w:rPr>
              <w:t>；</w:t>
            </w:r>
            <w:r>
              <w:rPr>
                <w:rFonts w:hint="eastAsia" w:ascii="宋体" w:hAnsi="宋体" w:eastAsia="宋体" w:cs="宋体"/>
                <w:color w:val="auto"/>
                <w:szCs w:val="21"/>
                <w:highlight w:val="none"/>
              </w:rPr>
              <w:t>中国建筑业协会评选的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w:t>
            </w:r>
            <w:r>
              <w:rPr>
                <w:rFonts w:hint="eastAsia" w:ascii="宋体" w:hAnsi="宋体" w:eastAsia="宋体" w:cs="宋体"/>
                <w:color w:val="auto"/>
                <w:szCs w:val="21"/>
                <w:highlight w:val="none"/>
                <w:lang w:eastAsia="zh-CN"/>
              </w:rPr>
              <w:t>建设</w:t>
            </w:r>
            <w:r>
              <w:rPr>
                <w:rFonts w:hint="eastAsia" w:ascii="宋体" w:hAnsi="宋体" w:eastAsia="宋体" w:cs="宋体"/>
                <w:color w:val="auto"/>
                <w:szCs w:val="21"/>
                <w:highlight w:val="none"/>
              </w:rPr>
              <w:t>工程鲁班奖（国家优质工程）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；中国土木工程学会评选的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中国土木工程詹天佑奖</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；中国施工企业管理协会评选的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国家优质工程奖</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拟建项目为</w:t>
            </w:r>
            <w:r>
              <w:rPr>
                <w:rFonts w:hint="eastAsia" w:ascii="宋体" w:hAnsi="宋体" w:eastAsia="宋体" w:cs="宋体"/>
                <w:color w:val="auto"/>
                <w:szCs w:val="21"/>
                <w:highlight w:val="none"/>
              </w:rPr>
              <w:t>市政基础设施工程</w:t>
            </w:r>
            <w:r>
              <w:rPr>
                <w:rFonts w:hint="eastAsia" w:ascii="宋体" w:hAnsi="宋体" w:eastAsia="宋体" w:cs="宋体"/>
                <w:color w:val="auto"/>
                <w:szCs w:val="21"/>
                <w:highlight w:val="none"/>
                <w:lang w:val="en-US" w:eastAsia="zh-CN"/>
              </w:rPr>
              <w:t>的，还包括</w:t>
            </w:r>
            <w:r>
              <w:rPr>
                <w:rFonts w:hint="eastAsia" w:ascii="宋体" w:hAnsi="宋体" w:eastAsia="宋体" w:cs="宋体"/>
                <w:color w:val="auto"/>
                <w:szCs w:val="21"/>
                <w:highlight w:val="none"/>
              </w:rPr>
              <w:t>中国市政工程协会</w:t>
            </w:r>
            <w:r>
              <w:rPr>
                <w:rFonts w:hint="eastAsia" w:ascii="宋体" w:hAnsi="宋体" w:eastAsia="宋体" w:cs="宋体"/>
                <w:color w:val="auto"/>
                <w:szCs w:val="21"/>
                <w:highlight w:val="none"/>
                <w:lang w:val="en-US" w:eastAsia="zh-CN"/>
              </w:rPr>
              <w:t>评选的“</w:t>
            </w:r>
            <w:r>
              <w:rPr>
                <w:rFonts w:hint="eastAsia" w:ascii="宋体" w:hAnsi="宋体" w:eastAsia="宋体" w:cs="宋体"/>
                <w:color w:val="auto"/>
                <w:szCs w:val="21"/>
                <w:highlight w:val="none"/>
              </w:rPr>
              <w:t>全国市政金杯示范工程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奖；□拟建项目工作内容以钢结构工程为主的，还包括中国建筑金属结构协会评选的“中国钢结构金奖”；□拟建项目工作内容以安装工程为主的，还包括中国安装协会评选的“中国安装之星”；</w:t>
            </w:r>
          </w:p>
          <w:p>
            <w:pPr>
              <w:snapToGrid w:val="0"/>
              <w:spacing w:line="400" w:lineRule="exact"/>
              <w:ind w:firstLine="420" w:firstLineChars="200"/>
              <w:rPr>
                <w:rFonts w:ascii="宋体" w:hAnsi="宋体"/>
                <w:u w:val="single"/>
              </w:rPr>
            </w:pP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 w:val="21"/>
                <w:szCs w:val="21"/>
                <w:highlight w:val="none"/>
                <w:u w:val="none"/>
                <w:lang w:val="en-US" w:eastAsia="zh-CN"/>
              </w:rPr>
              <w:t>[提示：可填写《全国评比达标表彰保留项目目录》中，与本项目相关的国家级奖项</w:t>
            </w:r>
            <w:r>
              <w:rPr>
                <w:rFonts w:hint="eastAsia" w:ascii="宋体" w:hAnsi="宋体" w:eastAsia="宋体" w:cs="宋体"/>
                <w:i/>
                <w:iCs/>
                <w:color w:val="auto"/>
                <w:szCs w:val="21"/>
                <w:highlight w:val="none"/>
                <w:lang w:val="en-US" w:eastAsia="zh-CN"/>
              </w:rPr>
              <w:t>。]</w:t>
            </w:r>
            <w:r>
              <w:rPr>
                <w:rFonts w:hint="eastAsia" w:ascii="宋体" w:hAnsi="宋体" w:eastAsia="宋体" w:cs="宋体"/>
                <w:color w:val="auto"/>
                <w:szCs w:val="21"/>
                <w:highlight w:val="none"/>
                <w:u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2.2.2（3）</w:t>
            </w:r>
          </w:p>
        </w:tc>
        <w:tc>
          <w:tcPr>
            <w:tcW w:w="709" w:type="dxa"/>
            <w:vMerge w:val="restart"/>
            <w:tcBorders>
              <w:left w:val="single" w:color="auto" w:sz="4" w:space="0"/>
            </w:tcBorders>
            <w:vAlign w:val="center"/>
          </w:tcPr>
          <w:p>
            <w:pPr>
              <w:spacing w:line="400" w:lineRule="exact"/>
              <w:rPr>
                <w:rFonts w:ascii="宋体" w:hAnsi="宋体"/>
                <w:kern w:val="0"/>
              </w:rPr>
            </w:pPr>
            <w:r>
              <w:rPr>
                <w:rFonts w:hint="eastAsia" w:ascii="宋体" w:hAnsi="宋体"/>
                <w:kern w:val="0"/>
              </w:rPr>
              <w:t>投标</w:t>
            </w:r>
            <w:r>
              <w:rPr>
                <w:rFonts w:ascii="宋体" w:hAnsi="宋体"/>
                <w:kern w:val="0"/>
              </w:rPr>
              <w:t>函</w:t>
            </w:r>
            <w:r>
              <w:rPr>
                <w:rFonts w:hint="eastAsia" w:ascii="宋体" w:hAnsi="宋体"/>
                <w:kern w:val="0"/>
              </w:rPr>
              <w:t>部分</w:t>
            </w:r>
            <w:r>
              <w:rPr>
                <w:rFonts w:ascii="宋体" w:hAnsi="宋体"/>
                <w:kern w:val="0"/>
              </w:rPr>
              <w:t>及</w:t>
            </w:r>
            <w:r>
              <w:rPr>
                <w:rFonts w:hint="eastAsia" w:ascii="宋体" w:hAnsi="宋体"/>
                <w:kern w:val="0"/>
                <w:lang w:eastAsia="zh-CN"/>
              </w:rPr>
              <w:t>报价</w:t>
            </w:r>
            <w:r>
              <w:rPr>
                <w:rFonts w:ascii="宋体" w:hAnsi="宋体"/>
                <w:kern w:val="0"/>
              </w:rPr>
              <w:t>部分</w:t>
            </w:r>
            <w:r>
              <w:rPr>
                <w:rFonts w:hint="eastAsia" w:ascii="宋体" w:hAnsi="宋体"/>
                <w:kern w:val="0"/>
              </w:rPr>
              <w:t>评审标准</w:t>
            </w:r>
          </w:p>
        </w:tc>
        <w:tc>
          <w:tcPr>
            <w:tcW w:w="2504" w:type="dxa"/>
            <w:gridSpan w:val="3"/>
            <w:vAlign w:val="center"/>
          </w:tcPr>
          <w:p>
            <w:pPr>
              <w:tabs>
                <w:tab w:val="left" w:pos="1875"/>
              </w:tabs>
              <w:spacing w:line="400" w:lineRule="exact"/>
              <w:jc w:val="left"/>
              <w:rPr>
                <w:rFonts w:ascii="宋体" w:hAnsi="宋体" w:cs="宋体"/>
                <w:kern w:val="0"/>
              </w:rPr>
            </w:pPr>
            <w:r>
              <w:rPr>
                <w:rFonts w:hint="eastAsia" w:ascii="宋体" w:hAnsi="宋体" w:cs="宋体"/>
                <w:kern w:val="0"/>
              </w:rPr>
              <w:t>投标函部分的签名盖章</w:t>
            </w:r>
          </w:p>
        </w:tc>
        <w:tc>
          <w:tcPr>
            <w:tcW w:w="5492" w:type="dxa"/>
            <w:vAlign w:val="center"/>
          </w:tcPr>
          <w:p>
            <w:pPr>
              <w:snapToGrid w:val="0"/>
              <w:spacing w:line="400" w:lineRule="exact"/>
              <w:ind w:firstLine="420" w:firstLineChars="200"/>
              <w:rPr>
                <w:rFonts w:ascii="宋体" w:hAnsi="宋体" w:cs="宋体"/>
                <w:kern w:val="0"/>
              </w:rPr>
            </w:pPr>
            <w:r>
              <w:rPr>
                <w:rFonts w:ascii="宋体" w:hAnsi="宋体" w:cs="宋体"/>
                <w:kern w:val="0"/>
              </w:rPr>
              <w:t>投标函部分的格式</w:t>
            </w:r>
            <w:r>
              <w:rPr>
                <w:rFonts w:hint="eastAsia" w:ascii="宋体" w:hAnsi="宋体" w:cs="宋体"/>
                <w:kern w:val="0"/>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pPr>
              <w:snapToGrid w:val="0"/>
              <w:spacing w:line="400" w:lineRule="exact"/>
              <w:ind w:firstLine="420" w:firstLineChars="200"/>
              <w:rPr>
                <w:rFonts w:ascii="宋体" w:hAnsi="宋体"/>
                <w:u w:val="single"/>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cs="宋体"/>
                <w:kern w:val="0"/>
              </w:rPr>
            </w:pPr>
            <w:r>
              <w:rPr>
                <w:rFonts w:ascii="宋体" w:hAnsi="宋体"/>
                <w:kern w:val="0"/>
              </w:rPr>
              <w:t>工期</w:t>
            </w:r>
          </w:p>
        </w:tc>
        <w:tc>
          <w:tcPr>
            <w:tcW w:w="5492" w:type="dxa"/>
            <w:vAlign w:val="center"/>
          </w:tcPr>
          <w:p>
            <w:pPr>
              <w:snapToGrid w:val="0"/>
              <w:spacing w:line="400" w:lineRule="exact"/>
              <w:ind w:firstLine="420" w:firstLineChars="200"/>
              <w:rPr>
                <w:rFonts w:ascii="宋体" w:hAnsi="宋体"/>
                <w:u w:val="single"/>
              </w:rPr>
            </w:pPr>
            <w:r>
              <w:rPr>
                <w:rFonts w:ascii="宋体" w:hAnsi="宋体"/>
                <w:kern w:val="0"/>
              </w:rPr>
              <w:t>符合第二章“投标人须知”第1.3.2项规定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cs="宋体"/>
                <w:kern w:val="0"/>
              </w:rPr>
            </w:pPr>
            <w:r>
              <w:rPr>
                <w:rFonts w:hint="eastAsia" w:ascii="宋体" w:hAnsi="宋体"/>
                <w:kern w:val="0"/>
              </w:rPr>
              <w:t>质量标准</w:t>
            </w:r>
          </w:p>
        </w:tc>
        <w:tc>
          <w:tcPr>
            <w:tcW w:w="5492" w:type="dxa"/>
            <w:vAlign w:val="center"/>
          </w:tcPr>
          <w:p>
            <w:pPr>
              <w:snapToGrid w:val="0"/>
              <w:spacing w:line="400" w:lineRule="exact"/>
              <w:ind w:firstLine="420" w:firstLineChars="200"/>
              <w:rPr>
                <w:rFonts w:ascii="宋体" w:hAnsi="宋体"/>
                <w:u w:val="single"/>
              </w:rPr>
            </w:pPr>
            <w:r>
              <w:rPr>
                <w:rFonts w:ascii="宋体" w:hAnsi="宋体"/>
                <w:kern w:val="0"/>
              </w:rPr>
              <w:t>符合第二章“投标人须知”第1.3.3项规定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cs="宋体"/>
                <w:kern w:val="0"/>
              </w:rPr>
            </w:pPr>
            <w:r>
              <w:rPr>
                <w:rFonts w:ascii="宋体" w:hAnsi="宋体"/>
                <w:kern w:val="0"/>
              </w:rPr>
              <w:t>投标有效期</w:t>
            </w:r>
          </w:p>
        </w:tc>
        <w:tc>
          <w:tcPr>
            <w:tcW w:w="5492" w:type="dxa"/>
            <w:vAlign w:val="center"/>
          </w:tcPr>
          <w:p>
            <w:pPr>
              <w:snapToGrid w:val="0"/>
              <w:spacing w:line="400" w:lineRule="exact"/>
              <w:ind w:firstLine="420" w:firstLineChars="200"/>
              <w:rPr>
                <w:rFonts w:ascii="宋体" w:hAnsi="宋体"/>
                <w:u w:val="single"/>
              </w:rPr>
            </w:pPr>
            <w:r>
              <w:rPr>
                <w:rFonts w:ascii="宋体" w:hAnsi="宋体"/>
                <w:kern w:val="0"/>
              </w:rPr>
              <w:t>符合第二章“投标人须知”第3.3.1项规定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kern w:val="0"/>
              </w:rPr>
            </w:pPr>
            <w:r>
              <w:rPr>
                <w:rFonts w:ascii="宋体" w:hAnsi="宋体"/>
                <w:kern w:val="0"/>
              </w:rPr>
              <w:t>投标报价</w:t>
            </w:r>
          </w:p>
        </w:tc>
        <w:tc>
          <w:tcPr>
            <w:tcW w:w="5492" w:type="dxa"/>
            <w:vAlign w:val="center"/>
          </w:tcPr>
          <w:p>
            <w:pPr>
              <w:snapToGrid w:val="0"/>
              <w:spacing w:line="400" w:lineRule="exact"/>
              <w:ind w:firstLine="420" w:firstLineChars="200"/>
              <w:rPr>
                <w:rFonts w:hint="eastAsia"/>
              </w:rPr>
            </w:pPr>
            <w:r>
              <w:rPr>
                <w:rFonts w:hint="eastAsia"/>
              </w:rPr>
              <w:t>1</w:t>
            </w:r>
            <w:r>
              <w:t>.投标总报价不得高于招标人公布的投标总报价最高限价</w:t>
            </w:r>
            <w:r>
              <w:rPr>
                <w:rFonts w:hint="eastAsia"/>
              </w:rPr>
              <w:t>。投标分项报价不得高于招标人公布的投标分项报价最高限价。投标总报价与依据分项</w:t>
            </w:r>
            <w:r>
              <w:t>报价、</w:t>
            </w:r>
            <w:r>
              <w:rPr>
                <w:rFonts w:hint="eastAsia"/>
              </w:rPr>
              <w:t>单价/费率报价计算出的结果应一致。</w:t>
            </w:r>
          </w:p>
          <w:p>
            <w:pPr>
              <w:snapToGrid w:val="0"/>
              <w:spacing w:line="400" w:lineRule="exact"/>
              <w:ind w:firstLine="420" w:firstLineChars="200"/>
            </w:pPr>
            <w:r>
              <w:rPr>
                <w:rFonts w:hint="eastAsia" w:ascii="宋体" w:hAnsi="宋体" w:eastAsia="宋体" w:cs="宋体"/>
                <w:color w:val="auto"/>
                <w:szCs w:val="21"/>
                <w:highlight w:val="none"/>
                <w:lang w:val="en-US" w:eastAsia="zh-CN"/>
              </w:rPr>
              <w:t>□</w:t>
            </w:r>
            <w:r>
              <w:rPr>
                <w:rFonts w:hint="eastAsia" w:ascii="宋体" w:hAnsi="宋体" w:cs="宋体"/>
                <w:kern w:val="0"/>
                <w:lang w:val="en-US" w:eastAsia="zh-CN"/>
              </w:rPr>
              <w:t>2.</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kern w:val="0"/>
              </w:rPr>
            </w:pPr>
            <w:r>
              <w:rPr>
                <w:rFonts w:hint="eastAsia" w:ascii="宋体" w:hAnsi="宋体"/>
                <w:kern w:val="0"/>
              </w:rPr>
              <w:t>暂定金额（暂列金）</w:t>
            </w:r>
          </w:p>
        </w:tc>
        <w:tc>
          <w:tcPr>
            <w:tcW w:w="5492" w:type="dxa"/>
            <w:vAlign w:val="center"/>
          </w:tcPr>
          <w:p>
            <w:pPr>
              <w:snapToGrid w:val="0"/>
              <w:spacing w:line="400" w:lineRule="exact"/>
              <w:ind w:firstLine="420" w:firstLineChars="200"/>
              <w:rPr>
                <w:rFonts w:ascii="宋体" w:hAnsi="宋体"/>
                <w:kern w:val="0"/>
              </w:rPr>
            </w:pPr>
            <w:r>
              <w:rPr>
                <w:rFonts w:hint="eastAsia" w:ascii="宋体" w:hAnsi="宋体"/>
                <w:kern w:val="0"/>
              </w:rPr>
              <w:t>暂定金额（暂列金）必须按照招标文件给定的金额填报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kern w:val="0"/>
              </w:rPr>
            </w:pPr>
            <w:r>
              <w:rPr>
                <w:rFonts w:ascii="宋体" w:hAnsi="宋体"/>
                <w:kern w:val="0"/>
              </w:rPr>
              <w:t>报价唯一</w:t>
            </w:r>
          </w:p>
        </w:tc>
        <w:tc>
          <w:tcPr>
            <w:tcW w:w="5492" w:type="dxa"/>
            <w:vAlign w:val="center"/>
          </w:tcPr>
          <w:p>
            <w:pPr>
              <w:snapToGrid w:val="0"/>
              <w:spacing w:line="400" w:lineRule="exact"/>
              <w:ind w:firstLine="420" w:firstLineChars="200"/>
              <w:rPr>
                <w:rFonts w:ascii="宋体" w:hAnsi="宋体"/>
                <w:kern w:val="0"/>
              </w:rPr>
            </w:pPr>
            <w:r>
              <w:rPr>
                <w:rFonts w:ascii="宋体" w:hAnsi="宋体"/>
                <w:kern w:val="0"/>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rPr>
                <w:rFonts w:ascii="宋体" w:hAnsi="宋体" w:cs="宋体"/>
                <w:kern w:val="0"/>
              </w:rPr>
            </w:pPr>
            <w:r>
              <w:rPr>
                <w:rFonts w:hint="eastAsia" w:ascii="宋体" w:hAnsi="宋体" w:cs="宋体"/>
                <w:kern w:val="0"/>
              </w:rPr>
              <w:t>已标价招标清单（如有）</w:t>
            </w:r>
          </w:p>
        </w:tc>
        <w:tc>
          <w:tcPr>
            <w:tcW w:w="5492" w:type="dxa"/>
            <w:vAlign w:val="center"/>
          </w:tcPr>
          <w:p>
            <w:pPr>
              <w:snapToGrid w:val="0"/>
              <w:spacing w:after="31" w:afterLines="10" w:line="400" w:lineRule="exact"/>
              <w:ind w:firstLine="420" w:firstLineChars="200"/>
            </w:pPr>
            <w:r>
              <w:rPr>
                <w:rFonts w:hint="eastAsia"/>
              </w:rPr>
              <w:t>1.投标人必须按招标清单要求填报价格。</w:t>
            </w:r>
          </w:p>
          <w:p>
            <w:pPr>
              <w:snapToGrid w:val="0"/>
              <w:spacing w:line="400" w:lineRule="exact"/>
              <w:ind w:firstLine="420" w:firstLineChars="200"/>
              <w:rPr>
                <w:rFonts w:hint="eastAsia"/>
              </w:rPr>
            </w:pPr>
            <w:r>
              <w:rPr>
                <w:rFonts w:hint="eastAsia"/>
              </w:rPr>
              <w:t>2.每项清单综合单价报价不得超过每项清单综合单价最高限价。</w:t>
            </w:r>
          </w:p>
          <w:p>
            <w:pPr>
              <w:snapToGrid w:val="0"/>
              <w:spacing w:line="400" w:lineRule="exact"/>
              <w:ind w:firstLine="420" w:firstLineChars="200"/>
            </w:pPr>
            <w:r>
              <w:rPr>
                <w:rFonts w:hint="eastAsia" w:ascii="宋体" w:hAnsi="宋体" w:cs="宋体"/>
                <w:kern w:val="0"/>
                <w:lang w:val="en-US" w:eastAsia="zh-CN"/>
              </w:rPr>
              <w:t>3.</w:t>
            </w:r>
            <w:r>
              <w:rPr>
                <w:rFonts w:hint="default" w:ascii="宋体" w:hAnsi="宋体"/>
                <w:kern w:val="0"/>
                <w:szCs w:val="21"/>
                <w:u w:val="none"/>
              </w:rPr>
              <w:t>投标人的</w:t>
            </w:r>
            <w:r>
              <w:rPr>
                <w:rFonts w:hint="eastAsia" w:ascii="宋体" w:hAnsi="宋体"/>
                <w:kern w:val="0"/>
                <w:szCs w:val="21"/>
                <w:u w:val="none"/>
                <w:lang w:val="en-US" w:eastAsia="zh-CN"/>
              </w:rPr>
              <w:t>清单综合单项报价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04" w:type="dxa"/>
            <w:gridSpan w:val="3"/>
            <w:vAlign w:val="center"/>
          </w:tcPr>
          <w:p>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492" w:type="dxa"/>
            <w:vAlign w:val="center"/>
          </w:tcPr>
          <w:p>
            <w:pPr>
              <w:snapToGrid w:val="0"/>
              <w:spacing w:line="400" w:lineRule="exact"/>
              <w:ind w:firstLine="420" w:firstLineChars="200"/>
              <w:rPr>
                <w:rFonts w:ascii="宋体" w:hAnsi="宋体"/>
                <w:u w:val="single"/>
              </w:rPr>
            </w:pPr>
            <w:r>
              <w:rPr>
                <w:rFonts w:ascii="宋体" w:hAnsi="宋体"/>
                <w:kern w:val="0"/>
              </w:rPr>
              <w:t>符合第三章</w:t>
            </w:r>
            <w:r>
              <w:rPr>
                <w:rFonts w:hint="eastAsia" w:ascii="宋体" w:hAnsi="宋体" w:cs="宋体"/>
                <w:kern w:val="0"/>
              </w:rPr>
              <w:t>“评标办法”</w:t>
            </w:r>
            <w:r>
              <w:rPr>
                <w:rFonts w:ascii="宋体" w:hAnsi="宋体"/>
                <w:kern w:val="0"/>
              </w:rPr>
              <w:t>第3.</w:t>
            </w:r>
            <w:r>
              <w:rPr>
                <w:rFonts w:hint="eastAsia" w:ascii="宋体" w:hAnsi="宋体"/>
                <w:kern w:val="0"/>
              </w:rPr>
              <w:t>2</w:t>
            </w:r>
            <w:r>
              <w:rPr>
                <w:rFonts w:ascii="宋体" w:hAnsi="宋体"/>
                <w:kern w:val="0"/>
              </w:rPr>
              <w:t>.</w:t>
            </w:r>
            <w:r>
              <w:rPr>
                <w:rFonts w:hint="eastAsia" w:ascii="宋体" w:hAnsi="宋体"/>
                <w:kern w:val="0"/>
              </w:rPr>
              <w:t>4</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tcBorders>
              <w:right w:val="single" w:color="auto" w:sz="4" w:space="0"/>
            </w:tcBorders>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tcBorders>
              <w:left w:val="single" w:color="auto" w:sz="4" w:space="0"/>
            </w:tcBorders>
            <w:vAlign w:val="center"/>
          </w:tcPr>
          <w:p>
            <w:pPr>
              <w:snapToGrid w:val="0"/>
              <w:spacing w:line="400" w:lineRule="exact"/>
              <w:jc w:val="left"/>
              <w:rPr>
                <w:rFonts w:ascii="宋体" w:hAnsi="宋体"/>
                <w:b/>
                <w:kern w:val="0"/>
              </w:rPr>
            </w:pPr>
            <w:r>
              <w:rPr>
                <w:rFonts w:hint="eastAsia" w:ascii="宋体" w:hAnsi="宋体"/>
                <w:b/>
                <w:kern w:val="0"/>
              </w:rPr>
              <w:t>□选项一：</w:t>
            </w:r>
          </w:p>
          <w:p>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pPr>
              <w:spacing w:line="400" w:lineRule="exact"/>
              <w:jc w:val="center"/>
              <w:rPr>
                <w:rFonts w:ascii="宋体" w:hAnsi="宋体"/>
                <w:kern w:val="0"/>
              </w:rPr>
            </w:pPr>
            <w:r>
              <w:rPr>
                <w:rFonts w:ascii="宋体" w:hAnsi="宋体"/>
                <w:kern w:val="0"/>
              </w:rPr>
              <w:t>投标总报价</w:t>
            </w:r>
          </w:p>
        </w:tc>
        <w:tc>
          <w:tcPr>
            <w:tcW w:w="5492" w:type="dxa"/>
          </w:tcPr>
          <w:p>
            <w:pPr>
              <w:snapToGrid w:val="0"/>
              <w:spacing w:line="400" w:lineRule="exact"/>
              <w:ind w:firstLine="420" w:firstLineChars="200"/>
              <w:jc w:val="left"/>
              <w:rPr>
                <w:rFonts w:ascii="宋体" w:hAnsi="宋体"/>
                <w:kern w:val="0"/>
                <w:szCs w:val="21"/>
              </w:rPr>
            </w:pPr>
            <w:r>
              <w:rPr>
                <w:rFonts w:hint="eastAsia" w:ascii="宋体" w:hAnsi="宋体"/>
                <w:kern w:val="0"/>
              </w:rPr>
              <w:t>□</w:t>
            </w: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，即为本项目投标总报价的评标基准价。</w:t>
            </w:r>
            <w:r>
              <w:rPr>
                <w:rFonts w:ascii="宋体" w:hAnsi="宋体"/>
                <w:i/>
                <w:iCs/>
                <w:szCs w:val="21"/>
              </w:rPr>
              <w:t>[提示：</w:t>
            </w:r>
            <w:r>
              <w:rPr>
                <w:rFonts w:hint="eastAsia" w:ascii="宋体" w:hAnsi="宋体"/>
                <w:i/>
                <w:iCs/>
                <w:szCs w:val="21"/>
              </w:rPr>
              <w:t>采用该选项时，评标基准价浮动值N为“0”。</w:t>
            </w:r>
            <w:r>
              <w:rPr>
                <w:rFonts w:ascii="宋体" w:hAnsi="宋体"/>
                <w:i/>
                <w:iCs/>
                <w:szCs w:val="21"/>
              </w:rPr>
              <w:t>]</w:t>
            </w:r>
          </w:p>
          <w:p>
            <w:pPr>
              <w:snapToGrid w:val="0"/>
              <w:spacing w:line="400" w:lineRule="exact"/>
              <w:ind w:firstLine="420" w:firstLineChars="200"/>
              <w:rPr>
                <w:rFonts w:ascii="宋体" w:hAnsi="宋体"/>
                <w:i/>
                <w:kern w:val="0"/>
                <w:szCs w:val="21"/>
              </w:rPr>
            </w:pPr>
            <w:r>
              <w:rPr>
                <w:rFonts w:hint="eastAsia" w:ascii="宋体" w:hAnsi="宋体"/>
                <w:kern w:val="0"/>
              </w:rPr>
              <w:t>□1.</w:t>
            </w:r>
            <w:r>
              <w:rPr>
                <w:rFonts w:ascii="宋体" w:hAnsi="宋体"/>
                <w:kern w:val="0"/>
              </w:rPr>
              <w:t xml:space="preserve"> </w:t>
            </w:r>
            <w:r>
              <w:rPr>
                <w:rFonts w:hint="eastAsia" w:ascii="宋体" w:hAnsi="宋体"/>
                <w:kern w:val="0"/>
              </w:rPr>
              <w:t>所有通过初步评审和本章第2.2.2（3）目评审合格的投标人的投标总报价中去掉六分之一（不能整除的按小数点前整数取整，不足六家报价则不去掉）的最低价和相同家数的最高价后的算术平均值乘以（1-本项目评标基准价浮动值N），即为本项目投标总报价的评标基准价。（评标基准价浮动值N为1%～5%范围内百分数取整，□在开标现场随机抽取决定/□由招标人直接确定为</w:t>
            </w:r>
            <w:r>
              <w:rPr>
                <w:rFonts w:ascii="宋体" w:hAnsi="宋体"/>
                <w:kern w:val="0"/>
                <w:u w:val="single"/>
              </w:rPr>
              <w:t xml:space="preserve">   </w:t>
            </w:r>
            <w:r>
              <w:rPr>
                <w:rFonts w:hint="eastAsia" w:ascii="宋体" w:hAnsi="宋体"/>
                <w:kern w:val="0"/>
              </w:rPr>
              <w:t>%）</w:t>
            </w:r>
          </w:p>
          <w:p>
            <w:pPr>
              <w:snapToGrid w:val="0"/>
              <w:spacing w:line="400" w:lineRule="exact"/>
              <w:ind w:firstLine="420" w:firstLineChars="200"/>
              <w:rPr>
                <w:rFonts w:ascii="宋体" w:hAnsi="宋体"/>
                <w:kern w:val="0"/>
                <w:szCs w:val="21"/>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tcBorders>
              <w:right w:val="single" w:color="auto" w:sz="4" w:space="0"/>
            </w:tcBorders>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tcBorders>
              <w:left w:val="single" w:color="auto" w:sz="4" w:space="0"/>
            </w:tcBorders>
            <w:vAlign w:val="center"/>
          </w:tcPr>
          <w:p>
            <w:pPr>
              <w:snapToGrid w:val="0"/>
              <w:spacing w:line="400" w:lineRule="exact"/>
              <w:jc w:val="left"/>
              <w:rPr>
                <w:rFonts w:ascii="宋体" w:hAnsi="宋体"/>
                <w:b/>
                <w:kern w:val="0"/>
              </w:rPr>
            </w:pPr>
            <w:r>
              <w:rPr>
                <w:rFonts w:hint="eastAsia" w:ascii="宋体" w:hAnsi="宋体"/>
                <w:b/>
                <w:kern w:val="0"/>
              </w:rPr>
              <w:t>□选项二：</w:t>
            </w:r>
          </w:p>
          <w:p>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pPr>
              <w:spacing w:line="400" w:lineRule="exact"/>
              <w:jc w:val="center"/>
              <w:rPr>
                <w:rFonts w:ascii="宋体" w:hAnsi="宋体"/>
                <w:kern w:val="0"/>
              </w:rPr>
            </w:pPr>
            <w:r>
              <w:rPr>
                <w:rFonts w:ascii="宋体" w:hAnsi="宋体"/>
                <w:kern w:val="0"/>
              </w:rPr>
              <w:t>投标总报价</w:t>
            </w:r>
          </w:p>
        </w:tc>
        <w:tc>
          <w:tcPr>
            <w:tcW w:w="5492" w:type="dxa"/>
          </w:tcPr>
          <w:p>
            <w:pPr>
              <w:snapToGrid w:val="0"/>
              <w:spacing w:line="400" w:lineRule="exact"/>
              <w:ind w:firstLine="420" w:firstLineChars="200"/>
              <w:jc w:val="left"/>
              <w:rPr>
                <w:rFonts w:ascii="宋体" w:hAnsi="宋体"/>
                <w:kern w:val="0"/>
                <w:szCs w:val="21"/>
              </w:rPr>
            </w:pPr>
            <w:r>
              <w:rPr>
                <w:rFonts w:ascii="宋体" w:hAnsi="宋体"/>
                <w:kern w:val="0"/>
              </w:rPr>
              <w:t xml:space="preserve">1.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w:t>
            </w:r>
            <w:r>
              <w:rPr>
                <w:rFonts w:hint="eastAsia" w:ascii="宋体" w:hAnsi="宋体"/>
                <w:kern w:val="0"/>
                <w:szCs w:val="21"/>
              </w:rPr>
              <w:t>的</w:t>
            </w:r>
            <w:r>
              <w:rPr>
                <w:rFonts w:ascii="宋体" w:hAnsi="宋体"/>
                <w:kern w:val="0"/>
                <w:szCs w:val="21"/>
              </w:rPr>
              <w:t>投标人</w:t>
            </w:r>
            <w:r>
              <w:rPr>
                <w:rFonts w:ascii="宋体" w:hAnsi="宋体"/>
                <w:szCs w:val="21"/>
              </w:rPr>
              <w:t>的投标总报</w:t>
            </w:r>
            <w:r>
              <w:rPr>
                <w:rFonts w:ascii="宋体" w:hAnsi="宋体"/>
                <w:kern w:val="0"/>
                <w:szCs w:val="21"/>
              </w:rPr>
              <w:t>价中</w:t>
            </w:r>
            <w:r>
              <w:rPr>
                <w:rFonts w:hint="eastAsia" w:ascii="宋体" w:hAnsi="宋体"/>
                <w:kern w:val="0"/>
                <w:szCs w:val="21"/>
              </w:rPr>
              <w:t>，报价</w:t>
            </w:r>
            <w:r>
              <w:rPr>
                <w:rFonts w:ascii="宋体" w:hAnsi="宋体"/>
                <w:kern w:val="0"/>
                <w:szCs w:val="21"/>
              </w:rPr>
              <w:t>最低</w:t>
            </w:r>
            <w:r>
              <w:rPr>
                <w:rFonts w:hint="eastAsia" w:ascii="宋体" w:hAnsi="宋体"/>
                <w:kern w:val="0"/>
                <w:szCs w:val="21"/>
              </w:rPr>
              <w:t>的为评标基准价</w:t>
            </w:r>
            <w:r>
              <w:rPr>
                <w:rFonts w:ascii="宋体" w:hAnsi="宋体"/>
                <w:kern w:val="0"/>
                <w:szCs w:val="21"/>
              </w:rPr>
              <w:t>。</w:t>
            </w:r>
          </w:p>
          <w:p>
            <w:pPr>
              <w:snapToGrid w:val="0"/>
              <w:spacing w:line="400" w:lineRule="exact"/>
              <w:ind w:firstLine="420" w:firstLineChars="200"/>
              <w:jc w:val="left"/>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vMerge w:val="restart"/>
            <w:tcBorders>
              <w:left w:val="single" w:color="auto" w:sz="4" w:space="0"/>
            </w:tcBorders>
            <w:vAlign w:val="center"/>
          </w:tcPr>
          <w:p>
            <w:pPr>
              <w:snapToGrid w:val="0"/>
              <w:spacing w:line="400" w:lineRule="exact"/>
              <w:jc w:val="left"/>
              <w:rPr>
                <w:rFonts w:ascii="宋体" w:hAnsi="宋体"/>
                <w:b/>
                <w:kern w:val="0"/>
              </w:rPr>
            </w:pPr>
            <w:r>
              <w:rPr>
                <w:rFonts w:hint="eastAsia" w:ascii="宋体" w:hAnsi="宋体"/>
                <w:b/>
                <w:kern w:val="0"/>
              </w:rPr>
              <w:t>□选项三：</w:t>
            </w:r>
          </w:p>
          <w:p>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pPr>
              <w:spacing w:line="400" w:lineRule="exact"/>
              <w:jc w:val="center"/>
              <w:rPr>
                <w:rFonts w:ascii="宋体" w:hAnsi="宋体"/>
                <w:kern w:val="0"/>
              </w:rPr>
            </w:pPr>
            <w:r>
              <w:rPr>
                <w:rFonts w:hint="eastAsia" w:ascii="宋体" w:hAnsi="宋体"/>
                <w:bCs/>
                <w:kern w:val="0"/>
              </w:rPr>
              <w:t>□</w:t>
            </w:r>
            <w:r>
              <w:rPr>
                <w:rFonts w:hint="eastAsia" w:ascii="宋体" w:hAnsi="宋体" w:cs="宋体"/>
                <w:kern w:val="0"/>
              </w:rPr>
              <w:t>设计费报价</w:t>
            </w:r>
          </w:p>
        </w:tc>
        <w:tc>
          <w:tcPr>
            <w:tcW w:w="5492" w:type="dxa"/>
          </w:tcPr>
          <w:p>
            <w:pPr>
              <w:snapToGrid w:val="0"/>
              <w:spacing w:line="400" w:lineRule="exact"/>
              <w:ind w:firstLine="420" w:firstLineChars="200"/>
              <w:jc w:val="left"/>
              <w:rPr>
                <w:rFonts w:ascii="宋体" w:hAnsi="宋体"/>
                <w:kern w:val="0"/>
                <w:szCs w:val="21"/>
              </w:rPr>
            </w:pP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暂定设计费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w:t>
            </w:r>
            <w:r>
              <w:rPr>
                <w:rFonts w:hint="eastAsia" w:ascii="宋体" w:hAnsi="宋体" w:cs="宋体"/>
                <w:kern w:val="0"/>
                <w:szCs w:val="21"/>
              </w:rPr>
              <w:t>即为</w:t>
            </w:r>
            <w:r>
              <w:rPr>
                <w:rFonts w:ascii="宋体" w:hAnsi="宋体"/>
                <w:kern w:val="0"/>
                <w:szCs w:val="21"/>
              </w:rPr>
              <w:t>本项目</w:t>
            </w:r>
            <w:r>
              <w:rPr>
                <w:rFonts w:hint="eastAsia" w:ascii="宋体" w:hAnsi="宋体"/>
                <w:kern w:val="0"/>
                <w:szCs w:val="21"/>
              </w:rPr>
              <w:t>暂定</w:t>
            </w:r>
            <w:r>
              <w:rPr>
                <w:rFonts w:hint="eastAsia" w:ascii="宋体" w:hAnsi="宋体" w:cs="宋体"/>
                <w:kern w:val="0"/>
                <w:szCs w:val="21"/>
              </w:rPr>
              <w:t>设计费</w:t>
            </w:r>
            <w:r>
              <w:rPr>
                <w:rFonts w:ascii="宋体" w:hAnsi="宋体"/>
                <w:kern w:val="0"/>
                <w:szCs w:val="21"/>
              </w:rPr>
              <w:t>的</w:t>
            </w:r>
            <w:r>
              <w:rPr>
                <w:rFonts w:hint="eastAsia" w:ascii="宋体" w:hAnsi="宋体" w:cs="宋体"/>
                <w:kern w:val="0"/>
                <w:szCs w:val="21"/>
              </w:rPr>
              <w:t>评标基准价</w:t>
            </w:r>
            <w:r>
              <w:rPr>
                <w:rFonts w:ascii="宋体" w:hAnsi="宋体"/>
                <w:kern w:val="0"/>
                <w:szCs w:val="21"/>
              </w:rPr>
              <w:t>。</w:t>
            </w:r>
          </w:p>
          <w:p>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pPr>
              <w:spacing w:line="400" w:lineRule="exact"/>
              <w:jc w:val="center"/>
              <w:rPr>
                <w:rFonts w:ascii="宋体" w:hAnsi="宋体"/>
                <w:kern w:val="0"/>
              </w:rPr>
            </w:pPr>
          </w:p>
        </w:tc>
        <w:tc>
          <w:tcPr>
            <w:tcW w:w="1560" w:type="dxa"/>
            <w:gridSpan w:val="2"/>
            <w:vMerge w:val="continue"/>
            <w:tcBorders>
              <w:left w:val="single" w:color="auto" w:sz="4" w:space="0"/>
            </w:tcBorders>
            <w:vAlign w:val="center"/>
          </w:tcPr>
          <w:p>
            <w:pPr>
              <w:spacing w:line="400" w:lineRule="exact"/>
              <w:jc w:val="center"/>
              <w:rPr>
                <w:rFonts w:ascii="宋体" w:hAnsi="宋体"/>
                <w:kern w:val="0"/>
              </w:rPr>
            </w:pPr>
          </w:p>
        </w:tc>
        <w:tc>
          <w:tcPr>
            <w:tcW w:w="1653" w:type="dxa"/>
            <w:gridSpan w:val="2"/>
            <w:vAlign w:val="center"/>
          </w:tcPr>
          <w:p>
            <w:pPr>
              <w:spacing w:line="400" w:lineRule="exact"/>
              <w:jc w:val="center"/>
              <w:rPr>
                <w:rFonts w:ascii="宋体" w:hAnsi="宋体" w:cs="宋体"/>
                <w:kern w:val="0"/>
              </w:rPr>
            </w:pPr>
            <w:r>
              <w:rPr>
                <w:rFonts w:hint="eastAsia" w:ascii="宋体" w:hAnsi="宋体"/>
                <w:bCs/>
                <w:kern w:val="0"/>
              </w:rPr>
              <w:t>□</w:t>
            </w:r>
            <w:r>
              <w:rPr>
                <w:rFonts w:hint="eastAsia" w:ascii="宋体" w:hAnsi="宋体" w:cs="宋体"/>
                <w:kern w:val="0"/>
              </w:rPr>
              <w:t>专业设备材料费报价</w:t>
            </w:r>
          </w:p>
        </w:tc>
        <w:tc>
          <w:tcPr>
            <w:tcW w:w="5492" w:type="dxa"/>
          </w:tcPr>
          <w:p>
            <w:pPr>
              <w:snapToGrid w:val="0"/>
              <w:spacing w:line="400" w:lineRule="exact"/>
              <w:ind w:firstLine="420" w:firstLineChars="200"/>
              <w:jc w:val="left"/>
              <w:rPr>
                <w:rFonts w:ascii="宋体" w:hAnsi="宋体"/>
                <w:kern w:val="0"/>
                <w:szCs w:val="21"/>
              </w:rPr>
            </w:pP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暂定专业设备材料费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w:t>
            </w:r>
            <w:r>
              <w:rPr>
                <w:rFonts w:hint="eastAsia" w:ascii="宋体" w:hAnsi="宋体" w:cs="宋体"/>
                <w:kern w:val="0"/>
                <w:szCs w:val="21"/>
              </w:rPr>
              <w:t>即为</w:t>
            </w:r>
            <w:r>
              <w:rPr>
                <w:rFonts w:ascii="宋体" w:hAnsi="宋体"/>
                <w:kern w:val="0"/>
                <w:szCs w:val="21"/>
              </w:rPr>
              <w:t>本项目</w:t>
            </w:r>
            <w:r>
              <w:rPr>
                <w:rFonts w:hint="eastAsia" w:ascii="宋体" w:hAnsi="宋体"/>
                <w:kern w:val="0"/>
                <w:szCs w:val="21"/>
              </w:rPr>
              <w:t>暂定</w:t>
            </w:r>
            <w:r>
              <w:rPr>
                <w:rFonts w:hint="eastAsia" w:ascii="宋体" w:hAnsi="宋体"/>
                <w:szCs w:val="21"/>
              </w:rPr>
              <w:t>专业设备材料费</w:t>
            </w:r>
            <w:r>
              <w:rPr>
                <w:rFonts w:ascii="宋体" w:hAnsi="宋体"/>
                <w:kern w:val="0"/>
                <w:szCs w:val="21"/>
              </w:rPr>
              <w:t>的</w:t>
            </w:r>
            <w:r>
              <w:rPr>
                <w:rFonts w:hint="eastAsia" w:ascii="宋体" w:hAnsi="宋体" w:cs="宋体"/>
                <w:kern w:val="0"/>
                <w:szCs w:val="21"/>
              </w:rPr>
              <w:t>评标基准价</w:t>
            </w:r>
            <w:r>
              <w:rPr>
                <w:rFonts w:ascii="宋体" w:hAnsi="宋体"/>
                <w:kern w:val="0"/>
                <w:szCs w:val="21"/>
              </w:rPr>
              <w:t>。</w:t>
            </w:r>
          </w:p>
          <w:p>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pPr>
              <w:spacing w:line="400" w:lineRule="exact"/>
              <w:jc w:val="center"/>
              <w:rPr>
                <w:rFonts w:ascii="宋体" w:hAnsi="宋体"/>
                <w:kern w:val="0"/>
              </w:rPr>
            </w:pPr>
          </w:p>
        </w:tc>
        <w:tc>
          <w:tcPr>
            <w:tcW w:w="1560" w:type="dxa"/>
            <w:gridSpan w:val="2"/>
            <w:vMerge w:val="continue"/>
            <w:tcBorders>
              <w:left w:val="single" w:color="auto" w:sz="4" w:space="0"/>
            </w:tcBorders>
            <w:vAlign w:val="center"/>
          </w:tcPr>
          <w:p>
            <w:pPr>
              <w:spacing w:line="400" w:lineRule="exact"/>
              <w:jc w:val="center"/>
              <w:rPr>
                <w:rFonts w:ascii="宋体" w:hAnsi="宋体"/>
                <w:kern w:val="0"/>
              </w:rPr>
            </w:pPr>
          </w:p>
        </w:tc>
        <w:tc>
          <w:tcPr>
            <w:tcW w:w="1653" w:type="dxa"/>
            <w:gridSpan w:val="2"/>
            <w:vAlign w:val="center"/>
          </w:tcPr>
          <w:p>
            <w:pPr>
              <w:spacing w:line="400" w:lineRule="exact"/>
              <w:jc w:val="center"/>
              <w:rPr>
                <w:rFonts w:ascii="宋体" w:hAnsi="宋体"/>
                <w:kern w:val="0"/>
              </w:rPr>
            </w:pPr>
            <w:r>
              <w:rPr>
                <w:rFonts w:hint="eastAsia" w:ascii="宋体" w:hAnsi="宋体" w:cs="宋体"/>
                <w:kern w:val="0"/>
              </w:rPr>
              <w:t>建筑安装工程费报价</w:t>
            </w:r>
          </w:p>
        </w:tc>
        <w:tc>
          <w:tcPr>
            <w:tcW w:w="5492" w:type="dxa"/>
          </w:tcPr>
          <w:p>
            <w:pPr>
              <w:snapToGrid w:val="0"/>
              <w:spacing w:line="400" w:lineRule="exact"/>
              <w:ind w:firstLine="420" w:firstLineChars="200"/>
              <w:jc w:val="left"/>
              <w:rPr>
                <w:rFonts w:ascii="宋体" w:hAnsi="宋体"/>
                <w:kern w:val="0"/>
                <w:szCs w:val="21"/>
              </w:rPr>
            </w:pPr>
            <w:r>
              <w:rPr>
                <w:rFonts w:hint="eastAsia" w:ascii="宋体" w:hAnsi="宋体"/>
                <w:bCs/>
                <w:kern w:val="0"/>
              </w:rPr>
              <w:t>□</w:t>
            </w: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暂定建筑安装工程费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，即为本项目暂定建筑安装工程费报价的评标基准价。</w:t>
            </w:r>
            <w:r>
              <w:rPr>
                <w:rFonts w:ascii="宋体" w:hAnsi="宋体"/>
                <w:i/>
                <w:iCs/>
                <w:szCs w:val="21"/>
              </w:rPr>
              <w:t>[提示：</w:t>
            </w:r>
            <w:r>
              <w:rPr>
                <w:rFonts w:hint="eastAsia" w:ascii="宋体" w:hAnsi="宋体"/>
                <w:i/>
                <w:iCs/>
                <w:szCs w:val="21"/>
              </w:rPr>
              <w:t>采用该选项时，评标基准价浮动值N为“0”。</w:t>
            </w:r>
            <w:r>
              <w:rPr>
                <w:rFonts w:ascii="宋体" w:hAnsi="宋体"/>
                <w:i/>
                <w:iCs/>
                <w:szCs w:val="21"/>
              </w:rPr>
              <w:t>]</w:t>
            </w:r>
          </w:p>
          <w:p>
            <w:pPr>
              <w:snapToGrid w:val="0"/>
              <w:spacing w:line="400" w:lineRule="exact"/>
              <w:ind w:firstLine="420" w:firstLineChars="200"/>
              <w:rPr>
                <w:rFonts w:ascii="宋体" w:hAnsi="宋体"/>
                <w:kern w:val="0"/>
                <w:szCs w:val="21"/>
              </w:rPr>
            </w:pPr>
            <w:r>
              <w:rPr>
                <w:rFonts w:hint="eastAsia" w:ascii="宋体" w:hAnsi="宋体"/>
                <w:kern w:val="0"/>
              </w:rPr>
              <w:t>□1.</w:t>
            </w:r>
            <w:r>
              <w:rPr>
                <w:rFonts w:ascii="宋体" w:hAnsi="宋体"/>
                <w:kern w:val="0"/>
              </w:rPr>
              <w:t xml:space="preserve"> </w:t>
            </w:r>
            <w:r>
              <w:rPr>
                <w:rFonts w:hint="eastAsia" w:ascii="宋体" w:hAnsi="宋体"/>
                <w:kern w:val="0"/>
              </w:rPr>
              <w:t>所有通过初步评审和本章第2.2.2（3）目评审合格的投标人的暂定建筑安装工程费报价中去掉六分之一（不能整除的按小数点前整数取整，不足六家报价则不去掉）的最低价和相同家数的最高价后的算术平均值乘以（1-本项目评标基准价浮动值N），即为本项目暂定建筑安装工程费报价的评标基准价。（评标基准价浮动值N为1%～5%范围内百分数取整，□在开标现场随机抽取决定/□由招标人直接确定为</w:t>
            </w:r>
            <w:r>
              <w:rPr>
                <w:rFonts w:ascii="宋体" w:hAnsi="宋体"/>
                <w:kern w:val="0"/>
                <w:u w:val="single"/>
              </w:rPr>
              <w:t xml:space="preserve">   </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tcBorders>
              <w:right w:val="single" w:color="auto" w:sz="4" w:space="0"/>
            </w:tcBorders>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4</w:t>
            </w:r>
          </w:p>
        </w:tc>
        <w:tc>
          <w:tcPr>
            <w:tcW w:w="3213" w:type="dxa"/>
            <w:gridSpan w:val="4"/>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偏差率计算</w:t>
            </w:r>
          </w:p>
        </w:tc>
        <w:tc>
          <w:tcPr>
            <w:tcW w:w="5492" w:type="dxa"/>
            <w:vAlign w:val="center"/>
          </w:tcPr>
          <w:p>
            <w:pPr>
              <w:spacing w:line="400" w:lineRule="exact"/>
              <w:ind w:firstLine="420" w:firstLineChars="200"/>
              <w:jc w:val="left"/>
              <w:rPr>
                <w:rFonts w:ascii="宋体" w:hAnsi="宋体"/>
                <w:kern w:val="0"/>
              </w:rPr>
            </w:pPr>
            <w:r>
              <w:rPr>
                <w:rFonts w:ascii="宋体" w:hAnsi="宋体"/>
                <w:kern w:val="0"/>
              </w:rPr>
              <w:t>投标报价的偏差率计算公式</w:t>
            </w:r>
          </w:p>
          <w:p>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100％×（投标报价一评标基准价）／评标基准价</w:t>
            </w:r>
          </w:p>
          <w:p>
            <w:pPr>
              <w:spacing w:line="400" w:lineRule="exact"/>
              <w:ind w:firstLine="200"/>
              <w:rPr>
                <w:rFonts w:ascii="宋体" w:hAnsi="宋体"/>
                <w:kern w:val="0"/>
              </w:rPr>
            </w:pPr>
            <w:r>
              <w:rPr>
                <w:rFonts w:ascii="宋体" w:hAnsi="宋体"/>
                <w:kern w:val="0"/>
              </w:rPr>
              <w:t xml:space="preserve">  偏差率</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768" w:type="dxa"/>
            <w:vAlign w:val="center"/>
          </w:tcPr>
          <w:p>
            <w:pPr>
              <w:spacing w:line="400" w:lineRule="exact"/>
              <w:jc w:val="center"/>
              <w:rPr>
                <w:rFonts w:ascii="宋体" w:hAnsi="宋体"/>
                <w:kern w:val="0"/>
              </w:rPr>
            </w:pPr>
            <w:r>
              <w:rPr>
                <w:rFonts w:ascii="宋体" w:hAnsi="宋体"/>
              </w:rPr>
              <w:t>3</w:t>
            </w:r>
          </w:p>
        </w:tc>
        <w:tc>
          <w:tcPr>
            <w:tcW w:w="709" w:type="dxa"/>
            <w:vAlign w:val="center"/>
          </w:tcPr>
          <w:p>
            <w:pPr>
              <w:spacing w:line="400" w:lineRule="exact"/>
              <w:jc w:val="center"/>
              <w:rPr>
                <w:rFonts w:ascii="宋体" w:hAnsi="宋体"/>
                <w:kern w:val="0"/>
              </w:rPr>
            </w:pPr>
            <w:r>
              <w:rPr>
                <w:rFonts w:ascii="宋体" w:hAnsi="宋体"/>
              </w:rPr>
              <w:t>评标程序</w:t>
            </w:r>
          </w:p>
        </w:tc>
        <w:tc>
          <w:tcPr>
            <w:tcW w:w="7996" w:type="dxa"/>
            <w:gridSpan w:val="4"/>
            <w:tcBorders>
              <w:bottom w:val="single" w:color="auto" w:sz="4" w:space="0"/>
            </w:tcBorders>
          </w:tcPr>
          <w:p>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1.按本章评标办法第3.1款进行初步评审，未通过初步评审或评标委员会认定为无效的投标文件不再参与后续评审。</w:t>
            </w:r>
          </w:p>
          <w:p>
            <w:pPr>
              <w:spacing w:line="400" w:lineRule="exact"/>
              <w:ind w:firstLine="420" w:firstLineChars="200"/>
              <w:rPr>
                <w:rFonts w:ascii="宋体" w:hAnsi="宋体"/>
                <w:szCs w:val="21"/>
              </w:rPr>
            </w:pPr>
            <w:r>
              <w:rPr>
                <w:rFonts w:hint="eastAsia" w:ascii="宋体" w:hAnsi="宋体"/>
                <w:szCs w:val="21"/>
              </w:rPr>
              <w:t>2.按本章评标办法前附表第2.2.2（1）目及第3.2.1（1）目的规定对技术部分进行评审。</w:t>
            </w:r>
          </w:p>
          <w:p>
            <w:pPr>
              <w:spacing w:line="400" w:lineRule="exact"/>
              <w:ind w:firstLine="420" w:firstLineChars="200"/>
              <w:rPr>
                <w:rFonts w:ascii="宋体" w:hAnsi="宋体"/>
                <w:szCs w:val="21"/>
              </w:rPr>
            </w:pPr>
            <w:r>
              <w:rPr>
                <w:rFonts w:ascii="宋体" w:hAnsi="宋体"/>
                <w:szCs w:val="21"/>
              </w:rPr>
              <w:t>3</w:t>
            </w:r>
            <w:r>
              <w:rPr>
                <w:rFonts w:hint="eastAsia" w:ascii="宋体" w:hAnsi="宋体"/>
                <w:szCs w:val="21"/>
              </w:rPr>
              <w:t>.按本章评标办法前附表第2.2.2（</w:t>
            </w:r>
            <w:r>
              <w:rPr>
                <w:rFonts w:ascii="宋体" w:hAnsi="宋体"/>
                <w:szCs w:val="21"/>
              </w:rPr>
              <w:t>2</w:t>
            </w:r>
            <w:r>
              <w:rPr>
                <w:rFonts w:hint="eastAsia" w:ascii="宋体" w:hAnsi="宋体"/>
                <w:szCs w:val="21"/>
              </w:rPr>
              <w:t>）目及第3.2.1（</w:t>
            </w:r>
            <w:r>
              <w:rPr>
                <w:rFonts w:ascii="宋体" w:hAnsi="宋体"/>
                <w:szCs w:val="21"/>
              </w:rPr>
              <w:t>2</w:t>
            </w:r>
            <w:r>
              <w:rPr>
                <w:rFonts w:hint="eastAsia" w:ascii="宋体" w:hAnsi="宋体"/>
                <w:szCs w:val="21"/>
              </w:rPr>
              <w:t>）目的规定对商务部分进行评审。</w:t>
            </w:r>
          </w:p>
          <w:p>
            <w:pPr>
              <w:spacing w:line="400" w:lineRule="exact"/>
              <w:ind w:firstLine="420" w:firstLineChars="200"/>
              <w:rPr>
                <w:rFonts w:ascii="宋体" w:hAnsi="宋体"/>
                <w:szCs w:val="21"/>
              </w:rPr>
            </w:pPr>
            <w:r>
              <w:rPr>
                <w:rFonts w:hint="eastAsia" w:ascii="宋体" w:hAnsi="宋体"/>
                <w:szCs w:val="21"/>
              </w:rPr>
              <w:t>4.按本章评标办法前附表第2.2.2（</w:t>
            </w:r>
            <w:r>
              <w:rPr>
                <w:rFonts w:ascii="宋体" w:hAnsi="宋体"/>
                <w:szCs w:val="21"/>
              </w:rPr>
              <w:t>3</w:t>
            </w:r>
            <w:r>
              <w:rPr>
                <w:rFonts w:hint="eastAsia" w:ascii="宋体" w:hAnsi="宋体"/>
                <w:szCs w:val="21"/>
              </w:rPr>
              <w:t>）目的规定对投标函</w:t>
            </w:r>
            <w:r>
              <w:rPr>
                <w:rFonts w:ascii="宋体" w:hAnsi="宋体"/>
                <w:szCs w:val="21"/>
              </w:rPr>
              <w:t>及</w:t>
            </w:r>
            <w:r>
              <w:rPr>
                <w:rFonts w:hint="eastAsia" w:ascii="宋体" w:hAnsi="宋体"/>
                <w:szCs w:val="21"/>
                <w:lang w:eastAsia="zh-CN"/>
              </w:rPr>
              <w:t>报价</w:t>
            </w:r>
            <w:r>
              <w:rPr>
                <w:rFonts w:ascii="宋体" w:hAnsi="宋体"/>
                <w:szCs w:val="21"/>
              </w:rPr>
              <w:t>部分</w:t>
            </w:r>
            <w:r>
              <w:rPr>
                <w:rFonts w:hint="eastAsia" w:ascii="宋体" w:hAnsi="宋体"/>
                <w:szCs w:val="21"/>
              </w:rPr>
              <w:t>进行评审，经评审不合格的投标文件不再参与后续评审。</w:t>
            </w:r>
          </w:p>
          <w:p>
            <w:pPr>
              <w:spacing w:line="400" w:lineRule="exact"/>
              <w:ind w:firstLine="420" w:firstLineChars="200"/>
              <w:rPr>
                <w:rFonts w:ascii="宋体" w:hAnsi="宋体"/>
                <w:szCs w:val="21"/>
              </w:rPr>
            </w:pPr>
            <w:r>
              <w:rPr>
                <w:rFonts w:ascii="宋体" w:hAnsi="宋体"/>
                <w:szCs w:val="21"/>
              </w:rPr>
              <w:t>5</w:t>
            </w:r>
            <w:r>
              <w:rPr>
                <w:rFonts w:hint="eastAsia" w:ascii="宋体" w:hAnsi="宋体"/>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szCs w:val="21"/>
                <w:lang w:eastAsia="zh-CN"/>
              </w:rPr>
              <w:t>经济</w:t>
            </w:r>
            <w:r>
              <w:rPr>
                <w:rFonts w:hint="eastAsia" w:ascii="宋体" w:hAnsi="宋体"/>
                <w:szCs w:val="21"/>
              </w:rPr>
              <w:t>、技术等指标仍然具有市场竞争力，能够满足招标文件要求的，评标委员会可以继续评标并确定中标候选人。</w:t>
            </w:r>
          </w:p>
          <w:p>
            <w:pPr>
              <w:spacing w:line="400" w:lineRule="exact"/>
              <w:ind w:firstLine="420" w:firstLineChars="200"/>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经评审合格的投标人按照本章第2.2.3项计算方法计算评标基准价，并按本附表第3.2.1（</w:t>
            </w:r>
            <w:r>
              <w:rPr>
                <w:rFonts w:ascii="宋体" w:hAnsi="宋体"/>
                <w:szCs w:val="21"/>
              </w:rPr>
              <w:t>3</w:t>
            </w:r>
            <w:r>
              <w:rPr>
                <w:rFonts w:hint="eastAsia" w:ascii="宋体" w:hAnsi="宋体"/>
                <w:szCs w:val="21"/>
              </w:rPr>
              <w:t>）目规定的评分方法对</w:t>
            </w:r>
            <w:r>
              <w:rPr>
                <w:rFonts w:hint="eastAsia" w:ascii="宋体" w:hAnsi="宋体"/>
                <w:szCs w:val="21"/>
                <w:lang w:eastAsia="zh-CN"/>
              </w:rPr>
              <w:t>报价</w:t>
            </w:r>
            <w:r>
              <w:rPr>
                <w:rFonts w:hint="eastAsia" w:ascii="宋体" w:hAnsi="宋体"/>
                <w:szCs w:val="21"/>
              </w:rPr>
              <w:t>部分进行评分。</w:t>
            </w:r>
          </w:p>
          <w:p>
            <w:pPr>
              <w:spacing w:line="400" w:lineRule="exact"/>
              <w:ind w:firstLine="420" w:firstLineChars="200"/>
              <w:rPr>
                <w:rFonts w:ascii="宋体" w:hAnsi="宋体"/>
                <w:szCs w:val="21"/>
              </w:rPr>
            </w:pPr>
            <w:r>
              <w:rPr>
                <w:rFonts w:ascii="宋体" w:hAnsi="宋体"/>
                <w:szCs w:val="21"/>
              </w:rPr>
              <w:t>7</w:t>
            </w:r>
            <w:r>
              <w:rPr>
                <w:rFonts w:hint="eastAsia" w:ascii="宋体" w:hAnsi="宋体"/>
                <w:szCs w:val="21"/>
              </w:rPr>
              <w:t>.对技术部分、商务部分、</w:t>
            </w:r>
            <w:r>
              <w:rPr>
                <w:rFonts w:hint="eastAsia" w:ascii="宋体" w:hAnsi="宋体"/>
                <w:szCs w:val="21"/>
                <w:lang w:eastAsia="zh-CN"/>
              </w:rPr>
              <w:t>报价</w:t>
            </w:r>
            <w:r>
              <w:rPr>
                <w:rFonts w:hint="eastAsia" w:ascii="宋体" w:hAnsi="宋体"/>
                <w:szCs w:val="21"/>
              </w:rPr>
              <w:t>部分得分进行汇总，确定得分由高至低前三名投标人为中标候选人。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768" w:type="dxa"/>
            <w:vMerge w:val="restart"/>
            <w:vAlign w:val="center"/>
          </w:tcPr>
          <w:p>
            <w:pPr>
              <w:spacing w:line="400" w:lineRule="exact"/>
              <w:jc w:val="center"/>
              <w:rPr>
                <w:rFonts w:ascii="宋体" w:hAnsi="宋体"/>
              </w:rPr>
            </w:pPr>
            <w:r>
              <w:rPr>
                <w:rFonts w:ascii="宋体" w:hAnsi="宋体"/>
              </w:rPr>
              <w:t>3.2.1</w:t>
            </w:r>
          </w:p>
          <w:p>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709" w:type="dxa"/>
            <w:vMerge w:val="restart"/>
            <w:vAlign w:val="center"/>
          </w:tcPr>
          <w:p>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920" w:type="dxa"/>
            <w:gridSpan w:val="2"/>
            <w:vMerge w:val="restart"/>
            <w:tcBorders>
              <w:right w:val="single" w:color="auto" w:sz="4" w:space="0"/>
            </w:tcBorders>
            <w:vAlign w:val="center"/>
          </w:tcPr>
          <w:p>
            <w:pPr>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84" w:type="dxa"/>
            <w:tcBorders>
              <w:left w:val="single" w:color="auto" w:sz="4" w:space="0"/>
              <w:bottom w:val="single" w:color="auto" w:sz="4" w:space="0"/>
            </w:tcBorders>
            <w:vAlign w:val="center"/>
          </w:tcPr>
          <w:p>
            <w:pPr>
              <w:spacing w:line="400" w:lineRule="exact"/>
              <w:rPr>
                <w:rFonts w:ascii="宋体" w:hAnsi="宋体"/>
                <w:szCs w:val="21"/>
              </w:rPr>
            </w:pPr>
            <w:r>
              <w:rPr>
                <w:rFonts w:hint="eastAsia" w:ascii="宋体" w:hAnsi="宋体" w:cs="宋体"/>
                <w:kern w:val="0"/>
              </w:rPr>
              <w:t>□</w:t>
            </w:r>
            <w:r>
              <w:rPr>
                <w:rFonts w:hint="eastAsia" w:ascii="宋体" w:hAnsi="宋体"/>
                <w:kern w:val="0"/>
              </w:rPr>
              <w:t>总承包管理及设计方案</w:t>
            </w:r>
            <w:r>
              <w:rPr>
                <w:rFonts w:hint="eastAsia" w:ascii="宋体" w:hAnsi="宋体" w:cs="宋体"/>
                <w:kern w:val="0"/>
              </w:rPr>
              <w:t>形式要求</w:t>
            </w:r>
            <w:r>
              <w:rPr>
                <w:rFonts w:ascii="宋体" w:hAnsi="宋体"/>
                <w:i/>
                <w:iCs/>
                <w:szCs w:val="21"/>
              </w:rPr>
              <w:t>[提示：技术部分采用暗标评审时适用]</w:t>
            </w:r>
          </w:p>
        </w:tc>
        <w:tc>
          <w:tcPr>
            <w:tcW w:w="5492" w:type="dxa"/>
            <w:tcBorders>
              <w:bottom w:val="single" w:color="auto" w:sz="4" w:space="0"/>
            </w:tcBorders>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cs="宋体"/>
                <w:kern w:val="0"/>
              </w:rPr>
              <w:t>不符合第二章“投标人须知前附表”第3.7.5项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要求的，技术部分得</w:t>
            </w:r>
            <w:r>
              <w:rPr>
                <w:rFonts w:ascii="宋体" w:hAnsi="宋体" w:cs="宋体"/>
                <w:kern w:val="0"/>
              </w:rPr>
              <w:t>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spacing w:line="400" w:lineRule="exact"/>
              <w:jc w:val="center"/>
              <w:rPr>
                <w:rFonts w:ascii="宋体" w:hAnsi="宋体" w:cs="宋体"/>
                <w:kern w:val="0"/>
              </w:rPr>
            </w:pPr>
          </w:p>
        </w:tc>
        <w:tc>
          <w:tcPr>
            <w:tcW w:w="1584" w:type="dxa"/>
            <w:tcBorders>
              <w:left w:val="single" w:color="auto" w:sz="4" w:space="0"/>
              <w:bottom w:val="single" w:color="auto" w:sz="4" w:space="0"/>
            </w:tcBorders>
            <w:vAlign w:val="center"/>
          </w:tcPr>
          <w:p>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5492" w:type="dxa"/>
            <w:vMerge w:val="restart"/>
            <w:tcBorders>
              <w:top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w:t>
            </w:r>
            <w:r>
              <w:rPr>
                <w:rFonts w:ascii="宋体" w:hAnsi="宋体"/>
                <w:snapToGrid w:val="0"/>
                <w:kern w:val="0"/>
                <w:szCs w:val="21"/>
              </w:rPr>
              <w:t>分中去掉一个最高和一个最低分，余下评委</w:t>
            </w:r>
            <w:r>
              <w:rPr>
                <w:rFonts w:hint="eastAsia" w:ascii="宋体" w:hAnsi="宋体"/>
                <w:snapToGrid w:val="0"/>
                <w:kern w:val="0"/>
                <w:szCs w:val="21"/>
              </w:rPr>
              <w:t>评</w:t>
            </w:r>
            <w:r>
              <w:rPr>
                <w:rFonts w:ascii="宋体" w:hAnsi="宋体"/>
                <w:snapToGrid w:val="0"/>
                <w:kern w:val="0"/>
                <w:szCs w:val="21"/>
              </w:rPr>
              <w:t>分取算术平均值为该投标人</w:t>
            </w:r>
            <w:r>
              <w:rPr>
                <w:rFonts w:hint="eastAsia" w:ascii="宋体" w:hAnsi="宋体"/>
                <w:kern w:val="0"/>
              </w:rPr>
              <w:t>总承包管理及设计方案</w:t>
            </w:r>
            <w:r>
              <w:rPr>
                <w:rFonts w:ascii="宋体" w:hAnsi="宋体"/>
                <w:snapToGrid w:val="0"/>
                <w:kern w:val="0"/>
                <w:szCs w:val="21"/>
              </w:rPr>
              <w:t>得分。</w:t>
            </w:r>
          </w:p>
          <w:p>
            <w:pPr>
              <w:spacing w:line="400" w:lineRule="exact"/>
              <w:ind w:firstLine="420" w:firstLineChars="200"/>
              <w:rPr>
                <w:rFonts w:ascii="宋体" w:hAnsi="宋体" w:cs="宋体"/>
                <w:kern w:val="0"/>
              </w:rPr>
            </w:pPr>
            <w:r>
              <w:rPr>
                <w:rFonts w:hint="eastAsia" w:ascii="宋体" w:hAnsi="宋体"/>
                <w:kern w:val="0"/>
              </w:rPr>
              <w:t>总承包管理及设计方案</w:t>
            </w:r>
            <w:r>
              <w:rPr>
                <w:rFonts w:hint="eastAsia" w:ascii="宋体" w:hAnsi="宋体"/>
                <w:kern w:val="0"/>
                <w:szCs w:val="21"/>
              </w:rPr>
              <w:t>评分的最终结果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6"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spacing w:line="400" w:lineRule="exact"/>
              <w:rPr>
                <w:rFonts w:ascii="宋体" w:hAnsi="宋体"/>
                <w:szCs w:val="21"/>
              </w:rPr>
            </w:pPr>
            <w:r>
              <w:rPr>
                <w:rFonts w:hint="eastAsia"/>
                <w:szCs w:val="21"/>
              </w:rPr>
              <w:t>项目实施重点</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51"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spacing w:line="400" w:lineRule="exact"/>
              <w:rPr>
                <w:rFonts w:ascii="宋体" w:hAnsi="宋体" w:cs="宋体"/>
                <w:kern w:val="0"/>
                <w:szCs w:val="21"/>
              </w:rPr>
            </w:pPr>
            <w:r>
              <w:rPr>
                <w:rFonts w:hint="eastAsia" w:ascii="宋体" w:hAnsi="宋体" w:cs="宋体"/>
                <w:kern w:val="0"/>
              </w:rPr>
              <w:t>□设计方案</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vAlign w:val="center"/>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Merge w:val="continue"/>
            <w:tcBorders>
              <w:bottom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restart"/>
            <w:tcBorders>
              <w:right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cs="宋体"/>
                <w:kern w:val="0"/>
              </w:rPr>
              <w:t>□施工组织设计</w:t>
            </w:r>
          </w:p>
        </w:tc>
        <w:tc>
          <w:tcPr>
            <w:tcW w:w="1584" w:type="dxa"/>
            <w:tcBorders>
              <w:top w:val="single" w:color="auto" w:sz="4" w:space="0"/>
              <w:left w:val="single" w:color="auto" w:sz="4" w:space="0"/>
              <w:bottom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□施工组织设计形式要求</w:t>
            </w:r>
            <w:r>
              <w:rPr>
                <w:rFonts w:ascii="宋体" w:hAnsi="宋体"/>
                <w:i/>
                <w:iCs/>
                <w:szCs w:val="21"/>
              </w:rPr>
              <w:t>[提示：技术部分采用暗标评审时适用</w:t>
            </w:r>
            <w:r>
              <w:rPr>
                <w:rFonts w:hint="eastAsia" w:ascii="宋体" w:hAnsi="宋体"/>
                <w:i/>
                <w:iCs/>
                <w:szCs w:val="21"/>
              </w:rPr>
              <w:t>。</w:t>
            </w:r>
            <w:r>
              <w:rPr>
                <w:rFonts w:ascii="宋体" w:hAnsi="宋体"/>
                <w:i/>
                <w:iCs/>
                <w:szCs w:val="21"/>
              </w:rPr>
              <w:t>]</w:t>
            </w:r>
          </w:p>
        </w:tc>
        <w:tc>
          <w:tcPr>
            <w:tcW w:w="5492" w:type="dxa"/>
            <w:tcBorders>
              <w:top w:val="single" w:color="auto" w:sz="4" w:space="0"/>
              <w:bottom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r>
              <w:rPr>
                <w:rFonts w:hint="eastAsia" w:ascii="宋体" w:hAnsi="宋体" w:cs="宋体"/>
                <w:kern w:val="0"/>
              </w:rPr>
              <w:t>不符合第二章“投标人须知前附表”第3.7.5项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要求的，技术部分得</w:t>
            </w:r>
            <w:r>
              <w:rPr>
                <w:rFonts w:ascii="宋体" w:hAnsi="宋体" w:cs="宋体"/>
                <w:kern w:val="0"/>
              </w:rPr>
              <w:t>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18"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tabs>
                <w:tab w:val="left" w:pos="1875"/>
              </w:tabs>
              <w:spacing w:line="400" w:lineRule="exact"/>
              <w:jc w:val="center"/>
              <w:rPr>
                <w:rFonts w:ascii="宋体" w:hAnsi="宋体"/>
                <w:kern w:val="0"/>
              </w:rPr>
            </w:pPr>
          </w:p>
        </w:tc>
        <w:tc>
          <w:tcPr>
            <w:tcW w:w="1584" w:type="dxa"/>
            <w:tcBorders>
              <w:top w:val="single" w:color="auto" w:sz="4" w:space="0"/>
              <w:left w:val="single" w:color="auto" w:sz="4" w:space="0"/>
              <w:bottom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施工方案与技术措施</w:t>
            </w:r>
          </w:p>
        </w:tc>
        <w:tc>
          <w:tcPr>
            <w:tcW w:w="5492" w:type="dxa"/>
            <w:vMerge w:val="restart"/>
            <w:tcBorders>
              <w:top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w:t>
            </w:r>
            <w:r>
              <w:rPr>
                <w:rFonts w:ascii="宋体" w:hAnsi="宋体"/>
                <w:snapToGrid w:val="0"/>
                <w:kern w:val="0"/>
                <w:szCs w:val="21"/>
              </w:rPr>
              <w:t>分中去掉一个最高和一个最低分，余下评委</w:t>
            </w:r>
            <w:r>
              <w:rPr>
                <w:rFonts w:hint="eastAsia" w:ascii="宋体" w:hAnsi="宋体"/>
                <w:snapToGrid w:val="0"/>
                <w:kern w:val="0"/>
                <w:szCs w:val="21"/>
              </w:rPr>
              <w:t>评</w:t>
            </w:r>
            <w:r>
              <w:rPr>
                <w:rFonts w:ascii="宋体" w:hAnsi="宋体"/>
                <w:snapToGrid w:val="0"/>
                <w:kern w:val="0"/>
                <w:szCs w:val="21"/>
              </w:rPr>
              <w:t>分取算术平均值为该投标人</w:t>
            </w:r>
            <w:r>
              <w:rPr>
                <w:rFonts w:hint="eastAsia" w:ascii="宋体" w:hAnsi="宋体" w:cs="宋体"/>
                <w:kern w:val="0"/>
              </w:rPr>
              <w:t>施工组织设计</w:t>
            </w:r>
            <w:r>
              <w:rPr>
                <w:rFonts w:ascii="宋体" w:hAnsi="宋体"/>
                <w:snapToGrid w:val="0"/>
                <w:kern w:val="0"/>
                <w:szCs w:val="21"/>
              </w:rPr>
              <w:t>得分。</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cs="宋体"/>
                <w:kern w:val="0"/>
              </w:rPr>
              <w:t>施工组织设计</w:t>
            </w:r>
            <w:r>
              <w:rPr>
                <w:rFonts w:hint="eastAsia" w:ascii="宋体" w:hAnsi="宋体"/>
                <w:kern w:val="0"/>
                <w:szCs w:val="21"/>
              </w:rPr>
              <w:t>评分的最终结果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vAlign w:val="center"/>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pPr>
              <w:tabs>
                <w:tab w:val="left" w:pos="1875"/>
              </w:tabs>
              <w:spacing w:line="400" w:lineRule="exact"/>
              <w:jc w:val="left"/>
              <w:rPr>
                <w:rFonts w:ascii="宋体" w:hAnsi="宋体"/>
                <w:kern w:val="0"/>
              </w:rPr>
            </w:pPr>
            <w:r>
              <w:rPr>
                <w:rFonts w:ascii="宋体" w:hAnsi="宋体"/>
                <w:kern w:val="0"/>
              </w:rPr>
              <w:t>工程进度计划与</w:t>
            </w:r>
            <w:r>
              <w:rPr>
                <w:rFonts w:hint="eastAsia" w:ascii="宋体" w:hAnsi="宋体"/>
                <w:kern w:val="0"/>
              </w:rPr>
              <w:t>资源配备</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□危大工程清单安全管理措施</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right w:val="single" w:color="auto" w:sz="4" w:space="0"/>
            </w:tcBorders>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□BIM、智慧工地建设管理方案及措施</w:t>
            </w:r>
          </w:p>
        </w:tc>
        <w:tc>
          <w:tcPr>
            <w:tcW w:w="5492"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768" w:type="dxa"/>
            <w:vMerge w:val="continue"/>
            <w:vAlign w:val="center"/>
          </w:tcPr>
          <w:p>
            <w:pPr>
              <w:spacing w:line="400" w:lineRule="exact"/>
              <w:jc w:val="center"/>
              <w:rPr>
                <w:rFonts w:ascii="宋体" w:hAnsi="宋体"/>
              </w:rPr>
            </w:pPr>
          </w:p>
        </w:tc>
        <w:tc>
          <w:tcPr>
            <w:tcW w:w="709" w:type="dxa"/>
            <w:vMerge w:val="continue"/>
            <w:vAlign w:val="center"/>
          </w:tcPr>
          <w:p>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tcPr>
          <w:p>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Merge w:val="continue"/>
            <w:tcBorders>
              <w:bottom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0" w:hRule="atLeast"/>
          <w:jc w:val="center"/>
        </w:trPr>
        <w:tc>
          <w:tcPr>
            <w:tcW w:w="768" w:type="dxa"/>
            <w:vMerge w:val="restart"/>
            <w:vAlign w:val="center"/>
          </w:tcPr>
          <w:p>
            <w:pPr>
              <w:spacing w:line="400" w:lineRule="exact"/>
              <w:jc w:val="center"/>
              <w:rPr>
                <w:rFonts w:ascii="宋体" w:hAnsi="宋体"/>
              </w:rPr>
            </w:pPr>
            <w:r>
              <w:rPr>
                <w:rFonts w:ascii="宋体" w:hAnsi="宋体"/>
              </w:rPr>
              <w:t>3.2.1</w:t>
            </w:r>
          </w:p>
          <w:p>
            <w:pPr>
              <w:spacing w:line="400" w:lineRule="exact"/>
              <w:jc w:val="center"/>
              <w:rPr>
                <w:rFonts w:ascii="宋体" w:hAnsi="宋体"/>
              </w:rPr>
            </w:pPr>
            <w:r>
              <w:rPr>
                <w:rFonts w:ascii="宋体" w:hAnsi="宋体"/>
              </w:rPr>
              <w:t>（</w:t>
            </w:r>
            <w:r>
              <w:rPr>
                <w:rFonts w:hint="eastAsia" w:ascii="宋体" w:hAnsi="宋体"/>
              </w:rPr>
              <w:t>2</w:t>
            </w:r>
            <w:r>
              <w:rPr>
                <w:rFonts w:ascii="宋体" w:hAnsi="宋体"/>
              </w:rPr>
              <w:t>）</w:t>
            </w:r>
          </w:p>
        </w:tc>
        <w:tc>
          <w:tcPr>
            <w:tcW w:w="709" w:type="dxa"/>
            <w:vMerge w:val="restart"/>
            <w:vAlign w:val="center"/>
          </w:tcPr>
          <w:p>
            <w:pPr>
              <w:spacing w:line="400" w:lineRule="exact"/>
              <w:jc w:val="center"/>
              <w:rPr>
                <w:rFonts w:ascii="宋体" w:hAnsi="宋体"/>
              </w:rPr>
            </w:pPr>
            <w:r>
              <w:rPr>
                <w:rFonts w:hint="eastAsia" w:ascii="宋体" w:hAnsi="宋体"/>
              </w:rPr>
              <w:t>商务部分</w:t>
            </w:r>
            <w:r>
              <w:rPr>
                <w:rFonts w:ascii="宋体" w:hAnsi="宋体"/>
                <w:kern w:val="0"/>
              </w:rPr>
              <w:t>得分</w:t>
            </w:r>
            <w:r>
              <w:rPr>
                <w:rFonts w:ascii="宋体" w:hAnsi="宋体"/>
                <w:spacing w:val="-4"/>
              </w:rPr>
              <w:t>（</w:t>
            </w:r>
            <w:r>
              <w:rPr>
                <w:rFonts w:hint="eastAsia" w:ascii="宋体" w:hAnsi="宋体"/>
                <w:spacing w:val="-4"/>
              </w:rPr>
              <w:t>B）</w:t>
            </w:r>
          </w:p>
        </w:tc>
        <w:tc>
          <w:tcPr>
            <w:tcW w:w="2504" w:type="dxa"/>
            <w:gridSpan w:val="3"/>
            <w:vAlign w:val="center"/>
          </w:tcPr>
          <w:p>
            <w:pPr>
              <w:tabs>
                <w:tab w:val="left" w:pos="1875"/>
              </w:tabs>
              <w:spacing w:line="400" w:lineRule="exact"/>
              <w:jc w:val="center"/>
              <w:rPr>
                <w:rFonts w:hint="eastAsia" w:ascii="宋体" w:hAnsi="宋体"/>
                <w:color w:val="auto"/>
                <w:highlight w:val="none"/>
              </w:rPr>
            </w:pPr>
            <w:r>
              <w:rPr>
                <w:rFonts w:hint="eastAsia" w:ascii="宋体" w:hAnsi="宋体"/>
                <w:color w:val="auto"/>
                <w:highlight w:val="none"/>
              </w:rPr>
              <w:t>评标标准详见</w:t>
            </w:r>
          </w:p>
          <w:p>
            <w:pPr>
              <w:tabs>
                <w:tab w:val="left" w:pos="1875"/>
              </w:tabs>
              <w:spacing w:line="400" w:lineRule="exact"/>
              <w:jc w:val="center"/>
            </w:pPr>
            <w:r>
              <w:rPr>
                <w:rFonts w:hint="eastAsia" w:ascii="宋体" w:hAnsi="宋体"/>
                <w:color w:val="auto"/>
                <w:highlight w:val="none"/>
              </w:rPr>
              <w:t>2.2.2（2）</w:t>
            </w:r>
          </w:p>
        </w:tc>
        <w:tc>
          <w:tcPr>
            <w:tcW w:w="5492" w:type="dxa"/>
            <w:vMerge w:val="restart"/>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评标委员会按第2.2.</w:t>
            </w:r>
            <w:r>
              <w:rPr>
                <w:rFonts w:hint="eastAsia" w:ascii="宋体" w:hAnsi="宋体"/>
                <w:szCs w:val="21"/>
              </w:rPr>
              <w:t>2（2）项</w:t>
            </w:r>
            <w:r>
              <w:rPr>
                <w:rFonts w:ascii="宋体" w:hAnsi="宋体"/>
                <w:szCs w:val="21"/>
              </w:rPr>
              <w:t>各评审因素设定的分值</w:t>
            </w:r>
            <w:r>
              <w:rPr>
                <w:rFonts w:hint="eastAsia" w:ascii="宋体" w:hAnsi="宋体"/>
                <w:szCs w:val="21"/>
              </w:rPr>
              <w:t>统一进行</w:t>
            </w:r>
            <w:r>
              <w:rPr>
                <w:rFonts w:ascii="宋体" w:hAnsi="宋体"/>
                <w:szCs w:val="21"/>
              </w:rPr>
              <w:t>评分。</w:t>
            </w:r>
            <w:r>
              <w:rPr>
                <w:rFonts w:hint="eastAsia" w:ascii="宋体" w:hAnsi="宋体"/>
                <w:kern w:val="0"/>
                <w:szCs w:val="21"/>
              </w:rPr>
              <w:t>商务评分的最终结果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768" w:type="dxa"/>
            <w:vAlign w:val="center"/>
          </w:tcPr>
          <w:p>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60" w:type="dxa"/>
            <w:gridSpan w:val="2"/>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pPr>
              <w:spacing w:line="400" w:lineRule="exact"/>
              <w:jc w:val="center"/>
              <w:rPr>
                <w:rFonts w:ascii="宋体" w:hAnsi="宋体"/>
              </w:rPr>
            </w:pPr>
            <w:r>
              <w:rPr>
                <w:rFonts w:hint="eastAsia" w:ascii="宋体" w:hAnsi="宋体"/>
                <w:lang w:eastAsia="zh-CN"/>
              </w:rPr>
              <w:t>报价</w:t>
            </w:r>
            <w:r>
              <w:rPr>
                <w:rFonts w:hint="eastAsia" w:ascii="宋体" w:hAnsi="宋体"/>
              </w:rPr>
              <w:t>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tcBorders>
              <w:top w:val="single" w:color="auto" w:sz="4" w:space="0"/>
            </w:tcBorders>
            <w:vAlign w:val="center"/>
          </w:tcPr>
          <w:p>
            <w:pPr>
              <w:spacing w:line="400" w:lineRule="exact"/>
              <w:jc w:val="center"/>
              <w:rPr>
                <w:rFonts w:ascii="宋体" w:hAnsi="宋体"/>
              </w:rPr>
            </w:pPr>
            <w:r>
              <w:rPr>
                <w:rFonts w:ascii="宋体" w:hAnsi="宋体"/>
              </w:rPr>
              <w:t>投标总报价</w:t>
            </w:r>
          </w:p>
        </w:tc>
        <w:tc>
          <w:tcPr>
            <w:tcW w:w="5492" w:type="dxa"/>
            <w:vAlign w:val="center"/>
          </w:tcPr>
          <w:p>
            <w:pPr>
              <w:spacing w:line="400" w:lineRule="exact"/>
              <w:ind w:firstLine="420" w:firstLineChars="200"/>
              <w:rPr>
                <w:rFonts w:ascii="宋体" w:hAnsi="宋体"/>
                <w:szCs w:val="21"/>
              </w:rPr>
            </w:pPr>
            <w:r>
              <w:rPr>
                <w:rFonts w:ascii="宋体" w:hAnsi="宋体"/>
                <w:kern w:val="0"/>
              </w:rPr>
              <w:t>所有通过初步评审</w:t>
            </w:r>
            <w:r>
              <w:rPr>
                <w:rFonts w:hint="eastAsia" w:ascii="宋体" w:hAnsi="宋体"/>
                <w:kern w:val="0"/>
              </w:rPr>
              <w:t>和</w:t>
            </w:r>
            <w:r>
              <w:rPr>
                <w:rFonts w:hint="eastAsia" w:ascii="宋体" w:hAnsi="宋体"/>
                <w:kern w:val="0"/>
                <w:szCs w:val="21"/>
              </w:rPr>
              <w:t>本章</w:t>
            </w:r>
            <w:r>
              <w:rPr>
                <w:rFonts w:hint="eastAsia" w:ascii="宋体" w:hAnsi="宋体"/>
                <w:kern w:val="0"/>
              </w:rPr>
              <w:t>第2.2.2（3）目评审</w:t>
            </w:r>
            <w:r>
              <w:rPr>
                <w:rFonts w:ascii="宋体" w:hAnsi="宋体"/>
                <w:kern w:val="0"/>
              </w:rPr>
              <w:t>合格的</w:t>
            </w:r>
            <w:r>
              <w:rPr>
                <w:rFonts w:ascii="宋体" w:hAnsi="宋体"/>
                <w:kern w:val="0"/>
                <w:szCs w:val="21"/>
              </w:rPr>
              <w:t>投标人</w:t>
            </w:r>
            <w:r>
              <w:rPr>
                <w:rFonts w:ascii="宋体" w:hAnsi="宋体"/>
                <w:szCs w:val="21"/>
              </w:rPr>
              <w:t>的</w:t>
            </w:r>
            <w:r>
              <w:rPr>
                <w:rFonts w:ascii="宋体" w:hAnsi="宋体"/>
                <w:kern w:val="0"/>
              </w:rPr>
              <w:t>投标总报价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未参与评标基准价计算的投标报价，仍应参加计算相应分值。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投标总报价</w:t>
            </w:r>
            <w:r>
              <w:rPr>
                <w:rFonts w:ascii="宋体" w:hAnsi="宋体"/>
                <w:kern w:val="0"/>
                <w:szCs w:val="21"/>
              </w:rPr>
              <w:t>评分</w:t>
            </w:r>
            <w:r>
              <w:rPr>
                <w:rFonts w:hint="eastAsia" w:ascii="宋体" w:hAnsi="宋体"/>
                <w:kern w:val="0"/>
                <w:szCs w:val="21"/>
              </w:rPr>
              <w:t>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768" w:type="dxa"/>
            <w:vAlign w:val="center"/>
          </w:tcPr>
          <w:p>
            <w:pPr>
              <w:spacing w:line="400" w:lineRule="exact"/>
              <w:jc w:val="center"/>
              <w:rPr>
                <w:rFonts w:ascii="宋体" w:hAnsi="宋体"/>
              </w:rPr>
            </w:pPr>
            <w:r>
              <w:rPr>
                <w:rFonts w:hint="eastAsia" w:ascii="宋体" w:hAnsi="宋体"/>
              </w:rPr>
              <w:t>3.2.1（3）</w:t>
            </w:r>
          </w:p>
        </w:tc>
        <w:tc>
          <w:tcPr>
            <w:tcW w:w="1560" w:type="dxa"/>
            <w:gridSpan w:val="2"/>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w:t>
            </w:r>
            <w:r>
              <w:rPr>
                <w:rFonts w:hint="eastAsia" w:ascii="宋体" w:hAnsi="宋体"/>
                <w:b/>
                <w:kern w:val="0"/>
                <w:szCs w:val="21"/>
              </w:rPr>
              <w:t>二</w:t>
            </w:r>
            <w:r>
              <w:rPr>
                <w:rFonts w:ascii="宋体" w:hAnsi="宋体"/>
                <w:b/>
                <w:kern w:val="0"/>
              </w:rPr>
              <w:t>：</w:t>
            </w:r>
          </w:p>
          <w:p>
            <w:pPr>
              <w:spacing w:line="400" w:lineRule="exact"/>
              <w:jc w:val="center"/>
              <w:rPr>
                <w:rFonts w:ascii="宋体" w:hAnsi="宋体"/>
              </w:rPr>
            </w:pPr>
            <w:r>
              <w:rPr>
                <w:rFonts w:hint="eastAsia" w:ascii="宋体" w:hAnsi="宋体"/>
                <w:lang w:eastAsia="zh-CN"/>
              </w:rPr>
              <w:t>报价</w:t>
            </w:r>
            <w:r>
              <w:rPr>
                <w:rFonts w:hint="eastAsia" w:ascii="宋体" w:hAnsi="宋体"/>
              </w:rPr>
              <w:t>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tcBorders>
              <w:top w:val="single" w:color="auto" w:sz="4" w:space="0"/>
            </w:tcBorders>
            <w:vAlign w:val="center"/>
          </w:tcPr>
          <w:p>
            <w:pPr>
              <w:spacing w:line="400" w:lineRule="exact"/>
              <w:jc w:val="center"/>
              <w:rPr>
                <w:rFonts w:ascii="宋体" w:hAnsi="宋体"/>
              </w:rPr>
            </w:pPr>
            <w:r>
              <w:rPr>
                <w:rFonts w:ascii="宋体" w:hAnsi="宋体"/>
              </w:rPr>
              <w:t>投标总报价</w:t>
            </w:r>
          </w:p>
        </w:tc>
        <w:tc>
          <w:tcPr>
            <w:tcW w:w="5492" w:type="dxa"/>
            <w:vAlign w:val="center"/>
          </w:tcPr>
          <w:p>
            <w:pPr>
              <w:spacing w:line="400" w:lineRule="exact"/>
              <w:ind w:firstLine="420" w:firstLineChars="200"/>
              <w:rPr>
                <w:rFonts w:ascii="宋体" w:hAnsi="宋体"/>
                <w:szCs w:val="21"/>
              </w:rPr>
            </w:pPr>
            <w:r>
              <w:rPr>
                <w:rFonts w:ascii="宋体" w:hAnsi="宋体"/>
                <w:kern w:val="0"/>
              </w:rPr>
              <w:t>所有通过初步评审</w:t>
            </w:r>
            <w:r>
              <w:rPr>
                <w:rFonts w:hint="eastAsia" w:ascii="宋体" w:hAnsi="宋体"/>
                <w:kern w:val="0"/>
              </w:rPr>
              <w:t>和</w:t>
            </w:r>
            <w:r>
              <w:rPr>
                <w:rFonts w:hint="eastAsia" w:ascii="宋体" w:hAnsi="宋体"/>
                <w:kern w:val="0"/>
                <w:szCs w:val="21"/>
              </w:rPr>
              <w:t>本章</w:t>
            </w:r>
            <w:r>
              <w:rPr>
                <w:rFonts w:hint="eastAsia" w:ascii="宋体" w:hAnsi="宋体"/>
                <w:kern w:val="0"/>
              </w:rPr>
              <w:t>第2.2.2（3）目评审</w:t>
            </w:r>
            <w:r>
              <w:rPr>
                <w:rFonts w:ascii="宋体" w:hAnsi="宋体"/>
                <w:kern w:val="0"/>
              </w:rPr>
              <w:t>合格的</w:t>
            </w:r>
            <w:r>
              <w:rPr>
                <w:rFonts w:ascii="宋体" w:hAnsi="宋体"/>
                <w:kern w:val="0"/>
                <w:szCs w:val="21"/>
              </w:rPr>
              <w:t>投标人</w:t>
            </w:r>
            <w:r>
              <w:rPr>
                <w:rFonts w:ascii="宋体" w:hAnsi="宋体"/>
                <w:szCs w:val="21"/>
              </w:rPr>
              <w:t>的</w:t>
            </w:r>
            <w:r>
              <w:rPr>
                <w:rFonts w:ascii="宋体" w:hAnsi="宋体"/>
                <w:kern w:val="0"/>
              </w:rPr>
              <w:t>投标总报价</w:t>
            </w:r>
            <w:r>
              <w:rPr>
                <w:rFonts w:ascii="宋体" w:hAnsi="宋体"/>
                <w:szCs w:val="21"/>
              </w:rPr>
              <w:t>，</w:t>
            </w:r>
            <w:r>
              <w:rPr>
                <w:rFonts w:hint="eastAsia" w:ascii="宋体" w:hAnsi="宋体"/>
                <w:szCs w:val="21"/>
              </w:rPr>
              <w:t>等于评标基准价P1的</w:t>
            </w:r>
            <w:r>
              <w:rPr>
                <w:rFonts w:ascii="宋体" w:hAnsi="宋体"/>
                <w:bCs/>
                <w:szCs w:val="28"/>
              </w:rPr>
              <w:t>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未参与评标基准价计算的投标报价，仍应参加计算相应分值。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投标总报价</w:t>
            </w:r>
            <w:r>
              <w:rPr>
                <w:rFonts w:ascii="宋体" w:hAnsi="宋体"/>
                <w:kern w:val="0"/>
                <w:szCs w:val="21"/>
              </w:rPr>
              <w:t>评分</w:t>
            </w:r>
            <w:r>
              <w:rPr>
                <w:rFonts w:hint="eastAsia" w:ascii="宋体" w:hAnsi="宋体"/>
                <w:kern w:val="0"/>
                <w:szCs w:val="21"/>
              </w:rPr>
              <w:t>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restart"/>
            <w:vAlign w:val="center"/>
          </w:tcPr>
          <w:p>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60" w:type="dxa"/>
            <w:gridSpan w:val="2"/>
            <w:vMerge w:val="restart"/>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w:t>
            </w:r>
            <w:r>
              <w:rPr>
                <w:rFonts w:hint="eastAsia" w:ascii="宋体" w:hAnsi="宋体"/>
                <w:b/>
                <w:kern w:val="0"/>
                <w:szCs w:val="21"/>
              </w:rPr>
              <w:t>三</w:t>
            </w:r>
            <w:r>
              <w:rPr>
                <w:rFonts w:ascii="宋体" w:hAnsi="宋体"/>
                <w:b/>
                <w:kern w:val="0"/>
              </w:rPr>
              <w:t>：</w:t>
            </w:r>
          </w:p>
          <w:p>
            <w:pPr>
              <w:spacing w:line="400" w:lineRule="exact"/>
              <w:jc w:val="center"/>
              <w:rPr>
                <w:rFonts w:ascii="宋体" w:hAnsi="宋体"/>
              </w:rPr>
            </w:pPr>
            <w:r>
              <w:rPr>
                <w:rFonts w:hint="eastAsia" w:ascii="宋体" w:hAnsi="宋体"/>
                <w:lang w:eastAsia="zh-CN"/>
              </w:rPr>
              <w:t>报价</w:t>
            </w:r>
            <w:r>
              <w:rPr>
                <w:rFonts w:hint="eastAsia" w:ascii="宋体" w:hAnsi="宋体"/>
              </w:rPr>
              <w:t>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vAlign w:val="center"/>
          </w:tcPr>
          <w:p>
            <w:pPr>
              <w:spacing w:line="400" w:lineRule="exact"/>
              <w:jc w:val="center"/>
              <w:rPr>
                <w:rFonts w:ascii="宋体" w:hAnsi="宋体"/>
              </w:rPr>
            </w:pPr>
            <w:r>
              <w:rPr>
                <w:rFonts w:hint="eastAsia" w:ascii="宋体" w:hAnsi="宋体"/>
                <w:bCs/>
                <w:kern w:val="0"/>
              </w:rPr>
              <w:t>□</w:t>
            </w:r>
            <w:r>
              <w:rPr>
                <w:rFonts w:hint="eastAsia" w:ascii="宋体" w:hAnsi="宋体"/>
              </w:rPr>
              <w:t>设计费</w:t>
            </w:r>
            <w:r>
              <w:rPr>
                <w:rFonts w:ascii="宋体" w:hAnsi="宋体"/>
              </w:rPr>
              <w:t>报价</w:t>
            </w:r>
          </w:p>
        </w:tc>
        <w:tc>
          <w:tcPr>
            <w:tcW w:w="5492" w:type="dxa"/>
            <w:vAlign w:val="center"/>
          </w:tcPr>
          <w:p>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暂定设计费</w:t>
            </w:r>
            <w:r>
              <w:rPr>
                <w:rFonts w:ascii="宋体" w:hAnsi="宋体"/>
                <w:szCs w:val="21"/>
              </w:rPr>
              <w:t>报</w:t>
            </w:r>
            <w:r>
              <w:rPr>
                <w:rFonts w:ascii="宋体" w:hAnsi="宋体"/>
                <w:kern w:val="0"/>
                <w:szCs w:val="21"/>
              </w:rPr>
              <w:t>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暂定设计费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（0.2～0.4）</w:t>
            </w:r>
            <w:r>
              <w:rPr>
                <w:rFonts w:ascii="宋体" w:hAnsi="宋体"/>
                <w:szCs w:val="21"/>
              </w:rPr>
              <w:t>分，每减少1%</w:t>
            </w:r>
            <w:r>
              <w:rPr>
                <w:rFonts w:hint="eastAsia" w:ascii="宋体" w:hAnsi="宋体"/>
                <w:szCs w:val="21"/>
              </w:rPr>
              <w:t>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（0.1～0.2）</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暂定设计费</w:t>
            </w:r>
            <w:r>
              <w:rPr>
                <w:rFonts w:ascii="宋体" w:hAnsi="宋体"/>
                <w:szCs w:val="21"/>
              </w:rPr>
              <w:t>投标报价，仍应参加计算相应分值。</w:t>
            </w:r>
          </w:p>
          <w:p>
            <w:pPr>
              <w:spacing w:line="400" w:lineRule="exact"/>
              <w:ind w:firstLine="420" w:firstLineChars="200"/>
              <w:rPr>
                <w:rFonts w:ascii="宋体" w:hAnsi="宋体"/>
                <w:kern w:val="0"/>
              </w:rPr>
            </w:pPr>
            <w:r>
              <w:rPr>
                <w:rFonts w:hint="eastAsia" w:ascii="宋体" w:hAnsi="宋体"/>
                <w:kern w:val="0"/>
                <w:szCs w:val="21"/>
              </w:rPr>
              <w:t>设计费</w:t>
            </w:r>
            <w:r>
              <w:rPr>
                <w:rFonts w:ascii="宋体" w:hAnsi="宋体"/>
                <w:kern w:val="0"/>
                <w:szCs w:val="21"/>
              </w:rPr>
              <w:t>报价评</w:t>
            </w:r>
            <w:r>
              <w:rPr>
                <w:rFonts w:hint="eastAsia" w:ascii="宋体" w:hAnsi="宋体"/>
                <w:kern w:val="0"/>
                <w:szCs w:val="21"/>
              </w:rPr>
              <w:t>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vAlign w:val="center"/>
          </w:tcPr>
          <w:p>
            <w:pPr>
              <w:spacing w:line="400" w:lineRule="exact"/>
              <w:jc w:val="center"/>
              <w:rPr>
                <w:rFonts w:ascii="宋体" w:hAnsi="宋体"/>
              </w:rPr>
            </w:pPr>
          </w:p>
        </w:tc>
        <w:tc>
          <w:tcPr>
            <w:tcW w:w="1560" w:type="dxa"/>
            <w:gridSpan w:val="2"/>
            <w:vMerge w:val="continue"/>
            <w:vAlign w:val="center"/>
          </w:tcPr>
          <w:p>
            <w:pPr>
              <w:spacing w:line="400" w:lineRule="exact"/>
              <w:jc w:val="center"/>
              <w:rPr>
                <w:rFonts w:ascii="宋体" w:hAnsi="宋体"/>
              </w:rPr>
            </w:pPr>
          </w:p>
        </w:tc>
        <w:tc>
          <w:tcPr>
            <w:tcW w:w="1653" w:type="dxa"/>
            <w:gridSpan w:val="2"/>
            <w:vAlign w:val="center"/>
          </w:tcPr>
          <w:p>
            <w:pPr>
              <w:spacing w:line="400" w:lineRule="exact"/>
              <w:jc w:val="center"/>
              <w:rPr>
                <w:rFonts w:ascii="宋体" w:hAnsi="宋体"/>
              </w:rPr>
            </w:pPr>
            <w:r>
              <w:rPr>
                <w:rFonts w:hint="eastAsia" w:ascii="宋体" w:hAnsi="宋体"/>
                <w:bCs/>
                <w:kern w:val="0"/>
              </w:rPr>
              <w:t>□</w:t>
            </w:r>
            <w:r>
              <w:rPr>
                <w:rFonts w:hint="eastAsia" w:ascii="宋体" w:hAnsi="宋体" w:cs="宋体"/>
                <w:kern w:val="0"/>
              </w:rPr>
              <w:t>专业设备材料费报价</w:t>
            </w:r>
          </w:p>
        </w:tc>
        <w:tc>
          <w:tcPr>
            <w:tcW w:w="5492" w:type="dxa"/>
            <w:vAlign w:val="center"/>
          </w:tcPr>
          <w:p>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kern w:val="0"/>
              </w:rPr>
              <w:t>暂定</w:t>
            </w:r>
            <w:r>
              <w:rPr>
                <w:rFonts w:hint="eastAsia" w:ascii="宋体" w:hAnsi="宋体" w:cs="宋体"/>
                <w:kern w:val="0"/>
              </w:rPr>
              <w:t>专业设备材料费</w:t>
            </w:r>
            <w:r>
              <w:rPr>
                <w:rFonts w:hint="eastAsia" w:ascii="宋体" w:hAnsi="宋体"/>
                <w:kern w:val="0"/>
              </w:rPr>
              <w:t>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w:t>
            </w:r>
            <w:r>
              <w:rPr>
                <w:rFonts w:hint="eastAsia" w:ascii="宋体" w:hAnsi="宋体" w:cs="宋体"/>
                <w:kern w:val="0"/>
              </w:rPr>
              <w:t>专业设备材料费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（0.5～1）</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（0.25～0.5）</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w:t>
            </w:r>
            <w:r>
              <w:rPr>
                <w:rFonts w:hint="eastAsia" w:ascii="宋体" w:hAnsi="宋体" w:cs="宋体"/>
                <w:kern w:val="0"/>
              </w:rPr>
              <w:t>专业设备材料费</w:t>
            </w:r>
            <w:r>
              <w:rPr>
                <w:rFonts w:ascii="宋体" w:hAnsi="宋体"/>
                <w:szCs w:val="21"/>
              </w:rPr>
              <w:t>投标报价，仍应参加计算相应分值。</w:t>
            </w:r>
          </w:p>
          <w:p>
            <w:pPr>
              <w:spacing w:line="400" w:lineRule="exact"/>
              <w:ind w:firstLine="420" w:firstLineChars="200"/>
              <w:rPr>
                <w:rFonts w:ascii="宋体" w:hAnsi="宋体"/>
                <w:kern w:val="0"/>
                <w:szCs w:val="21"/>
              </w:rPr>
            </w:pPr>
            <w:r>
              <w:rPr>
                <w:rFonts w:hint="eastAsia" w:ascii="宋体" w:hAnsi="宋体" w:cs="宋体"/>
                <w:kern w:val="0"/>
              </w:rPr>
              <w:t>专业设备材料费报价</w:t>
            </w:r>
            <w:r>
              <w:rPr>
                <w:rFonts w:hint="eastAsia" w:ascii="宋体" w:hAnsi="宋体"/>
                <w:kern w:val="0"/>
                <w:szCs w:val="21"/>
              </w:rPr>
              <w:t>评分的最终结果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68" w:type="dxa"/>
            <w:vMerge w:val="continue"/>
            <w:vAlign w:val="center"/>
          </w:tcPr>
          <w:p>
            <w:pPr>
              <w:spacing w:line="400" w:lineRule="exact"/>
              <w:jc w:val="center"/>
              <w:rPr>
                <w:rFonts w:ascii="宋体" w:hAnsi="宋体"/>
              </w:rPr>
            </w:pPr>
          </w:p>
        </w:tc>
        <w:tc>
          <w:tcPr>
            <w:tcW w:w="1560" w:type="dxa"/>
            <w:gridSpan w:val="2"/>
            <w:vMerge w:val="continue"/>
            <w:vAlign w:val="center"/>
          </w:tcPr>
          <w:p>
            <w:pPr>
              <w:spacing w:line="400" w:lineRule="exact"/>
              <w:jc w:val="center"/>
              <w:rPr>
                <w:rFonts w:ascii="宋体" w:hAnsi="宋体"/>
              </w:rPr>
            </w:pPr>
          </w:p>
        </w:tc>
        <w:tc>
          <w:tcPr>
            <w:tcW w:w="1653" w:type="dxa"/>
            <w:gridSpan w:val="2"/>
            <w:vAlign w:val="center"/>
          </w:tcPr>
          <w:p>
            <w:pPr>
              <w:spacing w:line="400" w:lineRule="exact"/>
              <w:jc w:val="center"/>
              <w:rPr>
                <w:rFonts w:ascii="宋体" w:hAnsi="宋体"/>
              </w:rPr>
            </w:pPr>
            <w:r>
              <w:rPr>
                <w:rFonts w:hint="eastAsia" w:ascii="宋体" w:hAnsi="宋体"/>
              </w:rPr>
              <w:t>建筑安装工程费报价</w:t>
            </w:r>
          </w:p>
        </w:tc>
        <w:tc>
          <w:tcPr>
            <w:tcW w:w="5492" w:type="dxa"/>
            <w:vAlign w:val="center"/>
          </w:tcPr>
          <w:p>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kern w:val="0"/>
              </w:rPr>
              <w:t>暂定建筑安装工程费报价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暂定建筑安装工程费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（0.5～1）</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暂定建筑安装工程费</w:t>
            </w:r>
            <w:r>
              <w:rPr>
                <w:rFonts w:ascii="宋体" w:hAnsi="宋体"/>
                <w:szCs w:val="21"/>
              </w:rPr>
              <w:t>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建筑安装工程费</w:t>
            </w:r>
            <w:r>
              <w:rPr>
                <w:rFonts w:ascii="宋体" w:hAnsi="宋体"/>
                <w:kern w:val="0"/>
                <w:szCs w:val="21"/>
              </w:rPr>
              <w:t>报价评</w:t>
            </w:r>
            <w:r>
              <w:rPr>
                <w:rFonts w:hint="eastAsia" w:ascii="宋体" w:hAnsi="宋体"/>
                <w:kern w:val="0"/>
                <w:szCs w:val="21"/>
              </w:rPr>
              <w:t>分的最终结果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28" w:type="dxa"/>
            <w:gridSpan w:val="3"/>
            <w:vAlign w:val="center"/>
          </w:tcPr>
          <w:p>
            <w:pPr>
              <w:spacing w:line="400" w:lineRule="exact"/>
              <w:ind w:firstLine="18" w:firstLineChars="9"/>
              <w:jc w:val="center"/>
              <w:rPr>
                <w:rFonts w:ascii="宋体" w:hAnsi="宋体"/>
                <w:szCs w:val="21"/>
              </w:rPr>
            </w:pPr>
            <w:r>
              <w:rPr>
                <w:rFonts w:ascii="宋体" w:hAnsi="宋体"/>
                <w:szCs w:val="21"/>
              </w:rPr>
              <w:t>3.2.3</w:t>
            </w:r>
          </w:p>
        </w:tc>
        <w:tc>
          <w:tcPr>
            <w:tcW w:w="1653" w:type="dxa"/>
            <w:gridSpan w:val="2"/>
            <w:vAlign w:val="center"/>
          </w:tcPr>
          <w:p>
            <w:pPr>
              <w:spacing w:line="400" w:lineRule="exact"/>
              <w:ind w:firstLine="18" w:firstLineChars="9"/>
              <w:jc w:val="center"/>
              <w:rPr>
                <w:rFonts w:ascii="宋体" w:hAnsi="宋体"/>
                <w:szCs w:val="21"/>
              </w:rPr>
            </w:pPr>
            <w:r>
              <w:rPr>
                <w:rFonts w:ascii="宋体" w:hAnsi="宋体"/>
                <w:szCs w:val="21"/>
              </w:rPr>
              <w:t>投标人得分</w:t>
            </w:r>
          </w:p>
        </w:tc>
        <w:tc>
          <w:tcPr>
            <w:tcW w:w="5492" w:type="dxa"/>
            <w:vAlign w:val="center"/>
          </w:tcPr>
          <w:p>
            <w:pPr>
              <w:spacing w:line="400" w:lineRule="exact"/>
              <w:jc w:val="center"/>
              <w:rPr>
                <w:rFonts w:ascii="宋体" w:hAnsi="宋体"/>
                <w:szCs w:val="21"/>
                <w:u w:val="single"/>
              </w:rPr>
            </w:pPr>
            <w:r>
              <w:rPr>
                <w:rFonts w:ascii="宋体" w:hAnsi="宋体"/>
                <w:szCs w:val="21"/>
              </w:rPr>
              <w:t>投标人得分=A+B</w:t>
            </w:r>
            <w:r>
              <w:rPr>
                <w:rFonts w:hint="eastAsia" w:ascii="宋体" w:hAnsi="宋体"/>
                <w:szCs w:val="21"/>
              </w:rPr>
              <w:t>+C</w:t>
            </w:r>
          </w:p>
        </w:tc>
      </w:tr>
    </w:tbl>
    <w:p>
      <w:pPr>
        <w:pStyle w:val="4"/>
        <w:spacing w:before="0" w:after="0" w:line="360" w:lineRule="auto"/>
        <w:rPr>
          <w:rFonts w:ascii="宋体" w:hAnsi="宋体"/>
          <w:b w:val="0"/>
          <w:snapToGrid w:val="0"/>
        </w:rPr>
      </w:pPr>
      <w:bookmarkStart w:id="791" w:name="_Toc509218776"/>
      <w:r>
        <w:rPr>
          <w:rFonts w:ascii="宋体" w:hAnsi="宋体"/>
          <w:b w:val="0"/>
          <w:snapToGrid w:val="0"/>
        </w:rPr>
        <w:br w:type="page"/>
      </w:r>
      <w:bookmarkStart w:id="792" w:name="_Toc30408"/>
      <w:bookmarkStart w:id="793" w:name="_Toc10899"/>
      <w:bookmarkStart w:id="794" w:name="_Toc3418"/>
      <w:r>
        <w:rPr>
          <w:rFonts w:ascii="宋体" w:hAnsi="宋体"/>
          <w:b w:val="0"/>
          <w:snapToGrid w:val="0"/>
        </w:rPr>
        <w:t>1.  评标方法</w:t>
      </w:r>
      <w:bookmarkEnd w:id="771"/>
      <w:bookmarkEnd w:id="772"/>
      <w:bookmarkEnd w:id="773"/>
      <w:bookmarkEnd w:id="774"/>
      <w:bookmarkEnd w:id="775"/>
      <w:bookmarkEnd w:id="776"/>
      <w:bookmarkEnd w:id="791"/>
      <w:bookmarkEnd w:id="792"/>
      <w:bookmarkEnd w:id="793"/>
      <w:bookmarkEnd w:id="794"/>
    </w:p>
    <w:p>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pPr>
        <w:pStyle w:val="4"/>
        <w:spacing w:before="0" w:after="0" w:line="360" w:lineRule="auto"/>
        <w:rPr>
          <w:rFonts w:ascii="宋体" w:hAnsi="宋体"/>
          <w:b w:val="0"/>
          <w:snapToGrid w:val="0"/>
        </w:rPr>
      </w:pPr>
      <w:bookmarkStart w:id="795" w:name="_Toc12587"/>
      <w:bookmarkStart w:id="796" w:name="_Toc509218777"/>
      <w:bookmarkStart w:id="797" w:name="_Toc7182"/>
      <w:bookmarkStart w:id="798" w:name="_Toc430530501"/>
      <w:bookmarkStart w:id="799" w:name="_Toc287620752"/>
      <w:bookmarkStart w:id="800" w:name="_Toc277082619"/>
      <w:bookmarkStart w:id="801" w:name="_Toc200513199"/>
      <w:bookmarkStart w:id="802" w:name="_Toc224103385"/>
      <w:bookmarkStart w:id="803" w:name="_Toc9131"/>
      <w:bookmarkStart w:id="804" w:name="_Toc287607813"/>
      <w:r>
        <w:rPr>
          <w:rFonts w:ascii="宋体" w:hAnsi="宋体"/>
          <w:b w:val="0"/>
          <w:snapToGrid w:val="0"/>
        </w:rPr>
        <w:t>2.  评审标准</w:t>
      </w:r>
      <w:bookmarkEnd w:id="795"/>
      <w:bookmarkEnd w:id="796"/>
      <w:bookmarkEnd w:id="797"/>
      <w:bookmarkEnd w:id="798"/>
      <w:bookmarkEnd w:id="799"/>
      <w:bookmarkEnd w:id="800"/>
      <w:bookmarkEnd w:id="801"/>
      <w:bookmarkEnd w:id="802"/>
      <w:bookmarkEnd w:id="803"/>
      <w:bookmarkEnd w:id="804"/>
    </w:p>
    <w:p>
      <w:pPr>
        <w:pStyle w:val="5"/>
        <w:snapToGrid w:val="0"/>
        <w:spacing w:before="0" w:after="0" w:line="360" w:lineRule="auto"/>
        <w:rPr>
          <w:rFonts w:ascii="宋体" w:hAnsi="宋体"/>
          <w:b w:val="0"/>
          <w:snapToGrid w:val="0"/>
          <w:sz w:val="24"/>
          <w:szCs w:val="24"/>
        </w:rPr>
      </w:pPr>
      <w:bookmarkStart w:id="805" w:name="_Toc200513200"/>
      <w:bookmarkStart w:id="806" w:name="_Toc287620753"/>
      <w:bookmarkStart w:id="807" w:name="_Toc17562"/>
      <w:bookmarkStart w:id="808" w:name="_Toc430530502"/>
      <w:bookmarkStart w:id="809" w:name="_Toc277082620"/>
      <w:bookmarkStart w:id="810" w:name="_Toc509218778"/>
      <w:bookmarkStart w:id="811" w:name="_Toc4820"/>
      <w:bookmarkStart w:id="812" w:name="_Toc287607814"/>
      <w:bookmarkStart w:id="813" w:name="_Toc23852"/>
      <w:bookmarkStart w:id="814" w:name="_Toc224103386"/>
      <w:r>
        <w:rPr>
          <w:rFonts w:ascii="宋体" w:hAnsi="宋体"/>
          <w:b w:val="0"/>
          <w:snapToGrid w:val="0"/>
          <w:sz w:val="24"/>
          <w:szCs w:val="24"/>
        </w:rPr>
        <w:t>2.1  初步评审标准</w:t>
      </w:r>
      <w:bookmarkEnd w:id="805"/>
      <w:bookmarkEnd w:id="806"/>
      <w:bookmarkEnd w:id="807"/>
      <w:bookmarkEnd w:id="808"/>
      <w:bookmarkEnd w:id="809"/>
      <w:bookmarkEnd w:id="810"/>
      <w:bookmarkEnd w:id="811"/>
      <w:bookmarkEnd w:id="812"/>
      <w:bookmarkEnd w:id="813"/>
      <w:bookmarkEnd w:id="814"/>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pPr>
        <w:pStyle w:val="5"/>
        <w:snapToGrid w:val="0"/>
        <w:spacing w:before="0" w:after="0" w:line="360" w:lineRule="auto"/>
        <w:rPr>
          <w:rFonts w:ascii="宋体" w:hAnsi="宋体"/>
          <w:b w:val="0"/>
          <w:snapToGrid w:val="0"/>
          <w:sz w:val="24"/>
          <w:szCs w:val="24"/>
        </w:rPr>
      </w:pPr>
      <w:bookmarkStart w:id="815" w:name="_Toc430530503"/>
      <w:bookmarkStart w:id="816" w:name="_Toc5531"/>
      <w:bookmarkStart w:id="817" w:name="_Toc7887"/>
      <w:bookmarkStart w:id="818" w:name="_Toc509218779"/>
      <w:bookmarkStart w:id="819" w:name="_Toc277082621"/>
      <w:bookmarkStart w:id="820" w:name="_Toc287607815"/>
      <w:bookmarkStart w:id="821" w:name="_Toc200513201"/>
      <w:bookmarkStart w:id="822" w:name="_Toc20445"/>
      <w:bookmarkStart w:id="823" w:name="_Toc287620754"/>
      <w:bookmarkStart w:id="824" w:name="_Toc224103387"/>
      <w:r>
        <w:rPr>
          <w:rFonts w:ascii="宋体" w:hAnsi="宋体"/>
          <w:b w:val="0"/>
          <w:snapToGrid w:val="0"/>
          <w:sz w:val="24"/>
          <w:szCs w:val="24"/>
        </w:rPr>
        <w:t>2.2  分值构成与评分标准</w:t>
      </w:r>
      <w:bookmarkEnd w:id="815"/>
      <w:bookmarkEnd w:id="816"/>
      <w:bookmarkEnd w:id="817"/>
      <w:bookmarkEnd w:id="818"/>
      <w:bookmarkEnd w:id="819"/>
      <w:bookmarkEnd w:id="820"/>
      <w:bookmarkEnd w:id="821"/>
      <w:bookmarkEnd w:id="822"/>
      <w:bookmarkEnd w:id="823"/>
      <w:bookmarkEnd w:id="824"/>
    </w:p>
    <w:p>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w:t>
      </w:r>
      <w:r>
        <w:rPr>
          <w:rFonts w:hint="eastAsia" w:ascii="宋体" w:hAnsi="宋体"/>
          <w:kern w:val="0"/>
          <w:szCs w:val="21"/>
        </w:rPr>
        <w:t>技术部分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lang w:eastAsia="zh-CN"/>
        </w:rPr>
        <w:t>报价</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2  评审</w:t>
      </w:r>
      <w:r>
        <w:rPr>
          <w:rFonts w:ascii="宋体" w:hAnsi="宋体"/>
          <w:kern w:val="0"/>
          <w:szCs w:val="21"/>
        </w:rPr>
        <w:t>标准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w:t>
      </w:r>
      <w:r>
        <w:rPr>
          <w:rFonts w:hint="eastAsia" w:ascii="宋体" w:hAnsi="宋体"/>
          <w:kern w:val="0"/>
          <w:szCs w:val="21"/>
        </w:rPr>
        <w:t>技术部分评审</w:t>
      </w:r>
      <w:r>
        <w:rPr>
          <w:rFonts w:ascii="宋体" w:hAnsi="宋体"/>
          <w:kern w:val="0"/>
          <w:szCs w:val="21"/>
        </w:rPr>
        <w:t>标准：见评标办法前附表；（对于施工难度大、专业技术复杂的项目，应由招标人提出</w:t>
      </w:r>
      <w:r>
        <w:rPr>
          <w:rFonts w:hint="eastAsia" w:ascii="宋体" w:hAnsi="宋体"/>
          <w:kern w:val="0"/>
          <w:szCs w:val="21"/>
        </w:rPr>
        <w:t>技术部分</w:t>
      </w:r>
      <w:r>
        <w:rPr>
          <w:rFonts w:ascii="宋体" w:hAnsi="宋体"/>
          <w:kern w:val="0"/>
          <w:szCs w:val="21"/>
        </w:rPr>
        <w:t>方案编写要点，作为评分标准）。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商务部分评审</w:t>
      </w:r>
      <w:r>
        <w:rPr>
          <w:rFonts w:ascii="宋体" w:hAnsi="宋体"/>
          <w:kern w:val="0"/>
          <w:szCs w:val="21"/>
        </w:rPr>
        <w:t>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投标</w:t>
      </w:r>
      <w:r>
        <w:rPr>
          <w:rFonts w:ascii="宋体" w:hAnsi="宋体"/>
          <w:kern w:val="0"/>
          <w:szCs w:val="21"/>
        </w:rPr>
        <w:t>函及</w:t>
      </w:r>
      <w:r>
        <w:rPr>
          <w:rFonts w:hint="eastAsia" w:ascii="宋体" w:hAnsi="宋体"/>
          <w:kern w:val="0"/>
          <w:szCs w:val="21"/>
          <w:lang w:eastAsia="zh-CN"/>
        </w:rPr>
        <w:t>报价</w:t>
      </w:r>
      <w:r>
        <w:rPr>
          <w:rFonts w:hint="eastAsia" w:ascii="宋体" w:hAnsi="宋体"/>
          <w:kern w:val="0"/>
          <w:szCs w:val="21"/>
        </w:rPr>
        <w:t>部分评审</w:t>
      </w:r>
      <w:r>
        <w:rPr>
          <w:rFonts w:ascii="宋体" w:hAnsi="宋体"/>
          <w:kern w:val="0"/>
          <w:szCs w:val="21"/>
        </w:rPr>
        <w:t>标准：见评标办法前附表</w:t>
      </w:r>
      <w:r>
        <w:rPr>
          <w:rFonts w:hint="eastAsia" w:ascii="宋体" w:hAnsi="宋体"/>
          <w:kern w:val="0"/>
          <w:szCs w:val="21"/>
        </w:rPr>
        <w:t>。</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评标基准价计算方法：见评标办法前附表。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pPr>
        <w:pStyle w:val="4"/>
        <w:spacing w:before="0" w:after="0" w:line="360" w:lineRule="auto"/>
        <w:rPr>
          <w:rFonts w:ascii="宋体" w:hAnsi="宋体"/>
          <w:b w:val="0"/>
          <w:snapToGrid w:val="0"/>
        </w:rPr>
      </w:pPr>
      <w:bookmarkStart w:id="825" w:name="_Toc509218780"/>
      <w:bookmarkStart w:id="826" w:name="_Toc3372"/>
      <w:bookmarkStart w:id="827" w:name="_Toc287607816"/>
      <w:bookmarkStart w:id="828" w:name="_Toc24364"/>
      <w:bookmarkStart w:id="829" w:name="_Toc200513202"/>
      <w:bookmarkStart w:id="830" w:name="_Toc430530504"/>
      <w:bookmarkStart w:id="831" w:name="_Toc277082622"/>
      <w:bookmarkStart w:id="832" w:name="_Toc27600"/>
      <w:bookmarkStart w:id="833" w:name="_Toc287620755"/>
      <w:bookmarkStart w:id="834" w:name="_Toc224103388"/>
      <w:r>
        <w:rPr>
          <w:rFonts w:ascii="宋体" w:hAnsi="宋体"/>
          <w:b w:val="0"/>
          <w:snapToGrid w:val="0"/>
        </w:rPr>
        <w:t>3.  评标程序</w:t>
      </w:r>
      <w:bookmarkEnd w:id="825"/>
      <w:bookmarkEnd w:id="826"/>
      <w:bookmarkEnd w:id="827"/>
      <w:bookmarkEnd w:id="828"/>
      <w:bookmarkEnd w:id="829"/>
      <w:bookmarkEnd w:id="830"/>
      <w:bookmarkEnd w:id="831"/>
      <w:bookmarkEnd w:id="832"/>
      <w:bookmarkEnd w:id="833"/>
      <w:bookmarkEnd w:id="834"/>
    </w:p>
    <w:p>
      <w:pPr>
        <w:pStyle w:val="5"/>
        <w:snapToGrid w:val="0"/>
        <w:spacing w:before="0" w:after="0" w:line="360" w:lineRule="auto"/>
        <w:rPr>
          <w:rFonts w:ascii="宋体" w:hAnsi="宋体"/>
          <w:b w:val="0"/>
          <w:snapToGrid w:val="0"/>
          <w:sz w:val="24"/>
          <w:szCs w:val="24"/>
        </w:rPr>
      </w:pPr>
      <w:bookmarkStart w:id="835" w:name="_Toc430530505"/>
      <w:bookmarkStart w:id="836" w:name="_Toc287607817"/>
      <w:bookmarkStart w:id="837" w:name="_Toc509218781"/>
      <w:bookmarkStart w:id="838" w:name="_Toc224103389"/>
      <w:bookmarkStart w:id="839" w:name="_Toc4507"/>
      <w:bookmarkStart w:id="840" w:name="_Toc5322"/>
      <w:bookmarkStart w:id="841" w:name="_Toc29552"/>
      <w:bookmarkStart w:id="842" w:name="_Toc277082623"/>
      <w:bookmarkStart w:id="843" w:name="_Toc287620756"/>
      <w:bookmarkStart w:id="844" w:name="_Toc200513203"/>
      <w:r>
        <w:rPr>
          <w:rFonts w:ascii="宋体" w:hAnsi="宋体"/>
          <w:b w:val="0"/>
          <w:snapToGrid w:val="0"/>
          <w:sz w:val="24"/>
          <w:szCs w:val="24"/>
        </w:rPr>
        <w:t>3.1  初步评审</w:t>
      </w:r>
      <w:bookmarkEnd w:id="835"/>
      <w:bookmarkEnd w:id="836"/>
      <w:bookmarkEnd w:id="837"/>
      <w:bookmarkEnd w:id="838"/>
      <w:bookmarkEnd w:id="839"/>
      <w:bookmarkEnd w:id="840"/>
      <w:bookmarkEnd w:id="841"/>
      <w:bookmarkEnd w:id="842"/>
      <w:bookmarkEnd w:id="843"/>
      <w:bookmarkEnd w:id="84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）串通</w:t>
      </w:r>
      <w:r>
        <w:rPr>
          <w:rFonts w:ascii="宋体" w:hAnsi="宋体"/>
          <w:spacing w:val="-1"/>
          <w:kern w:val="0"/>
          <w:szCs w:val="21"/>
        </w:rPr>
        <w:t>投</w:t>
      </w:r>
      <w:r>
        <w:rPr>
          <w:rFonts w:ascii="宋体" w:hAnsi="宋体"/>
          <w:kern w:val="0"/>
          <w:szCs w:val="21"/>
        </w:rPr>
        <w:t>标或弄虚作假或有其他违法行为的；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）不按</w:t>
      </w:r>
      <w:r>
        <w:rPr>
          <w:rFonts w:ascii="宋体" w:hAnsi="宋体"/>
          <w:spacing w:val="-1"/>
          <w:kern w:val="0"/>
          <w:szCs w:val="21"/>
        </w:rPr>
        <w:t>评</w:t>
      </w:r>
      <w:r>
        <w:rPr>
          <w:rFonts w:ascii="宋体" w:hAnsi="宋体"/>
          <w:kern w:val="0"/>
          <w:szCs w:val="21"/>
        </w:rPr>
        <w:t>标委员会要求澄清、说明或补正的；</w:t>
      </w:r>
    </w:p>
    <w:p>
      <w:pPr>
        <w:pStyle w:val="5"/>
        <w:snapToGrid w:val="0"/>
        <w:spacing w:before="0" w:after="0" w:line="360" w:lineRule="auto"/>
        <w:rPr>
          <w:rFonts w:ascii="宋体" w:hAnsi="宋体"/>
          <w:b w:val="0"/>
          <w:snapToGrid w:val="0"/>
          <w:sz w:val="24"/>
          <w:szCs w:val="24"/>
        </w:rPr>
      </w:pPr>
      <w:bookmarkStart w:id="845" w:name="_Toc430530506"/>
      <w:bookmarkStart w:id="846" w:name="_Toc277082624"/>
      <w:bookmarkStart w:id="847" w:name="_Toc45"/>
      <w:bookmarkStart w:id="848" w:name="_Toc19481"/>
      <w:bookmarkStart w:id="849" w:name="_Toc287620757"/>
      <w:bookmarkStart w:id="850" w:name="_Toc509218782"/>
      <w:bookmarkStart w:id="851" w:name="_Toc200513204"/>
      <w:bookmarkStart w:id="852" w:name="_Toc287607818"/>
      <w:bookmarkStart w:id="853" w:name="_Toc32358"/>
      <w:bookmarkStart w:id="854" w:name="_Toc224103390"/>
      <w:r>
        <w:rPr>
          <w:rFonts w:ascii="宋体" w:hAnsi="宋体"/>
          <w:b w:val="0"/>
          <w:snapToGrid w:val="0"/>
          <w:sz w:val="24"/>
          <w:szCs w:val="24"/>
        </w:rPr>
        <w:t>3.2  详细评审</w:t>
      </w:r>
      <w:bookmarkEnd w:id="845"/>
      <w:bookmarkEnd w:id="846"/>
      <w:bookmarkEnd w:id="847"/>
      <w:bookmarkEnd w:id="848"/>
      <w:bookmarkEnd w:id="849"/>
      <w:bookmarkEnd w:id="850"/>
      <w:bookmarkEnd w:id="851"/>
      <w:bookmarkEnd w:id="852"/>
      <w:bookmarkEnd w:id="853"/>
      <w:bookmarkEnd w:id="85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rPr>
        <w:t>评审</w:t>
      </w:r>
      <w:r>
        <w:rPr>
          <w:rFonts w:ascii="宋体" w:hAnsi="宋体"/>
          <w:kern w:val="0"/>
          <w:szCs w:val="21"/>
        </w:rPr>
        <w:t>，并计算出综合评估得分。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rPr>
        <w:t>技术部分</w:t>
      </w:r>
      <w:r>
        <w:rPr>
          <w:rFonts w:ascii="宋体" w:hAnsi="宋体"/>
          <w:snapToGrid w:val="0"/>
          <w:kern w:val="0"/>
          <w:szCs w:val="21"/>
        </w:rPr>
        <w:t>得分。</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w:t>
      </w:r>
      <w:r>
        <w:rPr>
          <w:rFonts w:hint="eastAsia" w:ascii="宋体" w:hAnsi="宋体"/>
          <w:kern w:val="0"/>
          <w:szCs w:val="21"/>
        </w:rPr>
        <w:t>商务部分</w:t>
      </w:r>
      <w:r>
        <w:rPr>
          <w:rFonts w:ascii="宋体" w:hAnsi="宋体"/>
          <w:kern w:val="0"/>
          <w:szCs w:val="21"/>
        </w:rPr>
        <w:t>计算出得分</w:t>
      </w:r>
      <w:r>
        <w:rPr>
          <w:rFonts w:hint="eastAsia" w:ascii="宋体" w:hAnsi="宋体"/>
          <w:kern w:val="0"/>
          <w:szCs w:val="21"/>
        </w:rPr>
        <w:t>B。</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）按本章第3.2.1（</w:t>
      </w:r>
      <w:r>
        <w:rPr>
          <w:rFonts w:hint="eastAsia" w:ascii="宋体" w:hAnsi="宋体"/>
          <w:kern w:val="0"/>
          <w:szCs w:val="21"/>
        </w:rPr>
        <w:t>3</w:t>
      </w:r>
      <w:r>
        <w:rPr>
          <w:rFonts w:ascii="宋体" w:hAnsi="宋体"/>
          <w:kern w:val="0"/>
          <w:szCs w:val="21"/>
        </w:rPr>
        <w:t>）目规定的评审因素和分值对</w:t>
      </w:r>
      <w:r>
        <w:rPr>
          <w:rFonts w:hint="eastAsia" w:ascii="宋体" w:hAnsi="宋体"/>
          <w:kern w:val="0"/>
          <w:szCs w:val="21"/>
          <w:lang w:eastAsia="zh-CN"/>
        </w:rPr>
        <w:t>报价</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C。</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评分分值计算保留小数点后两位，小数点后第三位“四舍五入”。</w:t>
      </w:r>
    </w:p>
    <w:p>
      <w:pPr>
        <w:tabs>
          <w:tab w:val="left" w:pos="387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+C。</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3.2.4  投标报价有算术错误的，评标委员会按以下原则对投标报价进行修正，修正的价格经投标人书面确认后具有约束力。投标人不接受修正价格的，其投标作否决投标处理。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pPr>
      <w:r>
        <w:rPr>
          <w:rFonts w:ascii="宋体" w:hAnsi="宋体"/>
          <w:kern w:val="0"/>
          <w:szCs w:val="21"/>
        </w:rPr>
        <w:t>（2）</w:t>
      </w:r>
      <w:r>
        <w:rPr>
          <w:rFonts w:hint="eastAsia" w:ascii="宋体" w:hAnsi="宋体" w:cs="宋体"/>
          <w:szCs w:val="21"/>
        </w:rPr>
        <w:t>总报价与依据分项报价、单价/费率报价计算出的结果不一致的，由评标委员会作否决投标处理。</w:t>
      </w:r>
    </w:p>
    <w:p>
      <w:pPr>
        <w:pStyle w:val="5"/>
        <w:snapToGrid w:val="0"/>
        <w:spacing w:before="0" w:after="0" w:line="360" w:lineRule="auto"/>
        <w:rPr>
          <w:rFonts w:ascii="宋体" w:hAnsi="宋体"/>
          <w:b w:val="0"/>
          <w:snapToGrid w:val="0"/>
          <w:sz w:val="24"/>
          <w:szCs w:val="24"/>
        </w:rPr>
      </w:pPr>
      <w:bookmarkStart w:id="855" w:name="_Toc287620758"/>
      <w:bookmarkStart w:id="856" w:name="_Toc4032"/>
      <w:bookmarkStart w:id="857" w:name="_Toc287607819"/>
      <w:bookmarkStart w:id="858" w:name="_Toc11699"/>
      <w:bookmarkStart w:id="859" w:name="_Toc200513205"/>
      <w:bookmarkStart w:id="860" w:name="_Toc430530507"/>
      <w:bookmarkStart w:id="861" w:name="_Toc509218783"/>
      <w:bookmarkStart w:id="862" w:name="_Toc277082625"/>
      <w:bookmarkStart w:id="863" w:name="_Toc224103391"/>
      <w:bookmarkStart w:id="864" w:name="_Toc20398"/>
      <w:r>
        <w:rPr>
          <w:rFonts w:ascii="宋体" w:hAnsi="宋体"/>
          <w:b w:val="0"/>
          <w:snapToGrid w:val="0"/>
          <w:sz w:val="24"/>
          <w:szCs w:val="24"/>
        </w:rPr>
        <w:t>3.3  投标文件的澄清和补正</w:t>
      </w:r>
      <w:bookmarkEnd w:id="855"/>
      <w:bookmarkEnd w:id="856"/>
      <w:bookmarkEnd w:id="857"/>
      <w:bookmarkEnd w:id="858"/>
      <w:bookmarkEnd w:id="859"/>
      <w:bookmarkEnd w:id="860"/>
      <w:bookmarkEnd w:id="861"/>
      <w:bookmarkEnd w:id="862"/>
      <w:bookmarkEnd w:id="863"/>
      <w:bookmarkEnd w:id="86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pPr>
        <w:pStyle w:val="5"/>
        <w:snapToGrid w:val="0"/>
        <w:spacing w:before="0" w:after="0" w:line="360" w:lineRule="auto"/>
        <w:rPr>
          <w:rFonts w:ascii="宋体" w:hAnsi="宋体"/>
          <w:b w:val="0"/>
          <w:snapToGrid w:val="0"/>
          <w:sz w:val="24"/>
          <w:szCs w:val="24"/>
        </w:rPr>
      </w:pPr>
      <w:bookmarkStart w:id="865" w:name="_Toc287607820"/>
      <w:bookmarkStart w:id="866" w:name="_Toc430530508"/>
      <w:bookmarkStart w:id="867" w:name="_Toc8829"/>
      <w:bookmarkStart w:id="868" w:name="_Toc277082626"/>
      <w:bookmarkStart w:id="869" w:name="_Toc224103392"/>
      <w:bookmarkStart w:id="870" w:name="_Toc200513206"/>
      <w:bookmarkStart w:id="871" w:name="_Toc22421"/>
      <w:bookmarkStart w:id="872" w:name="_Toc509218784"/>
      <w:bookmarkStart w:id="873" w:name="_Toc26895"/>
      <w:bookmarkStart w:id="874" w:name="_Toc287620759"/>
      <w:r>
        <w:rPr>
          <w:rFonts w:ascii="宋体" w:hAnsi="宋体"/>
          <w:b w:val="0"/>
          <w:snapToGrid w:val="0"/>
          <w:sz w:val="24"/>
          <w:szCs w:val="24"/>
        </w:rPr>
        <w:t>3.4  评标结果</w:t>
      </w:r>
      <w:bookmarkEnd w:id="865"/>
      <w:bookmarkEnd w:id="866"/>
      <w:bookmarkEnd w:id="867"/>
      <w:bookmarkEnd w:id="868"/>
      <w:bookmarkEnd w:id="869"/>
      <w:bookmarkEnd w:id="870"/>
      <w:bookmarkEnd w:id="871"/>
      <w:bookmarkEnd w:id="872"/>
      <w:bookmarkEnd w:id="873"/>
      <w:bookmarkEnd w:id="87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pPr>
        <w:spacing w:line="360" w:lineRule="auto"/>
        <w:rPr>
          <w:rFonts w:ascii="宋体" w:hAnsi="宋体"/>
          <w:b/>
          <w:szCs w:val="20"/>
        </w:rPr>
      </w:pPr>
      <w:r>
        <w:rPr>
          <w:rFonts w:ascii="宋体" w:hAnsi="宋体"/>
          <w:kern w:val="0"/>
          <w:sz w:val="20"/>
          <w:szCs w:val="20"/>
        </w:rPr>
        <w:br w:type="page"/>
      </w:r>
    </w:p>
    <w:p>
      <w:pPr>
        <w:pStyle w:val="33"/>
        <w:spacing w:line="360" w:lineRule="auto"/>
        <w:rPr>
          <w:rFonts w:ascii="宋体" w:hAnsi="宋体"/>
          <w:b/>
          <w:sz w:val="28"/>
          <w:szCs w:val="28"/>
          <w:u w:val="none"/>
          <w:lang w:eastAsia="zh-CN"/>
        </w:rPr>
      </w:pPr>
      <w:bookmarkStart w:id="875" w:name="招标文件04章合同条款及格式"/>
      <w:bookmarkEnd w:id="875"/>
      <w:bookmarkStart w:id="876" w:name="招标文件03章02评标办法综合评估法02附件02"/>
      <w:bookmarkEnd w:id="876"/>
      <w:bookmarkStart w:id="877" w:name="_Toc230410480"/>
      <w:bookmarkStart w:id="878" w:name="_Toc277082627"/>
      <w:r>
        <w:rPr>
          <w:rFonts w:ascii="宋体" w:hAnsi="宋体"/>
          <w:b/>
          <w:sz w:val="28"/>
          <w:szCs w:val="28"/>
          <w:u w:val="none"/>
          <w:lang w:eastAsia="zh-CN"/>
        </w:rPr>
        <w:t>附件A：综合评估法否决投标情况一览表</w:t>
      </w:r>
      <w:bookmarkEnd w:id="877"/>
    </w:p>
    <w:bookmarkEnd w:id="878"/>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9050"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Align w:val="center"/>
          </w:tcPr>
          <w:p>
            <w:pPr>
              <w:spacing w:line="400" w:lineRule="exact"/>
              <w:jc w:val="center"/>
              <w:rPr>
                <w:rFonts w:ascii="宋体" w:hAnsi="宋体"/>
                <w:b/>
                <w:szCs w:val="21"/>
              </w:rPr>
            </w:pPr>
            <w:r>
              <w:rPr>
                <w:rFonts w:ascii="宋体" w:hAnsi="宋体"/>
                <w:b/>
                <w:szCs w:val="21"/>
              </w:rPr>
              <w:t>条款名称</w:t>
            </w:r>
          </w:p>
        </w:tc>
        <w:tc>
          <w:tcPr>
            <w:tcW w:w="7151"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restart"/>
            <w:vAlign w:val="center"/>
          </w:tcPr>
          <w:p>
            <w:pPr>
              <w:spacing w:line="400" w:lineRule="exact"/>
              <w:jc w:val="center"/>
              <w:rPr>
                <w:rFonts w:ascii="宋体" w:hAnsi="宋体"/>
                <w:szCs w:val="21"/>
              </w:rPr>
            </w:pPr>
            <w:r>
              <w:rPr>
                <w:rFonts w:hint="eastAsia" w:ascii="宋体" w:hAnsi="宋体"/>
                <w:szCs w:val="21"/>
              </w:rPr>
              <w:t>资格评审</w:t>
            </w: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A-1投标人的资质条件、</w:t>
            </w:r>
            <w:r>
              <w:rPr>
                <w:rFonts w:hint="eastAsia" w:ascii="宋体" w:hAnsi="宋体"/>
                <w:szCs w:val="21"/>
                <w:lang w:val="en-US" w:eastAsia="zh-CN"/>
              </w:rPr>
              <w:t>独立法人资格</w:t>
            </w:r>
            <w:r>
              <w:rPr>
                <w:rFonts w:hint="eastAsia" w:ascii="宋体" w:hAnsi="宋体"/>
                <w:szCs w:val="21"/>
              </w:rPr>
              <w:t>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A-2投标人的财务须满足投标人须知前附表1.4.1项的要求，否则由评标委员会作否决投标处理（如有）。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A-3投标人的业绩须满足投标人须知前附表1.4.1项的要求，否则由评标委员会作否决投标处理（如有）。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4</w:t>
            </w:r>
            <w:r>
              <w:rPr>
                <w:rFonts w:hint="eastAsia" w:ascii="宋体" w:hAnsi="宋体"/>
                <w:szCs w:val="21"/>
              </w:rPr>
              <w:t>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5</w:t>
            </w:r>
            <w:r>
              <w:rPr>
                <w:rFonts w:hint="eastAsia" w:ascii="宋体" w:hAnsi="宋体"/>
                <w:szCs w:val="21"/>
              </w:rPr>
              <w:t>投标人的工程总承包项目经理资格须满足投标人须知前附表1.4.1项的要求，否则由评标委员会作否决投标处理。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6</w:t>
            </w:r>
            <w:r>
              <w:rPr>
                <w:rFonts w:hint="eastAsia" w:ascii="宋体" w:hAnsi="宋体"/>
                <w:szCs w:val="21"/>
              </w:rPr>
              <w:t>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7</w:t>
            </w:r>
            <w:r>
              <w:rPr>
                <w:rFonts w:hint="eastAsia" w:ascii="宋体" w:hAnsi="宋体"/>
                <w:szCs w:val="21"/>
              </w:rPr>
              <w:t>联合体投标人应满足：</w:t>
            </w:r>
          </w:p>
          <w:p>
            <w:pPr>
              <w:spacing w:line="400" w:lineRule="exact"/>
              <w:ind w:firstLine="420" w:firstLineChars="200"/>
              <w:rPr>
                <w:rFonts w:ascii="宋体" w:hAnsi="宋体"/>
                <w:szCs w:val="21"/>
              </w:rPr>
            </w:pPr>
            <w:r>
              <w:rPr>
                <w:rFonts w:hint="eastAsia" w:ascii="宋体" w:hAnsi="宋体"/>
                <w:szCs w:val="21"/>
              </w:rPr>
              <w:t>（1）联合体各方应按照招标文件提供的格式签订</w:t>
            </w:r>
            <w:r>
              <w:rPr>
                <w:rFonts w:hint="eastAsia" w:ascii="宋体" w:hAnsi="宋体"/>
                <w:szCs w:val="21"/>
                <w:lang w:eastAsia="zh-CN"/>
              </w:rPr>
              <w:t>共同投标协议</w:t>
            </w:r>
            <w:r>
              <w:rPr>
                <w:rFonts w:hint="eastAsia" w:ascii="宋体" w:hAnsi="宋体"/>
                <w:szCs w:val="21"/>
              </w:rPr>
              <w:t>，明确联合体牵头人和各方权利义务；</w:t>
            </w:r>
          </w:p>
          <w:p>
            <w:pPr>
              <w:spacing w:line="400" w:lineRule="exact"/>
              <w:ind w:firstLine="420" w:firstLineChars="200"/>
              <w:rPr>
                <w:rFonts w:ascii="宋体" w:hAnsi="宋体"/>
                <w:szCs w:val="21"/>
              </w:rPr>
            </w:pPr>
            <w:r>
              <w:rPr>
                <w:rFonts w:hint="eastAsia" w:ascii="宋体" w:hAnsi="宋体"/>
                <w:szCs w:val="21"/>
              </w:rPr>
              <w:t>（2）联合体各方均应当具备承担招标项目的相应能力，</w:t>
            </w:r>
            <w:r>
              <w:rPr>
                <w:rFonts w:hint="eastAsia" w:ascii="宋体" w:hAnsi="宋体"/>
                <w:szCs w:val="21"/>
                <w:lang w:eastAsia="zh-CN"/>
              </w:rPr>
              <w:t>共同投标协议</w:t>
            </w:r>
            <w:r>
              <w:rPr>
                <w:rFonts w:hint="eastAsia" w:ascii="宋体" w:hAnsi="宋体"/>
                <w:szCs w:val="21"/>
              </w:rPr>
              <w:t>约定同一专业分工由两个及以上单位共同承担的，按照资质等级较低的单位确定资质等级；</w:t>
            </w:r>
          </w:p>
          <w:p>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151" w:type="dxa"/>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8</w:t>
            </w:r>
            <w:r>
              <w:rPr>
                <w:rFonts w:hint="eastAsia" w:ascii="宋体" w:hAnsi="宋体"/>
                <w:szCs w:val="21"/>
              </w:rPr>
              <w:t>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9</w:t>
            </w:r>
            <w:r>
              <w:rPr>
                <w:rFonts w:hint="eastAsia" w:ascii="宋体" w:hAnsi="宋体"/>
                <w:szCs w:val="21"/>
              </w:rPr>
              <w:t>投标文件格式（不含投标函部分）</w:t>
            </w:r>
            <w:r>
              <w:rPr>
                <w:rFonts w:hint="eastAsia" w:ascii="宋体" w:hAnsi="宋体" w:cs="宋体"/>
                <w:kern w:val="0"/>
              </w:rPr>
              <w:t>符合第二章“投标人须知”第3.7款规定</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0</w:t>
            </w:r>
            <w:r>
              <w:rPr>
                <w:rFonts w:hint="eastAsia" w:ascii="宋体" w:hAnsi="宋体"/>
                <w:szCs w:val="21"/>
              </w:rPr>
              <w:t>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szCs w:val="21"/>
              </w:rPr>
              <w:t>A-1</w:t>
            </w:r>
            <w:r>
              <w:rPr>
                <w:rFonts w:hint="eastAsia" w:ascii="宋体" w:hAnsi="宋体"/>
                <w:szCs w:val="21"/>
                <w:lang w:val="en-US" w:eastAsia="zh-CN"/>
              </w:rPr>
              <w:t>1</w:t>
            </w:r>
            <w:r>
              <w:rPr>
                <w:rFonts w:ascii="宋体" w:hAnsi="宋体"/>
                <w:szCs w:val="21"/>
              </w:rPr>
              <w:t xml:space="preserve"> </w:t>
            </w:r>
            <w:r>
              <w:rPr>
                <w:rFonts w:hint="eastAsia" w:ascii="宋体" w:hAnsi="宋体" w:cs="宋体"/>
                <w:kern w:val="0"/>
              </w:rPr>
              <w:t>第八章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或加盖CA数字证书均可。否则由评标委员会作否决投标处理。</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中各联合体成员单位签名（或盖章）须齐全，</w:t>
            </w:r>
            <w:r>
              <w:rPr>
                <w:rFonts w:hint="eastAsia" w:ascii="宋体" w:hAnsi="宋体" w:cs="宋体"/>
                <w:kern w:val="0"/>
                <w:lang w:eastAsia="zh-CN"/>
              </w:rPr>
              <w:t>共同投标协议</w:t>
            </w:r>
            <w:r>
              <w:rPr>
                <w:rFonts w:hint="eastAsia" w:ascii="宋体" w:hAnsi="宋体" w:cs="宋体"/>
                <w:kern w:val="0"/>
              </w:rPr>
              <w:t>以外的投标文件格式中，要求法定代表人或其委托代理人签名（或盖章）的均由联合体牵头人法定代表人或其委托代理人签名（或盖章）。否则由评标委员会作否决投标处理。</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2</w:t>
            </w:r>
            <w:r>
              <w:rPr>
                <w:rFonts w:hint="eastAsia" w:ascii="宋体" w:hAnsi="宋体"/>
                <w:szCs w:val="21"/>
              </w:rPr>
              <w:t>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3</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lang w:val="en-US" w:eastAsia="zh-CN"/>
              </w:rPr>
              <w:t>4</w:t>
            </w:r>
            <w:r>
              <w:rPr>
                <w:rFonts w:hint="eastAsia" w:ascii="宋体" w:hAnsi="宋体"/>
                <w:szCs w:val="21"/>
              </w:rPr>
              <w:t>投标人应按投标人须知前附表第3.4款的规定递交投标保证金，并作为其投标文件的组成部分。否则由评标委员会作否决投标处理。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lang w:val="en-US" w:eastAsia="zh-CN"/>
              </w:rPr>
              <w:t>5</w:t>
            </w:r>
            <w:r>
              <w:rPr>
                <w:rFonts w:ascii="宋体" w:hAnsi="宋体"/>
                <w:szCs w:val="21"/>
              </w:rPr>
              <w:t>符合第四章“合同条款及格式”规定，投标文件不应附有招标人不能接受的条件</w:t>
            </w:r>
            <w:r>
              <w:rPr>
                <w:rFonts w:hint="eastAsia" w:ascii="宋体" w:hAnsi="宋体"/>
                <w:szCs w:val="21"/>
              </w:rPr>
              <w:t>，否则交由评标委员会作否决投标处理。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cs="宋体"/>
                <w:kern w:val="0"/>
              </w:rPr>
              <w:t>A-</w:t>
            </w:r>
            <w:r>
              <w:rPr>
                <w:rFonts w:ascii="宋体" w:hAnsi="宋体" w:cs="宋体"/>
                <w:kern w:val="0"/>
              </w:rPr>
              <w:t>1</w:t>
            </w:r>
            <w:r>
              <w:rPr>
                <w:rFonts w:hint="eastAsia" w:ascii="宋体" w:hAnsi="宋体" w:cs="宋体"/>
                <w:kern w:val="0"/>
                <w:lang w:val="en-US" w:eastAsia="zh-CN"/>
              </w:rPr>
              <w:t>6</w:t>
            </w:r>
            <w:r>
              <w:rPr>
                <w:rFonts w:hint="eastAsia" w:ascii="宋体" w:hAnsi="宋体" w:cs="宋体"/>
                <w:kern w:val="0"/>
              </w:rPr>
              <w:t>技术标准和要求符合第六章“发包人要求”的规定，不得有负偏离，</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lang w:val="en-US" w:eastAsia="zh-CN"/>
              </w:rPr>
              <w:t>7</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3.不按评标委员会要求澄清、说明或补正的。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restart"/>
            <w:vAlign w:val="center"/>
          </w:tcPr>
          <w:p>
            <w:pPr>
              <w:spacing w:line="400" w:lineRule="exact"/>
              <w:jc w:val="center"/>
              <w:rPr>
                <w:rFonts w:ascii="宋体" w:hAnsi="宋体"/>
                <w:szCs w:val="21"/>
              </w:rPr>
            </w:pPr>
            <w:r>
              <w:rPr>
                <w:rFonts w:hint="eastAsia" w:ascii="宋体" w:hAnsi="宋体"/>
                <w:szCs w:val="21"/>
              </w:rPr>
              <w:t>投标函部分</w:t>
            </w:r>
            <w:r>
              <w:rPr>
                <w:rFonts w:ascii="宋体" w:hAnsi="宋体"/>
                <w:szCs w:val="21"/>
              </w:rPr>
              <w:t>及</w:t>
            </w:r>
            <w:r>
              <w:rPr>
                <w:rFonts w:hint="eastAsia" w:ascii="宋体" w:hAnsi="宋体"/>
                <w:szCs w:val="21"/>
                <w:lang w:eastAsia="zh-CN"/>
              </w:rPr>
              <w:t>报价</w:t>
            </w:r>
            <w:r>
              <w:rPr>
                <w:rFonts w:ascii="宋体" w:hAnsi="宋体"/>
                <w:szCs w:val="21"/>
              </w:rPr>
              <w:t>部分评审</w:t>
            </w: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lang w:val="en-US" w:eastAsia="zh-CN"/>
              </w:rPr>
              <w:t>8</w:t>
            </w:r>
            <w:r>
              <w:rPr>
                <w:rFonts w:ascii="宋体" w:hAnsi="宋体"/>
                <w:szCs w:val="21"/>
              </w:rPr>
              <w:t>投标函部分的格式</w:t>
            </w:r>
            <w:r>
              <w:rPr>
                <w:rFonts w:hint="eastAsia" w:ascii="宋体" w:hAnsi="宋体"/>
                <w:szCs w:val="21"/>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w:t>
            </w:r>
            <w:r>
              <w:rPr>
                <w:rFonts w:hint="eastAsia" w:ascii="宋体" w:hAnsi="宋体"/>
                <w:szCs w:val="21"/>
              </w:rPr>
              <w:t>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rPr>
              <w:t>若投标单位为联合体，投标函部分的格式中要求投标人加盖单位法人章的，均由联合体牵头人使用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hint="eastAsia" w:ascii="宋体" w:hAnsi="宋体"/>
                <w:szCs w:val="21"/>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2</w:t>
            </w:r>
            <w:r>
              <w:rPr>
                <w:rFonts w:ascii="宋体" w:hAnsi="宋体"/>
                <w:kern w:val="0"/>
              </w:rPr>
              <w:t>投标总报价不得高于招标人公布的投标总报价最高限价</w:t>
            </w:r>
            <w:r>
              <w:rPr>
                <w:rFonts w:hint="eastAsia" w:ascii="宋体" w:hAnsi="宋体"/>
                <w:kern w:val="0"/>
              </w:rPr>
              <w:t>，</w:t>
            </w:r>
            <w:r>
              <w:rPr>
                <w:rFonts w:hint="eastAsia" w:ascii="宋体" w:hAnsi="宋体" w:cs="宋体"/>
                <w:kern w:val="0"/>
              </w:rPr>
              <w:t>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A-23</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szCs w:val="21"/>
              </w:rPr>
              <w:t>，</w:t>
            </w:r>
            <w:r>
              <w:rPr>
                <w:rFonts w:hint="eastAsia" w:ascii="宋体" w:hAnsi="宋体"/>
                <w:szCs w:val="21"/>
              </w:rPr>
              <w:t>否则由评标委员会作否决投标处理</w:t>
            </w:r>
            <w:r>
              <w:rPr>
                <w:rFonts w:hint="eastAsia" w:ascii="宋体" w:hAnsi="宋体" w:cs="宋体"/>
                <w:kern w:val="0"/>
                <w:lang w:eastAsia="zh-CN"/>
              </w:rPr>
              <w:t>（如有）</w:t>
            </w:r>
            <w:r>
              <w:rPr>
                <w:rFonts w:hint="eastAsia" w:ascii="宋体" w:hAnsi="宋体" w:cs="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24</w:t>
            </w:r>
            <w:r>
              <w:rPr>
                <w:rFonts w:hint="eastAsia" w:ascii="宋体" w:hAnsi="宋体"/>
                <w:kern w:val="0"/>
              </w:rPr>
              <w:t>暂定金额（暂列金）必须按照招标文件给定的金额填报</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25</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26</w:t>
            </w:r>
            <w:r>
              <w:rPr>
                <w:rFonts w:hint="eastAsia" w:ascii="宋体" w:hAnsi="宋体"/>
                <w:szCs w:val="21"/>
              </w:rPr>
              <w:t>投标人必须按招标清单（如有）要求填报价格。内容必须与招标清单一致，否则交由评标委员会作否决投标处理。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27</w:t>
            </w:r>
            <w:r>
              <w:rPr>
                <w:rFonts w:hint="eastAsia" w:ascii="宋体" w:hAnsi="宋体"/>
                <w:szCs w:val="21"/>
              </w:rPr>
              <w:t>投标人的每项清单综合单价报价（如有）不得超过每项清单综合单价最高限价，否则由评标委员会作否决投标处理。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A-28</w:t>
            </w:r>
            <w:r>
              <w:rPr>
                <w:rFonts w:hint="default" w:ascii="宋体" w:hAnsi="宋体"/>
                <w:kern w:val="0"/>
                <w:szCs w:val="21"/>
                <w:u w:val="none"/>
              </w:rPr>
              <w:t>投标人的</w:t>
            </w:r>
            <w:r>
              <w:rPr>
                <w:rFonts w:hint="eastAsia" w:ascii="宋体" w:hAnsi="宋体"/>
                <w:kern w:val="0"/>
                <w:szCs w:val="21"/>
                <w:u w:val="none"/>
                <w:lang w:val="en-US" w:eastAsia="zh-CN"/>
              </w:rPr>
              <w:t>清单综合单项报价（如有）</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r>
              <w:rPr>
                <w:rFonts w:hint="eastAsia" w:ascii="宋体" w:hAnsi="宋体" w:cs="宋体"/>
                <w:szCs w:val="21"/>
              </w:rPr>
              <w:t>，</w:t>
            </w:r>
            <w:r>
              <w:rPr>
                <w:rFonts w:hint="eastAsia" w:ascii="宋体" w:hAnsi="宋体"/>
                <w:szCs w:val="21"/>
              </w:rPr>
              <w:t>否则由评标委员会作否决投标处理</w:t>
            </w:r>
            <w:r>
              <w:rPr>
                <w:rFonts w:hint="eastAsia" w:ascii="宋体" w:hAnsi="宋体"/>
                <w:kern w:val="0"/>
                <w:szCs w:val="21"/>
                <w:u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Merge w:val="continue"/>
            <w:vAlign w:val="center"/>
          </w:tcPr>
          <w:p>
            <w:pPr>
              <w:spacing w:line="400" w:lineRule="exact"/>
              <w:jc w:val="center"/>
              <w:rPr>
                <w:rFonts w:ascii="宋体" w:hAnsi="宋体"/>
                <w:szCs w:val="21"/>
              </w:rPr>
            </w:pPr>
          </w:p>
        </w:tc>
        <w:tc>
          <w:tcPr>
            <w:tcW w:w="7151"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9</w:t>
            </w:r>
            <w:r>
              <w:rPr>
                <w:rFonts w:hint="eastAsia" w:ascii="宋体" w:hAnsi="宋体"/>
                <w:szCs w:val="21"/>
              </w:rPr>
              <w:t>投标报价有算术错误的，按照第三章“评标办法”第3.</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99" w:type="dxa"/>
            <w:vAlign w:val="center"/>
          </w:tcPr>
          <w:p>
            <w:pPr>
              <w:spacing w:line="400" w:lineRule="exact"/>
              <w:jc w:val="center"/>
              <w:rPr>
                <w:rFonts w:ascii="宋体" w:hAnsi="宋体"/>
                <w:szCs w:val="21"/>
              </w:rPr>
            </w:pPr>
            <w:r>
              <w:rPr>
                <w:rFonts w:hint="eastAsia" w:ascii="宋体" w:hAnsi="宋体"/>
                <w:szCs w:val="21"/>
              </w:rPr>
              <w:t>其他</w:t>
            </w:r>
          </w:p>
        </w:tc>
        <w:tc>
          <w:tcPr>
            <w:tcW w:w="7151"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pPr>
        <w:pStyle w:val="3"/>
        <w:spacing w:line="360" w:lineRule="auto"/>
        <w:jc w:val="center"/>
        <w:rPr>
          <w:rFonts w:ascii="宋体" w:hAnsi="宋体"/>
          <w:kern w:val="0"/>
        </w:rPr>
      </w:pPr>
      <w:bookmarkStart w:id="879" w:name="_Toc14510"/>
      <w:bookmarkStart w:id="880" w:name="_Toc430530509"/>
      <w:bookmarkStart w:id="881" w:name="_Toc18777"/>
      <w:bookmarkStart w:id="882" w:name="_Toc31121"/>
      <w:bookmarkStart w:id="883" w:name="_Toc509218785"/>
      <w:r>
        <w:rPr>
          <w:rFonts w:hint="eastAsia" w:ascii="宋体" w:hAnsi="宋体"/>
          <w:kern w:val="0"/>
        </w:rPr>
        <w:t>第四章  合同条款及格式</w:t>
      </w:r>
      <w:bookmarkEnd w:id="879"/>
      <w:bookmarkEnd w:id="880"/>
      <w:bookmarkEnd w:id="881"/>
      <w:bookmarkEnd w:id="882"/>
      <w:bookmarkEnd w:id="883"/>
    </w:p>
    <w:p>
      <w:pPr>
        <w:rPr>
          <w:rFonts w:ascii="宋体" w:hAnsi="宋体"/>
          <w:sz w:val="44"/>
          <w:szCs w:val="44"/>
        </w:rPr>
      </w:pPr>
      <w:r>
        <w:rPr>
          <w:rFonts w:ascii="宋体" w:hAnsi="宋体"/>
        </w:rPr>
        <w:br w:type="page"/>
      </w:r>
      <w:bookmarkStart w:id="884" w:name="_Toc351203480"/>
      <w:bookmarkStart w:id="885" w:name="_Toc296890982"/>
      <w:bookmarkStart w:id="886" w:name="_Toc296503025"/>
    </w:p>
    <w:p>
      <w:pPr>
        <w:rPr>
          <w:rFonts w:ascii="华文中宋" w:hAnsi="华文中宋" w:eastAsia="华文中宋"/>
          <w:b/>
          <w:kern w:val="44"/>
          <w:sz w:val="24"/>
          <w:lang w:bidi="ar"/>
        </w:rPr>
        <w:sectPr>
          <w:footerReference r:id="rId9" w:type="default"/>
          <w:footerReference r:id="rId10" w:type="even"/>
          <w:pgSz w:w="11906" w:h="16838"/>
          <w:pgMar w:top="1304" w:right="1135" w:bottom="1304" w:left="1304" w:header="720" w:footer="720" w:gutter="0"/>
          <w:cols w:space="720" w:num="1"/>
          <w:docGrid w:type="lines" w:linePitch="312" w:charSpace="0"/>
        </w:sectPr>
      </w:pPr>
      <w:bookmarkStart w:id="887" w:name="_Toc351203632"/>
    </w:p>
    <w:p>
      <w:pPr>
        <w:widowControl/>
        <w:adjustRightInd w:val="0"/>
        <w:snapToGrid w:val="0"/>
        <w:spacing w:after="50" w:line="360" w:lineRule="auto"/>
        <w:jc w:val="center"/>
        <w:outlineLvl w:val="0"/>
        <w:rPr>
          <w:rFonts w:ascii="宋体" w:hAnsi="宋体" w:cs="宋体"/>
          <w:b/>
          <w:kern w:val="44"/>
        </w:rPr>
      </w:pPr>
      <w:bookmarkStart w:id="888" w:name="_Toc20171709"/>
      <w:bookmarkEnd w:id="888"/>
      <w:bookmarkStart w:id="889" w:name="_Toc27707"/>
      <w:bookmarkStart w:id="890" w:name="_Toc20902"/>
      <w:bookmarkStart w:id="891" w:name="_Toc32160"/>
      <w:bookmarkStart w:id="892" w:name="_Hlk59010609"/>
      <w:r>
        <w:rPr>
          <w:rFonts w:hint="eastAsia" w:ascii="宋体" w:hAnsi="宋体" w:cs="宋体"/>
          <w:b/>
          <w:kern w:val="44"/>
          <w:szCs w:val="21"/>
          <w:lang w:bidi="ar"/>
        </w:rPr>
        <w:t>第一部分 合同协议书</w:t>
      </w:r>
      <w:bookmarkEnd w:id="889"/>
      <w:bookmarkEnd w:id="890"/>
      <w:bookmarkEnd w:id="891"/>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根据《中华人民共和国民法典》、《中华人民共和国建筑法》及有关法律规定，遵循平等、自愿、公平和诚实信用的原则，双方就</w:t>
      </w:r>
      <w:r>
        <w:rPr>
          <w:rFonts w:hint="eastAsia" w:ascii="宋体" w:hAnsi="宋体" w:cs="宋体"/>
          <w:kern w:val="0"/>
          <w:szCs w:val="21"/>
          <w:u w:val="single"/>
          <w:lang w:bidi="ar"/>
        </w:rPr>
        <w:t xml:space="preserve">             </w:t>
      </w:r>
      <w:r>
        <w:rPr>
          <w:rFonts w:hint="eastAsia" w:ascii="宋体" w:hAnsi="宋体" w:cs="宋体"/>
          <w:kern w:val="0"/>
          <w:szCs w:val="21"/>
          <w:lang w:bidi="ar"/>
        </w:rPr>
        <w:t>项目的工程总承包及有关事项协商一致，共同达成如下协议：</w:t>
      </w:r>
    </w:p>
    <w:p>
      <w:pPr>
        <w:widowControl/>
        <w:adjustRightInd w:val="0"/>
        <w:snapToGrid w:val="0"/>
        <w:spacing w:after="163" w:afterLines="50" w:line="360" w:lineRule="auto"/>
        <w:jc w:val="left"/>
        <w:outlineLvl w:val="1"/>
        <w:rPr>
          <w:rFonts w:ascii="宋体" w:hAnsi="宋体" w:cs="宋体"/>
          <w:kern w:val="0"/>
        </w:rPr>
      </w:pPr>
      <w:bookmarkStart w:id="893" w:name="_Toc20171710"/>
      <w:bookmarkEnd w:id="893"/>
      <w:bookmarkStart w:id="894" w:name="_Toc19956"/>
      <w:bookmarkStart w:id="895" w:name="_Toc30846"/>
      <w:bookmarkStart w:id="896" w:name="_Toc84930695"/>
      <w:bookmarkStart w:id="897" w:name="_Toc23583"/>
      <w:bookmarkStart w:id="898" w:name="_Toc18755"/>
      <w:bookmarkStart w:id="899" w:name="_Toc11635"/>
      <w:r>
        <w:rPr>
          <w:rFonts w:hint="eastAsia" w:ascii="宋体" w:hAnsi="宋体" w:cs="宋体"/>
          <w:kern w:val="0"/>
          <w:szCs w:val="21"/>
          <w:lang w:bidi="ar"/>
        </w:rPr>
        <w:t>一、工程概况</w:t>
      </w:r>
      <w:bookmarkEnd w:id="894"/>
      <w:bookmarkEnd w:id="895"/>
      <w:bookmarkEnd w:id="896"/>
      <w:bookmarkEnd w:id="897"/>
      <w:bookmarkEnd w:id="898"/>
      <w:bookmarkEnd w:id="899"/>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工程名称：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工程地点：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 工程审批、核准或备案文号：</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 资金来源：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 工程内容及规模：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 工程承包范围：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jc w:val="left"/>
        <w:outlineLvl w:val="1"/>
        <w:rPr>
          <w:rFonts w:ascii="宋体" w:hAnsi="宋体" w:cs="宋体"/>
          <w:kern w:val="0"/>
        </w:rPr>
      </w:pPr>
      <w:bookmarkStart w:id="900" w:name="_Toc20171711"/>
      <w:bookmarkEnd w:id="900"/>
      <w:bookmarkStart w:id="901" w:name="_Toc4694"/>
      <w:bookmarkStart w:id="902" w:name="_Toc28239"/>
      <w:bookmarkStart w:id="903" w:name="_Toc27756"/>
      <w:bookmarkStart w:id="904" w:name="_Toc31522"/>
      <w:bookmarkStart w:id="905" w:name="_Toc84930696"/>
      <w:bookmarkStart w:id="906" w:name="_Toc11949"/>
      <w:r>
        <w:rPr>
          <w:rFonts w:hint="eastAsia" w:ascii="宋体" w:hAnsi="宋体" w:cs="宋体"/>
          <w:kern w:val="0"/>
          <w:szCs w:val="21"/>
          <w:lang w:bidi="ar"/>
        </w:rPr>
        <w:t>二、合同工期</w:t>
      </w:r>
      <w:bookmarkEnd w:id="901"/>
      <w:bookmarkEnd w:id="902"/>
      <w:bookmarkEnd w:id="903"/>
      <w:bookmarkEnd w:id="904"/>
      <w:bookmarkEnd w:id="905"/>
      <w:bookmarkEnd w:id="90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计划开始工作日期：</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计划开始现场施工日期：</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计划竣工日期：</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年</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月</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日，实际竣工日期以工程竣工验收合格之日为准。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工期总日历天数：</w:t>
      </w:r>
      <w:r>
        <w:rPr>
          <w:rFonts w:hint="eastAsia" w:ascii="宋体" w:hAnsi="宋体" w:cs="宋体"/>
          <w:kern w:val="0"/>
          <w:szCs w:val="21"/>
          <w:u w:val="single"/>
          <w:lang w:bidi="ar"/>
        </w:rPr>
        <w:t xml:space="preserve">        </w:t>
      </w:r>
      <w:r>
        <w:rPr>
          <w:rFonts w:hint="eastAsia" w:ascii="宋体" w:hAnsi="宋体" w:cs="宋体"/>
          <w:kern w:val="0"/>
          <w:szCs w:val="21"/>
          <w:lang w:bidi="ar"/>
        </w:rPr>
        <w:t>天，工期总日历天数与根据前述计划日期计算的工期天数不一致的，以工期总日历天数为准。</w:t>
      </w:r>
    </w:p>
    <w:p>
      <w:pPr>
        <w:widowControl/>
        <w:adjustRightInd w:val="0"/>
        <w:snapToGrid w:val="0"/>
        <w:spacing w:after="163" w:afterLines="50" w:line="360" w:lineRule="auto"/>
        <w:jc w:val="left"/>
        <w:outlineLvl w:val="1"/>
        <w:rPr>
          <w:rFonts w:ascii="宋体" w:hAnsi="宋体" w:cs="宋体"/>
          <w:kern w:val="0"/>
        </w:rPr>
      </w:pPr>
      <w:bookmarkStart w:id="907" w:name="_Toc20171712"/>
      <w:bookmarkEnd w:id="907"/>
      <w:bookmarkStart w:id="908" w:name="_Toc7637"/>
      <w:bookmarkStart w:id="909" w:name="_Toc84930697"/>
      <w:bookmarkStart w:id="910" w:name="_Toc16825"/>
      <w:bookmarkStart w:id="911" w:name="_Toc8498"/>
      <w:bookmarkStart w:id="912" w:name="_Toc1898"/>
      <w:bookmarkStart w:id="913" w:name="_Toc16478"/>
      <w:r>
        <w:rPr>
          <w:rFonts w:hint="eastAsia" w:ascii="宋体" w:hAnsi="宋体" w:cs="宋体"/>
          <w:kern w:val="0"/>
          <w:szCs w:val="21"/>
          <w:lang w:bidi="ar"/>
        </w:rPr>
        <w:t>三、质量标准</w:t>
      </w:r>
      <w:bookmarkEnd w:id="908"/>
      <w:bookmarkEnd w:id="909"/>
      <w:bookmarkEnd w:id="910"/>
      <w:bookmarkEnd w:id="911"/>
      <w:bookmarkEnd w:id="912"/>
      <w:bookmarkEnd w:id="91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工程设计质量标准：</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专业设备材料质量标准：</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工程施工质量标准：</w:t>
      </w:r>
      <w:r>
        <w:rPr>
          <w:rFonts w:hint="eastAsia" w:ascii="宋体" w:hAnsi="宋体" w:cs="宋体"/>
          <w:kern w:val="0"/>
          <w:szCs w:val="21"/>
          <w:u w:val="single"/>
          <w:lang w:bidi="ar"/>
        </w:rPr>
        <w:t>工程质量符合强制性质量标准，符合国家和重庆市现行有关施工质量验收规范要求，并达到合格标准</w:t>
      </w:r>
      <w:r>
        <w:rPr>
          <w:rFonts w:hint="eastAsia" w:ascii="宋体" w:hAnsi="宋体" w:cs="宋体"/>
          <w:kern w:val="0"/>
          <w:szCs w:val="21"/>
          <w:lang w:bidi="ar"/>
        </w:rPr>
        <w:t>。</w:t>
      </w:r>
    </w:p>
    <w:p>
      <w:pPr>
        <w:widowControl/>
        <w:adjustRightInd w:val="0"/>
        <w:snapToGrid w:val="0"/>
        <w:spacing w:after="163" w:afterLines="50" w:line="360" w:lineRule="auto"/>
        <w:jc w:val="left"/>
        <w:outlineLvl w:val="1"/>
        <w:rPr>
          <w:rFonts w:ascii="宋体" w:hAnsi="宋体" w:cs="宋体"/>
          <w:kern w:val="0"/>
        </w:rPr>
      </w:pPr>
      <w:bookmarkStart w:id="914" w:name="_Toc20171713"/>
      <w:bookmarkEnd w:id="914"/>
      <w:bookmarkStart w:id="915" w:name="_Toc8024"/>
      <w:bookmarkStart w:id="916" w:name="_Toc26033"/>
      <w:bookmarkStart w:id="917" w:name="_Toc84930698"/>
      <w:bookmarkStart w:id="918" w:name="_Toc24355"/>
      <w:bookmarkStart w:id="919" w:name="_Toc29079"/>
      <w:bookmarkStart w:id="920" w:name="_Toc32051"/>
      <w:r>
        <w:rPr>
          <w:rFonts w:hint="eastAsia" w:ascii="宋体" w:hAnsi="宋体" w:cs="宋体"/>
          <w:kern w:val="0"/>
          <w:szCs w:val="21"/>
          <w:lang w:bidi="ar"/>
        </w:rPr>
        <w:t>四、签约合同价与合同价格形式</w:t>
      </w:r>
      <w:bookmarkEnd w:id="915"/>
      <w:bookmarkEnd w:id="916"/>
      <w:bookmarkEnd w:id="917"/>
      <w:bookmarkEnd w:id="918"/>
      <w:bookmarkEnd w:id="919"/>
      <w:bookmarkEnd w:id="920"/>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签约合同价（含税）为：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具体构成详见价格清单。其中：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（1）设计费（含税）：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r>
        <w:rPr>
          <w:rFonts w:hint="eastAsia" w:ascii="宋体" w:hAnsi="宋体" w:cs="宋体"/>
          <w:szCs w:val="21"/>
          <w:lang w:bidi="ar"/>
        </w:rPr>
        <w:t>□固定费率：</w:t>
      </w:r>
      <w:r>
        <w:rPr>
          <w:rFonts w:hint="eastAsia" w:ascii="宋体" w:hAnsi="宋体" w:cs="宋体"/>
          <w:kern w:val="0"/>
          <w:szCs w:val="21"/>
          <w:u w:val="single"/>
          <w:lang w:bidi="ar"/>
        </w:rPr>
        <w:t xml:space="preserve">    </w:t>
      </w:r>
      <w:r>
        <w:rPr>
          <w:rFonts w:hint="eastAsia" w:ascii="宋体" w:hAnsi="宋体" w:cs="宋体"/>
          <w:kern w:val="0"/>
          <w:szCs w:val="21"/>
          <w:lang w:bidi="ar"/>
        </w:rPr>
        <w:t>%；适用税率：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（2）专业设备材料费（含税）：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（3）建筑安装工程费（含税）：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r>
        <w:rPr>
          <w:rFonts w:hint="eastAsia" w:ascii="宋体" w:hAnsi="宋体" w:cs="宋体"/>
          <w:szCs w:val="21"/>
          <w:lang w:bidi="ar"/>
        </w:rPr>
        <w:t>□固定费率：</w:t>
      </w:r>
      <w:r>
        <w:rPr>
          <w:rFonts w:hint="eastAsia" w:ascii="宋体" w:hAnsi="宋体" w:cs="宋体"/>
          <w:kern w:val="0"/>
          <w:szCs w:val="21"/>
          <w:u w:val="single"/>
          <w:lang w:bidi="ar"/>
        </w:rPr>
        <w:t xml:space="preserve">    </w:t>
      </w:r>
      <w:r>
        <w:rPr>
          <w:rFonts w:hint="eastAsia" w:ascii="宋体" w:hAnsi="宋体" w:cs="宋体"/>
          <w:kern w:val="0"/>
          <w:szCs w:val="21"/>
          <w:lang w:bidi="ar"/>
        </w:rPr>
        <w:t>%；适用税率：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（4）暂估价（含税）：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（5）暂列金额（含税）：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（6）双方约定的其他费用（含税）：</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合同价格形式：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w:t>
      </w:r>
      <w:r>
        <w:rPr>
          <w:rFonts w:hint="eastAsia" w:ascii="宋体" w:hAnsi="宋体" w:cs="宋体"/>
          <w:kern w:val="0"/>
          <w:szCs w:val="21"/>
          <w:lang w:bidi="ar"/>
        </w:rPr>
        <w:t>合同价格形式为总价合同，除根据合同约定的在工程实施过程中需进行增减的款项外，合同价格不予调整，但合同当事人另有约定的除外。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w:t>
      </w:r>
      <w:r>
        <w:rPr>
          <w:rFonts w:hint="eastAsia" w:ascii="宋体" w:hAnsi="宋体" w:cs="宋体"/>
          <w:kern w:val="0"/>
          <w:szCs w:val="21"/>
          <w:lang w:bidi="ar"/>
        </w:rPr>
        <w:t>合同价格形式为固定单价/费率合同，除根据合同约定的在工程实施过程中需进行增减的款项外，固定单价/费率不予调整，但合同当事人另有约定的除外。</w:t>
      </w:r>
    </w:p>
    <w:p>
      <w:pPr>
        <w:widowControl/>
        <w:kinsoku w:val="0"/>
        <w:adjustRightInd w:val="0"/>
        <w:snapToGrid w:val="0"/>
        <w:spacing w:after="163" w:afterLines="50" w:line="360" w:lineRule="auto"/>
        <w:ind w:left="263" w:leftChars="125" w:firstLine="210" w:firstLineChars="100"/>
        <w:jc w:val="left"/>
        <w:rPr>
          <w:rFonts w:ascii="宋体" w:hAnsi="宋体" w:cs="宋体"/>
          <w:kern w:val="0"/>
        </w:rPr>
      </w:pPr>
      <w:r>
        <w:rPr>
          <w:rFonts w:hint="eastAsia" w:ascii="宋体" w:hAnsi="宋体" w:cs="宋体"/>
          <w:kern w:val="0"/>
          <w:szCs w:val="21"/>
          <w:lang w:bidi="ar"/>
        </w:rPr>
        <w:t>合同当事人对合同价格形式的其他约定：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jc w:val="left"/>
        <w:outlineLvl w:val="1"/>
        <w:rPr>
          <w:rFonts w:ascii="宋体" w:hAnsi="宋体" w:cs="宋体"/>
          <w:kern w:val="0"/>
        </w:rPr>
      </w:pPr>
      <w:bookmarkStart w:id="921" w:name="_Toc11124"/>
      <w:bookmarkStart w:id="922" w:name="_Toc21257"/>
      <w:bookmarkStart w:id="923" w:name="_Toc2109"/>
      <w:bookmarkStart w:id="924" w:name="_Toc84930699"/>
      <w:bookmarkStart w:id="925" w:name="_Toc29030"/>
      <w:bookmarkStart w:id="926" w:name="_Toc6895"/>
      <w:r>
        <w:rPr>
          <w:rFonts w:hint="eastAsia" w:ascii="宋体" w:hAnsi="宋体" w:cs="宋体"/>
          <w:kern w:val="0"/>
          <w:szCs w:val="21"/>
          <w:lang w:bidi="ar"/>
        </w:rPr>
        <w:t>五、工程总承包主要管理人员</w:t>
      </w:r>
      <w:bookmarkEnd w:id="921"/>
      <w:bookmarkEnd w:id="922"/>
      <w:bookmarkEnd w:id="923"/>
      <w:bookmarkEnd w:id="924"/>
      <w:bookmarkEnd w:id="925"/>
      <w:bookmarkEnd w:id="92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工程总承包项目经理：</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□采购负责人：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jc w:val="left"/>
        <w:outlineLvl w:val="1"/>
        <w:rPr>
          <w:rFonts w:ascii="宋体" w:hAnsi="宋体" w:cs="宋体"/>
          <w:kern w:val="0"/>
        </w:rPr>
      </w:pPr>
      <w:bookmarkStart w:id="927" w:name="_Toc20171715"/>
      <w:bookmarkEnd w:id="927"/>
      <w:bookmarkStart w:id="928" w:name="_Toc27886"/>
      <w:bookmarkStart w:id="929" w:name="_Toc22089"/>
      <w:bookmarkStart w:id="930" w:name="_Toc8100"/>
      <w:bookmarkStart w:id="931" w:name="_Toc6780"/>
      <w:bookmarkStart w:id="932" w:name="_Toc3075"/>
      <w:bookmarkStart w:id="933" w:name="_Toc84930700"/>
      <w:r>
        <w:rPr>
          <w:rFonts w:hint="eastAsia" w:ascii="宋体" w:hAnsi="宋体" w:cs="宋体"/>
          <w:kern w:val="0"/>
          <w:szCs w:val="21"/>
          <w:lang w:bidi="ar"/>
        </w:rPr>
        <w:t>六、合同文件构成</w:t>
      </w:r>
      <w:bookmarkEnd w:id="928"/>
      <w:bookmarkEnd w:id="929"/>
      <w:bookmarkEnd w:id="930"/>
      <w:bookmarkEnd w:id="931"/>
      <w:bookmarkEnd w:id="932"/>
      <w:bookmarkEnd w:id="93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本协议书与下列文件一起构成合同文件：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（1）中标通知书（如果有）；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（2）投标函及投标函附录（如果有）；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（3）专用合同条件及《发包人要求》等附件；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（4）通用合同条件；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（5）招标文件及其澄清修改文件；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（6）投标文件和（或）承包人建议书；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（7）价格清单；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（8）双方约定的其他合同文件。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上述各项合同文件包括双方就该项合同文件所作出的补充和修改，属于同一类内容的合同文件应以最新签署的为准。专用合同条件及其附件须经合同当事人签名或盖章。</w:t>
      </w:r>
    </w:p>
    <w:p>
      <w:pPr>
        <w:widowControl/>
        <w:adjustRightInd w:val="0"/>
        <w:snapToGrid w:val="0"/>
        <w:spacing w:after="163" w:afterLines="50" w:line="360" w:lineRule="auto"/>
        <w:jc w:val="left"/>
        <w:outlineLvl w:val="1"/>
        <w:rPr>
          <w:rFonts w:ascii="宋体" w:hAnsi="宋体" w:cs="宋体"/>
          <w:kern w:val="0"/>
        </w:rPr>
      </w:pPr>
      <w:bookmarkStart w:id="934" w:name="_Toc20171716"/>
      <w:bookmarkEnd w:id="934"/>
      <w:bookmarkStart w:id="935" w:name="_Toc32738"/>
      <w:bookmarkStart w:id="936" w:name="_Toc84930701"/>
      <w:bookmarkStart w:id="937" w:name="_Toc19950"/>
      <w:bookmarkStart w:id="938" w:name="_Toc15097"/>
      <w:bookmarkStart w:id="939" w:name="_Toc10579"/>
      <w:bookmarkStart w:id="940" w:name="_Toc30416"/>
      <w:r>
        <w:rPr>
          <w:rFonts w:hint="eastAsia" w:ascii="宋体" w:hAnsi="宋体" w:cs="宋体"/>
          <w:kern w:val="0"/>
          <w:szCs w:val="21"/>
          <w:lang w:bidi="ar"/>
        </w:rPr>
        <w:t>七、承诺</w:t>
      </w:r>
      <w:bookmarkEnd w:id="935"/>
      <w:bookmarkEnd w:id="936"/>
      <w:bookmarkEnd w:id="937"/>
      <w:bookmarkEnd w:id="938"/>
      <w:bookmarkEnd w:id="939"/>
      <w:bookmarkEnd w:id="940"/>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发包人承诺按照法律规定履行项目审批手续、筹集工程建设资金并按照合同约定的期限和方式支付合同价款。</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承包人承诺按照法律规定及合同约定组织完成工程的设计、采购和施工等工作，确保工程质量和安全，不进行转包及违法分包，并在缺陷责任期及保修期内承担相应的工程维修责任。</w:t>
      </w:r>
    </w:p>
    <w:p>
      <w:pPr>
        <w:widowControl/>
        <w:adjustRightInd w:val="0"/>
        <w:snapToGrid w:val="0"/>
        <w:spacing w:after="163" w:afterLines="50" w:line="360" w:lineRule="auto"/>
        <w:jc w:val="left"/>
        <w:outlineLvl w:val="1"/>
        <w:rPr>
          <w:rFonts w:ascii="宋体" w:hAnsi="宋体" w:cs="宋体"/>
          <w:kern w:val="0"/>
        </w:rPr>
      </w:pPr>
      <w:bookmarkStart w:id="941" w:name="_Toc20171717"/>
      <w:bookmarkEnd w:id="941"/>
      <w:bookmarkStart w:id="942" w:name="_Toc84930702"/>
      <w:bookmarkStart w:id="943" w:name="_Toc30228"/>
      <w:bookmarkStart w:id="944" w:name="_Toc1112"/>
      <w:bookmarkStart w:id="945" w:name="_Toc14460"/>
      <w:bookmarkStart w:id="946" w:name="_Toc1651"/>
      <w:bookmarkStart w:id="947" w:name="_Toc22253"/>
      <w:r>
        <w:rPr>
          <w:rFonts w:hint="eastAsia" w:ascii="宋体" w:hAnsi="宋体" w:cs="宋体"/>
          <w:kern w:val="0"/>
          <w:szCs w:val="21"/>
          <w:lang w:bidi="ar"/>
        </w:rPr>
        <w:t>八、订立时间</w:t>
      </w:r>
      <w:bookmarkEnd w:id="942"/>
      <w:bookmarkEnd w:id="943"/>
      <w:bookmarkEnd w:id="944"/>
      <w:bookmarkEnd w:id="945"/>
      <w:bookmarkEnd w:id="946"/>
      <w:bookmarkEnd w:id="94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本合同于</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日订立。</w:t>
      </w:r>
    </w:p>
    <w:p>
      <w:pPr>
        <w:widowControl/>
        <w:adjustRightInd w:val="0"/>
        <w:snapToGrid w:val="0"/>
        <w:spacing w:after="163" w:afterLines="50" w:line="360" w:lineRule="auto"/>
        <w:jc w:val="left"/>
        <w:outlineLvl w:val="1"/>
        <w:rPr>
          <w:rFonts w:ascii="宋体" w:hAnsi="宋体" w:cs="宋体"/>
          <w:kern w:val="0"/>
        </w:rPr>
      </w:pPr>
      <w:bookmarkStart w:id="948" w:name="_Toc20171718"/>
      <w:bookmarkEnd w:id="948"/>
      <w:bookmarkStart w:id="949" w:name="_Toc4976"/>
      <w:bookmarkStart w:id="950" w:name="_Toc8457"/>
      <w:bookmarkStart w:id="951" w:name="_Toc2658"/>
      <w:bookmarkStart w:id="952" w:name="_Toc30701"/>
      <w:bookmarkStart w:id="953" w:name="_Toc84930703"/>
      <w:bookmarkStart w:id="954" w:name="_Toc10470"/>
      <w:r>
        <w:rPr>
          <w:rFonts w:hint="eastAsia" w:ascii="宋体" w:hAnsi="宋体" w:cs="宋体"/>
          <w:kern w:val="0"/>
          <w:szCs w:val="21"/>
          <w:lang w:bidi="ar"/>
        </w:rPr>
        <w:t>九、订立地点</w:t>
      </w:r>
      <w:bookmarkEnd w:id="949"/>
      <w:bookmarkEnd w:id="950"/>
      <w:bookmarkEnd w:id="951"/>
      <w:bookmarkEnd w:id="952"/>
      <w:bookmarkEnd w:id="953"/>
      <w:bookmarkEnd w:id="95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本合同在</w:t>
      </w:r>
      <w:r>
        <w:rPr>
          <w:rFonts w:hint="eastAsia" w:ascii="宋体" w:hAnsi="宋体" w:cs="宋体"/>
          <w:kern w:val="0"/>
          <w:szCs w:val="21"/>
          <w:u w:val="single"/>
          <w:lang w:bidi="ar"/>
        </w:rPr>
        <w:t xml:space="preserve">                        </w:t>
      </w:r>
      <w:r>
        <w:rPr>
          <w:rFonts w:hint="eastAsia" w:ascii="宋体" w:hAnsi="宋体" w:cs="宋体"/>
          <w:kern w:val="0"/>
          <w:szCs w:val="21"/>
          <w:lang w:bidi="ar"/>
        </w:rPr>
        <w:t>订立。</w:t>
      </w:r>
    </w:p>
    <w:p>
      <w:pPr>
        <w:widowControl/>
        <w:adjustRightInd w:val="0"/>
        <w:snapToGrid w:val="0"/>
        <w:spacing w:after="163" w:afterLines="50" w:line="360" w:lineRule="auto"/>
        <w:jc w:val="left"/>
        <w:outlineLvl w:val="1"/>
        <w:rPr>
          <w:rFonts w:ascii="宋体" w:hAnsi="宋体" w:cs="宋体"/>
          <w:kern w:val="0"/>
        </w:rPr>
      </w:pPr>
      <w:bookmarkStart w:id="955" w:name="_Toc20171719"/>
      <w:bookmarkEnd w:id="955"/>
      <w:bookmarkStart w:id="956" w:name="_Toc16329"/>
      <w:bookmarkStart w:id="957" w:name="_Toc17789"/>
      <w:bookmarkStart w:id="958" w:name="_Toc20438"/>
      <w:bookmarkStart w:id="959" w:name="_Toc10294"/>
      <w:bookmarkStart w:id="960" w:name="_Toc84930704"/>
      <w:bookmarkStart w:id="961" w:name="_Toc7340"/>
      <w:r>
        <w:rPr>
          <w:rFonts w:hint="eastAsia" w:ascii="宋体" w:hAnsi="宋体" w:cs="宋体"/>
          <w:kern w:val="0"/>
          <w:szCs w:val="21"/>
          <w:lang w:bidi="ar"/>
        </w:rPr>
        <w:t>十、合同生效</w:t>
      </w:r>
      <w:bookmarkEnd w:id="956"/>
      <w:bookmarkEnd w:id="957"/>
      <w:bookmarkEnd w:id="958"/>
      <w:bookmarkEnd w:id="959"/>
      <w:bookmarkEnd w:id="960"/>
      <w:bookmarkEnd w:id="961"/>
    </w:p>
    <w:p>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本合同在以下条件全部满足之后生效：</w:t>
      </w:r>
    </w:p>
    <w:p>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1.经双方法定代表人或其委托代理人签名并加盖公章或合同专用章；</w:t>
      </w:r>
    </w:p>
    <w:p>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2.采用保函形式递交履约担保的，承包人按合同约定向发包人提交履约担保后；</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jc w:val="left"/>
        <w:outlineLvl w:val="1"/>
        <w:rPr>
          <w:rFonts w:ascii="宋体" w:hAnsi="宋体" w:cs="宋体"/>
          <w:kern w:val="0"/>
        </w:rPr>
      </w:pPr>
      <w:bookmarkStart w:id="962" w:name="_Toc20171720"/>
      <w:bookmarkEnd w:id="962"/>
      <w:bookmarkStart w:id="963" w:name="_Toc13067"/>
      <w:bookmarkStart w:id="964" w:name="_Toc22497"/>
      <w:bookmarkStart w:id="965" w:name="_Toc30462"/>
      <w:bookmarkStart w:id="966" w:name="_Toc6493"/>
      <w:bookmarkStart w:id="967" w:name="_Toc27498"/>
      <w:bookmarkStart w:id="968" w:name="_Toc84930705"/>
      <w:r>
        <w:rPr>
          <w:rFonts w:hint="eastAsia" w:ascii="宋体" w:hAnsi="宋体" w:cs="宋体"/>
          <w:kern w:val="0"/>
          <w:szCs w:val="21"/>
          <w:lang w:bidi="ar"/>
        </w:rPr>
        <w:t>十一、合同份数</w:t>
      </w:r>
      <w:bookmarkEnd w:id="963"/>
      <w:bookmarkEnd w:id="964"/>
      <w:bookmarkEnd w:id="965"/>
      <w:bookmarkEnd w:id="966"/>
      <w:bookmarkEnd w:id="967"/>
      <w:bookmarkEnd w:id="96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本合同一式</w:t>
      </w:r>
      <w:r>
        <w:rPr>
          <w:rFonts w:hint="eastAsia" w:ascii="宋体" w:hAnsi="宋体" w:cs="宋体"/>
          <w:kern w:val="0"/>
          <w:szCs w:val="21"/>
          <w:u w:val="single"/>
          <w:lang w:bidi="ar"/>
        </w:rPr>
        <w:t xml:space="preserve">    </w:t>
      </w:r>
      <w:r>
        <w:rPr>
          <w:rFonts w:hint="eastAsia" w:ascii="宋体" w:hAnsi="宋体" w:cs="宋体"/>
          <w:kern w:val="0"/>
          <w:szCs w:val="21"/>
          <w:lang w:bidi="ar"/>
        </w:rPr>
        <w:t>份，均具有同等法律效力，发包人执</w:t>
      </w:r>
      <w:r>
        <w:rPr>
          <w:rFonts w:hint="eastAsia" w:ascii="宋体" w:hAnsi="宋体" w:cs="宋体"/>
          <w:kern w:val="0"/>
          <w:szCs w:val="21"/>
          <w:u w:val="single"/>
          <w:lang w:bidi="ar"/>
        </w:rPr>
        <w:t xml:space="preserve">    </w:t>
      </w:r>
      <w:r>
        <w:rPr>
          <w:rFonts w:hint="eastAsia" w:ascii="宋体" w:hAnsi="宋体" w:cs="宋体"/>
          <w:kern w:val="0"/>
          <w:szCs w:val="21"/>
          <w:lang w:bidi="ar"/>
        </w:rPr>
        <w:t>份，承包人执</w:t>
      </w:r>
      <w:r>
        <w:rPr>
          <w:rFonts w:hint="eastAsia" w:ascii="宋体" w:hAnsi="宋体" w:cs="宋体"/>
          <w:kern w:val="0"/>
          <w:szCs w:val="21"/>
          <w:u w:val="single"/>
          <w:lang w:bidi="ar"/>
        </w:rPr>
        <w:t xml:space="preserve">    </w:t>
      </w:r>
      <w:r>
        <w:rPr>
          <w:rFonts w:hint="eastAsia" w:ascii="宋体" w:hAnsi="宋体" w:cs="宋体"/>
          <w:kern w:val="0"/>
          <w:szCs w:val="21"/>
          <w:lang w:bidi="ar"/>
        </w:rPr>
        <w:t>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tbl>
      <w:tblPr>
        <w:tblStyle w:val="45"/>
        <w:tblW w:w="9072" w:type="dxa"/>
        <w:tblInd w:w="135" w:type="dxa"/>
        <w:tblLayout w:type="fixed"/>
        <w:tblCellMar>
          <w:top w:w="0" w:type="dxa"/>
          <w:left w:w="108" w:type="dxa"/>
          <w:bottom w:w="0" w:type="dxa"/>
          <w:right w:w="108" w:type="dxa"/>
        </w:tblCellMar>
      </w:tblPr>
      <w:tblGrid>
        <w:gridCol w:w="4507"/>
        <w:gridCol w:w="4565"/>
      </w:tblGrid>
      <w:tr>
        <w:tblPrEx>
          <w:tblLayout w:type="fixed"/>
          <w:tblCellMar>
            <w:top w:w="0" w:type="dxa"/>
            <w:left w:w="108" w:type="dxa"/>
            <w:bottom w:w="0" w:type="dxa"/>
            <w:right w:w="108" w:type="dxa"/>
          </w:tblCellMar>
        </w:tblPrEx>
        <w:tc>
          <w:tcPr>
            <w:tcW w:w="4507"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发包人：（公章）</w:t>
            </w:r>
          </w:p>
          <w:p>
            <w:pPr>
              <w:widowControl/>
              <w:adjustRightInd w:val="0"/>
              <w:snapToGrid w:val="0"/>
              <w:spacing w:after="50" w:line="360" w:lineRule="auto"/>
              <w:jc w:val="left"/>
              <w:rPr>
                <w:rFonts w:ascii="宋体" w:hAnsi="宋体" w:cs="宋体"/>
                <w:kern w:val="0"/>
              </w:rPr>
            </w:pPr>
          </w:p>
          <w:p>
            <w:pPr>
              <w:widowControl/>
              <w:adjustRightInd w:val="0"/>
              <w:snapToGrid w:val="0"/>
              <w:spacing w:after="50" w:line="360" w:lineRule="auto"/>
              <w:jc w:val="left"/>
              <w:rPr>
                <w:rFonts w:ascii="宋体" w:hAnsi="宋体" w:cs="宋体"/>
                <w:kern w:val="0"/>
              </w:rPr>
            </w:pPr>
          </w:p>
        </w:tc>
        <w:tc>
          <w:tcPr>
            <w:tcW w:w="4565"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承包人：（公章）</w:t>
            </w:r>
          </w:p>
          <w:p>
            <w:pPr>
              <w:widowControl/>
              <w:adjustRightInd w:val="0"/>
              <w:snapToGrid w:val="0"/>
              <w:spacing w:after="50" w:line="360" w:lineRule="auto"/>
              <w:jc w:val="left"/>
              <w:rPr>
                <w:rFonts w:ascii="宋体" w:hAnsi="宋体" w:cs="宋体"/>
                <w:kern w:val="0"/>
              </w:rPr>
            </w:pPr>
          </w:p>
          <w:p>
            <w:pPr>
              <w:widowControl/>
              <w:adjustRightInd w:val="0"/>
              <w:snapToGrid w:val="0"/>
              <w:spacing w:after="50" w:line="360" w:lineRule="auto"/>
              <w:jc w:val="left"/>
              <w:rPr>
                <w:rFonts w:ascii="宋体" w:hAnsi="宋体" w:cs="宋体"/>
                <w:kern w:val="0"/>
              </w:rPr>
            </w:pPr>
          </w:p>
        </w:tc>
      </w:tr>
      <w:tr>
        <w:tblPrEx>
          <w:tblLayout w:type="fixed"/>
          <w:tblCellMar>
            <w:top w:w="0" w:type="dxa"/>
            <w:left w:w="108" w:type="dxa"/>
            <w:bottom w:w="0" w:type="dxa"/>
            <w:right w:w="108" w:type="dxa"/>
          </w:tblCellMar>
        </w:tblPrEx>
        <w:tc>
          <w:tcPr>
            <w:tcW w:w="4507"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法定代表人或其委托代理人：</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（签名）</w:t>
            </w:r>
          </w:p>
          <w:p>
            <w:pPr>
              <w:widowControl/>
              <w:adjustRightInd w:val="0"/>
              <w:snapToGrid w:val="0"/>
              <w:spacing w:after="50" w:line="360" w:lineRule="auto"/>
              <w:jc w:val="left"/>
              <w:rPr>
                <w:rFonts w:ascii="宋体" w:hAnsi="宋体" w:cs="宋体"/>
                <w:kern w:val="0"/>
              </w:rPr>
            </w:pPr>
          </w:p>
        </w:tc>
        <w:tc>
          <w:tcPr>
            <w:tcW w:w="4565"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法定代表人或其委托代理人：</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（签名）</w:t>
            </w:r>
          </w:p>
          <w:p>
            <w:pPr>
              <w:widowControl/>
              <w:adjustRightInd w:val="0"/>
              <w:snapToGrid w:val="0"/>
              <w:spacing w:after="50" w:line="360" w:lineRule="auto"/>
              <w:jc w:val="left"/>
              <w:rPr>
                <w:rFonts w:ascii="宋体" w:hAnsi="宋体" w:cs="宋体"/>
                <w:kern w:val="0"/>
              </w:rPr>
            </w:pPr>
          </w:p>
        </w:tc>
      </w:tr>
      <w:tr>
        <w:tblPrEx>
          <w:tblLayout w:type="fixed"/>
          <w:tblCellMar>
            <w:top w:w="0" w:type="dxa"/>
            <w:left w:w="108" w:type="dxa"/>
            <w:bottom w:w="0" w:type="dxa"/>
            <w:right w:w="108" w:type="dxa"/>
          </w:tblCellMar>
        </w:tblPrEx>
        <w:tc>
          <w:tcPr>
            <w:tcW w:w="4507"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统一社会信用代码：</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委托代理人：</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电话：</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 xml:space="preserve">传真： </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电子信箱：</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开户银行：</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账号：</w:t>
            </w:r>
            <w:r>
              <w:rPr>
                <w:rFonts w:hint="eastAsia" w:ascii="宋体" w:hAnsi="宋体" w:cs="宋体"/>
                <w:kern w:val="0"/>
                <w:szCs w:val="21"/>
                <w:u w:val="single"/>
                <w:lang w:bidi="ar"/>
              </w:rPr>
              <w:t xml:space="preserve">                       </w:t>
            </w:r>
          </w:p>
        </w:tc>
        <w:tc>
          <w:tcPr>
            <w:tcW w:w="4565" w:type="dxa"/>
            <w:shd w:val="clear" w:color="auto" w:fill="auto"/>
          </w:tcPr>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统一社会信用代码：</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委托代理人：</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电话：</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传真：</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电子信箱：</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开户银行：</w:t>
            </w:r>
            <w:r>
              <w:rPr>
                <w:rFonts w:hint="eastAsia" w:ascii="宋体" w:hAnsi="宋体" w:cs="宋体"/>
                <w:kern w:val="0"/>
                <w:szCs w:val="21"/>
                <w:u w:val="single"/>
                <w:lang w:bidi="ar"/>
              </w:rPr>
              <w:t xml:space="preserve">                   </w:t>
            </w:r>
          </w:p>
          <w:p>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账号：</w:t>
            </w:r>
            <w:r>
              <w:rPr>
                <w:rFonts w:hint="eastAsia" w:ascii="宋体" w:hAnsi="宋体" w:cs="宋体"/>
                <w:kern w:val="0"/>
                <w:szCs w:val="21"/>
                <w:u w:val="single"/>
                <w:lang w:bidi="ar"/>
              </w:rPr>
              <w:t xml:space="preserve">                       </w:t>
            </w:r>
          </w:p>
        </w:tc>
      </w:tr>
    </w:tbl>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ab/>
      </w:r>
    </w:p>
    <w:p>
      <w:pPr>
        <w:spacing w:line="360" w:lineRule="auto"/>
        <w:rPr>
          <w:rFonts w:ascii="宋体" w:hAnsi="宋体"/>
          <w:b/>
          <w:kern w:val="44"/>
          <w:szCs w:val="21"/>
          <w:lang w:bidi="ar"/>
        </w:rPr>
        <w:sectPr>
          <w:type w:val="continuous"/>
          <w:pgSz w:w="11906" w:h="16838"/>
          <w:pgMar w:top="1304" w:right="1135" w:bottom="1304" w:left="1304" w:header="720" w:footer="720" w:gutter="0"/>
          <w:cols w:space="720" w:num="1"/>
          <w:docGrid w:type="lines" w:linePitch="326" w:charSpace="0"/>
        </w:sectPr>
      </w:pPr>
    </w:p>
    <w:p>
      <w:pPr>
        <w:widowControl/>
        <w:adjustRightInd w:val="0"/>
        <w:snapToGrid w:val="0"/>
        <w:spacing w:after="50" w:line="360" w:lineRule="auto"/>
        <w:jc w:val="center"/>
        <w:outlineLvl w:val="0"/>
        <w:rPr>
          <w:rFonts w:ascii="宋体" w:hAnsi="宋体" w:cs="宋体"/>
          <w:b/>
          <w:kern w:val="44"/>
        </w:rPr>
      </w:pPr>
      <w:bookmarkStart w:id="969" w:name="_Toc20171721"/>
      <w:bookmarkEnd w:id="969"/>
      <w:bookmarkStart w:id="970" w:name="_Toc14829"/>
      <w:bookmarkStart w:id="971" w:name="_Toc15311"/>
      <w:bookmarkStart w:id="972" w:name="_Toc1587"/>
      <w:r>
        <w:rPr>
          <w:rFonts w:hint="eastAsia" w:ascii="宋体" w:hAnsi="宋体" w:cs="宋体"/>
          <w:b/>
          <w:kern w:val="44"/>
          <w:szCs w:val="21"/>
          <w:lang w:bidi="ar"/>
        </w:rPr>
        <w:t>第二部分 通用合同条件</w:t>
      </w:r>
      <w:bookmarkEnd w:id="970"/>
      <w:bookmarkEnd w:id="971"/>
      <w:bookmarkEnd w:id="972"/>
    </w:p>
    <w:p>
      <w:pPr>
        <w:widowControl/>
        <w:adjustRightInd w:val="0"/>
        <w:snapToGrid w:val="0"/>
        <w:spacing w:after="163" w:afterLines="50" w:line="360" w:lineRule="auto"/>
        <w:outlineLvl w:val="1"/>
        <w:rPr>
          <w:rFonts w:ascii="宋体" w:hAnsi="宋体" w:cs="宋体"/>
          <w:kern w:val="0"/>
        </w:rPr>
      </w:pPr>
      <w:bookmarkStart w:id="973" w:name="_Toc20171722"/>
      <w:bookmarkEnd w:id="973"/>
      <w:bookmarkStart w:id="974" w:name="_Ref509040831"/>
      <w:bookmarkEnd w:id="974"/>
      <w:bookmarkStart w:id="975" w:name="_Ref509040826"/>
      <w:bookmarkEnd w:id="975"/>
      <w:bookmarkStart w:id="976" w:name="_Ref508893699"/>
      <w:bookmarkEnd w:id="976"/>
      <w:bookmarkStart w:id="977" w:name="_Ref531952761"/>
      <w:bookmarkEnd w:id="977"/>
      <w:bookmarkStart w:id="978" w:name="_Ref531952756"/>
      <w:bookmarkStart w:id="979" w:name="_Toc21653"/>
      <w:bookmarkStart w:id="980" w:name="_Toc26260"/>
      <w:bookmarkStart w:id="981" w:name="_Toc31247"/>
      <w:bookmarkStart w:id="982" w:name="_Toc5659"/>
      <w:r>
        <w:rPr>
          <w:rFonts w:hint="eastAsia" w:ascii="宋体" w:hAnsi="宋体" w:cs="宋体"/>
          <w:kern w:val="0"/>
          <w:szCs w:val="21"/>
          <w:lang w:bidi="ar"/>
        </w:rPr>
        <w:t xml:space="preserve">第1条 </w:t>
      </w:r>
      <w:bookmarkEnd w:id="978"/>
      <w:r>
        <w:rPr>
          <w:rFonts w:hint="eastAsia" w:ascii="宋体" w:hAnsi="宋体" w:cs="宋体"/>
          <w:kern w:val="0"/>
          <w:szCs w:val="21"/>
          <w:lang w:bidi="ar"/>
        </w:rPr>
        <w:t xml:space="preserve"> 一般约定</w:t>
      </w:r>
      <w:bookmarkEnd w:id="979"/>
      <w:bookmarkEnd w:id="980"/>
      <w:bookmarkEnd w:id="981"/>
      <w:bookmarkEnd w:id="982"/>
    </w:p>
    <w:p>
      <w:pPr>
        <w:widowControl/>
        <w:wordWrap w:val="0"/>
        <w:topLinePunct/>
        <w:adjustRightInd w:val="0"/>
        <w:snapToGrid w:val="0"/>
        <w:spacing w:after="163" w:afterLines="50" w:line="360" w:lineRule="auto"/>
        <w:outlineLvl w:val="2"/>
        <w:rPr>
          <w:rFonts w:ascii="宋体" w:hAnsi="宋体" w:cs="宋体"/>
        </w:rPr>
      </w:pPr>
      <w:bookmarkStart w:id="983" w:name="_Toc20171723"/>
      <w:bookmarkEnd w:id="983"/>
      <w:bookmarkStart w:id="984" w:name="_Ref523741471"/>
      <w:bookmarkEnd w:id="984"/>
      <w:bookmarkStart w:id="985" w:name="_Ref523741474"/>
      <w:bookmarkStart w:id="986" w:name="_Toc30901"/>
      <w:bookmarkStart w:id="987" w:name="_Toc24072"/>
      <w:bookmarkStart w:id="988" w:name="_Toc16421"/>
      <w:bookmarkStart w:id="989" w:name="_Toc2839"/>
      <w:bookmarkStart w:id="990" w:name="_Toc16029"/>
      <w:bookmarkStart w:id="991" w:name="_Toc19685"/>
      <w:bookmarkStart w:id="992" w:name="_Toc58860158"/>
      <w:bookmarkStart w:id="993" w:name="_Toc51766571"/>
      <w:bookmarkStart w:id="994" w:name="_Toc84930708"/>
      <w:r>
        <w:rPr>
          <w:rFonts w:hint="eastAsia" w:ascii="宋体" w:hAnsi="宋体" w:cs="宋体"/>
          <w:szCs w:val="21"/>
          <w:lang w:bidi="ar"/>
        </w:rPr>
        <w:t>1</w:t>
      </w:r>
      <w:bookmarkEnd w:id="985"/>
      <w:r>
        <w:rPr>
          <w:rFonts w:hint="eastAsia" w:ascii="宋体" w:hAnsi="宋体" w:cs="宋体"/>
          <w:szCs w:val="21"/>
          <w:lang w:bidi="ar"/>
        </w:rPr>
        <w:t>.1  词语定义和解释</w:t>
      </w:r>
      <w:bookmarkEnd w:id="986"/>
      <w:bookmarkEnd w:id="987"/>
      <w:bookmarkEnd w:id="988"/>
      <w:bookmarkEnd w:id="989"/>
      <w:bookmarkEnd w:id="990"/>
      <w:bookmarkEnd w:id="991"/>
      <w:bookmarkEnd w:id="992"/>
      <w:bookmarkEnd w:id="993"/>
      <w:bookmarkEnd w:id="99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合同协议书、通用合同条件、专用合同条件中的下列词语应具有本款所赋予的含义：</w:t>
      </w:r>
    </w:p>
    <w:p>
      <w:pPr>
        <w:widowControl/>
        <w:adjustRightInd w:val="0"/>
        <w:snapToGrid w:val="0"/>
        <w:spacing w:after="163" w:afterLines="50" w:line="360" w:lineRule="auto"/>
        <w:ind w:firstLine="420" w:firstLineChars="200"/>
        <w:outlineLvl w:val="3"/>
        <w:rPr>
          <w:rFonts w:ascii="宋体" w:hAnsi="宋体" w:cs="宋体"/>
        </w:rPr>
      </w:pPr>
      <w:bookmarkStart w:id="995" w:name="_Ref4757289"/>
      <w:bookmarkEnd w:id="995"/>
      <w:bookmarkStart w:id="996" w:name="_Ref521288340"/>
      <w:r>
        <w:rPr>
          <w:rFonts w:hint="eastAsia" w:ascii="宋体" w:hAnsi="宋体" w:cs="宋体"/>
          <w:szCs w:val="21"/>
          <w:lang w:bidi="ar"/>
        </w:rPr>
        <w:t>1</w:t>
      </w:r>
      <w:bookmarkEnd w:id="996"/>
      <w:r>
        <w:rPr>
          <w:rFonts w:hint="eastAsia" w:ascii="宋体" w:hAnsi="宋体" w:cs="宋体"/>
          <w:szCs w:val="21"/>
          <w:lang w:bidi="ar"/>
        </w:rPr>
        <w:t>.1.1合同</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1.1.1.1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1.1.1.2合同协议书：是指构成合同的由发包人和承包人共同签署的称为“合同协议书”的书面文件。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1.1.1.3中标通知书：是指构成合同的由发包人通知承包人中标的书面文件。中标通知书随附的澄清、说明、补正事项纪要等，是中标通知书的组成部分。</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1.1.1.4投标函：是指构成合同的由承包人填写并签署的用于投标的称为“投标函”的文件。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1.1.1.5投标函附录：是指构成合同的附在投标函后的称为“投标函附录”的文件。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1.1.1.6《发包人要求》：指构成合同文件组成部分的名为《发包人要求》的文件，其中列明工程的目的、范围、设计与其他技术标准和要求，以及合同双方当事人约定对其所作的修改或补充。</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1.1.1.7项目清单：是指发包人提供的载明工程总承包项目勘察费（如果有）、设计费、建筑安装工程费、设备购置费、暂估价、暂列金额和双方约定的其他费用的名称和相应数量等内容的项目明细。</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1.1.1.8价格清单：指构成合同文件组成部分的由承包人按发包人提供的项目清单规定的格式和要求填写并标明价格的清单。</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1.1.1.9承包人建议书：指构成合同文件组成部分的名为承包人建议书的文件。承包人建议书由承包人随投标函一起提交。</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997" w:name="_Ref4415300"/>
      <w:bookmarkEnd w:id="997"/>
      <w:r>
        <w:rPr>
          <w:rFonts w:hint="eastAsia" w:ascii="宋体" w:hAnsi="宋体" w:cs="宋体"/>
          <w:szCs w:val="21"/>
          <w:lang w:bidi="ar"/>
        </w:rPr>
        <w:t>1.1.1.10其他合同文件：是指经合同当事人约定的与工程实施有关的具有合同约束力的文件或书面协议。合同当事人可以在专用合同条件中进行约定。</w:t>
      </w:r>
    </w:p>
    <w:p>
      <w:pPr>
        <w:widowControl/>
        <w:adjustRightInd w:val="0"/>
        <w:snapToGrid w:val="0"/>
        <w:spacing w:after="163" w:afterLines="50" w:line="360" w:lineRule="auto"/>
        <w:ind w:firstLine="420" w:firstLineChars="200"/>
        <w:outlineLvl w:val="3"/>
        <w:rPr>
          <w:rFonts w:ascii="宋体" w:hAnsi="宋体" w:cs="宋体"/>
        </w:rPr>
      </w:pPr>
      <w:bookmarkStart w:id="998" w:name="_Ref4757418"/>
      <w:bookmarkEnd w:id="998"/>
      <w:r>
        <w:rPr>
          <w:rFonts w:hint="eastAsia" w:ascii="宋体" w:hAnsi="宋体" w:cs="宋体"/>
          <w:szCs w:val="21"/>
          <w:lang w:bidi="ar"/>
        </w:rPr>
        <w:t>1.1.2合同当事人及其他相关方</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1.1.2.1合同当事人：是指发包人和（或）承包人。</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1.1.2.2发包人：是指与承包人订立合同协议书的当事人及取得该当事人资格的合法继受人。本合同中“因发包人原因”里的“发包人”包括发包人及所有发包人人员。</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1.1.2.3承包人：是指与发包人订立合同协议书的当事人及取得该当事人资格的合法继受人。</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1.1.2.4联合体：是指经发包人同意由两个或两个以上法人或者其他组织组成的，作为承包人的临时机构。</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999" w:name="_Ref4420046"/>
      <w:bookmarkEnd w:id="999"/>
      <w:r>
        <w:rPr>
          <w:rFonts w:hint="eastAsia" w:ascii="宋体" w:hAnsi="宋体" w:cs="宋体"/>
          <w:szCs w:val="21"/>
          <w:lang w:bidi="ar"/>
        </w:rPr>
        <w:t>1.1.2.5发包人代表：是指由发包人任命并派驻工作现场，在发包人授权范围内行使发包人权利和履行发包人义务的人。</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1000" w:name="_Ref4756982"/>
      <w:bookmarkEnd w:id="1000"/>
      <w:r>
        <w:rPr>
          <w:rFonts w:hint="eastAsia" w:ascii="宋体" w:hAnsi="宋体" w:cs="宋体"/>
          <w:szCs w:val="21"/>
          <w:lang w:bidi="ar"/>
        </w:rPr>
        <w:t>1.1.2.6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1.1.2.7工程总承包项目经理：是指由承包人任命的，在承包人授权范围内负责合同履行的管理，且按照法律规定具有相应资格的项目负责人。</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1.1.2.8设计负责人：是指承包人指定负责组织、指导、协调设计工作并具有相应资格的人员。</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1.1.2.9采购负责人：是指承包人指定负责组织、指导、协调采购工作的人员。</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1.1.2.10施工负责人：是指承包人指定负责组织、指导、协调施工工作并具有相应资格的人员。</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1.1.2.11分包人：是指按照法律规定和合同约定，分包部分工程或工作，并与承包人订立分包合同的具有相应资质或资格的法人或其他组织。</w:t>
      </w:r>
    </w:p>
    <w:p>
      <w:pPr>
        <w:widowControl/>
        <w:adjustRightInd w:val="0"/>
        <w:snapToGrid w:val="0"/>
        <w:spacing w:after="163" w:afterLines="50" w:line="360" w:lineRule="auto"/>
        <w:ind w:firstLine="420" w:firstLineChars="200"/>
        <w:outlineLvl w:val="3"/>
        <w:rPr>
          <w:rFonts w:ascii="宋体" w:hAnsi="宋体" w:cs="宋体"/>
        </w:rPr>
      </w:pPr>
      <w:bookmarkStart w:id="1001" w:name="_Ref4758319"/>
      <w:bookmarkEnd w:id="1001"/>
      <w:r>
        <w:rPr>
          <w:rFonts w:hint="eastAsia" w:ascii="宋体" w:hAnsi="宋体" w:cs="宋体"/>
          <w:szCs w:val="21"/>
          <w:lang w:bidi="ar"/>
        </w:rPr>
        <w:t>1.1.3工程和设备</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1.1.3.1工程：是指与合同协议书中工程承包范围对应的永久工程和（或）临时工程。</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1.1.3.2工程实施：是指进行工程的设计、采购、施工和竣工以及对工程任何缺陷的修复。</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1.1.3.3永久工程：是指按合同约定建造并移交给发包人的工程，包括工程设备。</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1.1.3.4临时工程：是指为完成合同约定的永久工程所修建的各类临时性工程，不包括施工设备。</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1002" w:name="_Ref4419825"/>
      <w:bookmarkEnd w:id="1002"/>
      <w:r>
        <w:rPr>
          <w:rFonts w:hint="eastAsia" w:ascii="宋体" w:hAnsi="宋体" w:cs="宋体"/>
          <w:szCs w:val="21"/>
          <w:lang w:bidi="ar"/>
        </w:rPr>
        <w:t>1.1.3.5单位/区段工程：是指在专用合同条件中指明特定范围的，能单独接收并使用的永久工程。</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1.1.3.6工程设备：指构成永久工程的机电设备、仪器装置、运载工具及其他类似的设备和装置，包括其配件及备品、备件、易损易耗件等。</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1.1.3.7施工设备：指为完成合同约定的各项工作所需的设备、器具和其他物品，不包括工程设备、临时工程和材料。</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1.1.3.8临时设施：指为完成合同约定的各项工作所服务的临时性生产和生活设施。</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1003" w:name="_Ref4420577"/>
      <w:bookmarkEnd w:id="1003"/>
      <w:r>
        <w:rPr>
          <w:rFonts w:hint="eastAsia" w:ascii="宋体" w:hAnsi="宋体" w:cs="宋体"/>
          <w:szCs w:val="21"/>
          <w:lang w:bidi="ar"/>
        </w:rPr>
        <w:t>1.1.3.9施工现场：是指用于工程施工的场所，以及在专用合同条件中指明作为施工场所组成部分的其他场所，包括永久占地和临时占地。</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1004" w:name="_Ref4420746"/>
      <w:bookmarkEnd w:id="1004"/>
      <w:r>
        <w:rPr>
          <w:rFonts w:hint="eastAsia" w:ascii="宋体" w:hAnsi="宋体" w:cs="宋体"/>
          <w:szCs w:val="21"/>
          <w:lang w:bidi="ar"/>
        </w:rPr>
        <w:t>1.1.3.10永久占地：是指专用合同条件中指明为实施工程需永久占用的土地。</w:t>
      </w:r>
    </w:p>
    <w:p>
      <w:pPr>
        <w:widowControl/>
        <w:autoSpaceDE w:val="0"/>
        <w:autoSpaceDN w:val="0"/>
        <w:adjustRightInd w:val="0"/>
        <w:snapToGrid w:val="0"/>
        <w:spacing w:after="163" w:afterLines="50" w:line="360" w:lineRule="auto"/>
        <w:ind w:firstLine="420" w:firstLineChars="200"/>
        <w:rPr>
          <w:rFonts w:ascii="宋体" w:hAnsi="宋体" w:cs="宋体"/>
        </w:rPr>
      </w:pPr>
      <w:bookmarkStart w:id="1005" w:name="_Ref4420821"/>
      <w:bookmarkEnd w:id="1005"/>
      <w:r>
        <w:rPr>
          <w:rFonts w:hint="eastAsia" w:ascii="宋体" w:hAnsi="宋体" w:cs="宋体"/>
          <w:szCs w:val="21"/>
          <w:lang w:bidi="ar"/>
        </w:rPr>
        <w:t>1.1.3.11临时占地：是指专用合同条件中指明为实施工程需临时占用的土地。</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1.1.4日期和期限</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1.1.4.1开始工作通知：指工程师按第8.1.2项[开始工作通知]的约定通知承包人开始工作的函件。</w:t>
      </w:r>
    </w:p>
    <w:p>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1.1.4.2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w:t>
      </w:r>
      <w:r>
        <w:rPr>
          <w:rFonts w:ascii="宋体" w:hAnsi="宋体" w:cs="宋体"/>
          <w:szCs w:val="21"/>
          <w:lang w:bidi="ar"/>
        </w:rPr>
        <w:t xml:space="preserve">.1.4.3 </w:t>
      </w:r>
      <w:r>
        <w:rPr>
          <w:rFonts w:hint="eastAsia" w:ascii="宋体" w:hAnsi="宋体" w:cs="宋体"/>
          <w:szCs w:val="21"/>
          <w:lang w:bidi="ar"/>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4</w:t>
      </w:r>
      <w:r>
        <w:rPr>
          <w:rFonts w:hint="eastAsia" w:ascii="宋体" w:hAnsi="宋体" w:cs="宋体"/>
          <w:szCs w:val="21"/>
          <w:lang w:bidi="ar"/>
        </w:rPr>
        <w:t>竣工日期：包括计划竣工日期和实际竣工日期。计划竣工日期是指合同协议书约定的竣工日期；实际竣工日期按照第8.2款[竣工日期]的约定确定。</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5</w:t>
      </w:r>
      <w:r>
        <w:rPr>
          <w:rFonts w:hint="eastAsia" w:ascii="宋体" w:hAnsi="宋体" w:cs="宋体"/>
          <w:szCs w:val="21"/>
          <w:lang w:bidi="ar"/>
        </w:rPr>
        <w:t>工期：是指在合同协议书约定的承包人完成合同工作所需的期限，包括按照合同约定所作的期限变更及按合同约定承包人有权取得的工期延长。</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6</w:t>
      </w:r>
      <w:r>
        <w:rPr>
          <w:rFonts w:hint="eastAsia" w:ascii="宋体" w:hAnsi="宋体" w:cs="宋体"/>
          <w:szCs w:val="21"/>
          <w:lang w:bidi="ar"/>
        </w:rPr>
        <w:t>缺陷责任期：是指发包人预留工程质量保证金以保证承包人履行第</w:t>
      </w:r>
      <w:r>
        <w:rPr>
          <w:rFonts w:ascii="宋体" w:hAnsi="宋体" w:cs="宋体"/>
          <w:szCs w:val="21"/>
          <w:lang w:bidi="ar"/>
        </w:rPr>
        <w:t>11.3</w:t>
      </w:r>
      <w:r>
        <w:rPr>
          <w:rFonts w:hint="eastAsia" w:ascii="宋体" w:hAnsi="宋体" w:cs="宋体"/>
          <w:szCs w:val="21"/>
          <w:lang w:bidi="ar"/>
        </w:rPr>
        <w:t>款[缺陷调查]</w:t>
      </w:r>
      <w:r>
        <w:rPr>
          <w:rFonts w:ascii="宋体" w:hAnsi="宋体" w:cs="宋体"/>
          <w:szCs w:val="21"/>
          <w:lang w:bidi="ar"/>
        </w:rPr>
        <w:t>下质量缺陷责任的期限</w:t>
      </w:r>
      <w:r>
        <w:rPr>
          <w:rFonts w:hint="eastAsia" w:ascii="宋体" w:hAnsi="宋体" w:cs="宋体"/>
          <w:szCs w:val="21"/>
          <w:lang w:bidi="ar"/>
        </w:rPr>
        <w:t>。</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7</w:t>
      </w:r>
      <w:r>
        <w:rPr>
          <w:rFonts w:hint="eastAsia" w:ascii="宋体" w:hAnsi="宋体" w:cs="宋体"/>
          <w:szCs w:val="21"/>
          <w:lang w:bidi="ar"/>
        </w:rPr>
        <w:t>保修期：是指承包人按照合同约定和法律规定对工程质量承担保修责任的期限，该期限自缺陷责任期起算之日起计算。</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8</w:t>
      </w:r>
      <w:r>
        <w:rPr>
          <w:rFonts w:hint="eastAsia" w:ascii="宋体" w:hAnsi="宋体" w:cs="宋体"/>
          <w:szCs w:val="21"/>
          <w:lang w:bidi="ar"/>
        </w:rPr>
        <w:t>基准日期：招标发包的工程以投标截止日前28天的日期为基准日期，直接发包的工程以合同订立日前28天的日期为基准日期。</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9</w:t>
      </w:r>
      <w:r>
        <w:rPr>
          <w:rFonts w:hint="eastAsia" w:ascii="宋体" w:hAnsi="宋体" w:cs="宋体"/>
          <w:szCs w:val="21"/>
          <w:lang w:bidi="ar"/>
        </w:rPr>
        <w:t>天：除特别指明外，均指日历天。合同中按天计算时间的，开始当天不计入，从次日开始计算。期限最后一天的截止时间为当天24:00。</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10</w:t>
      </w:r>
      <w:r>
        <w:rPr>
          <w:rFonts w:hint="eastAsia" w:ascii="宋体" w:hAnsi="宋体" w:cs="宋体"/>
          <w:szCs w:val="21"/>
          <w:lang w:bidi="ar"/>
        </w:rPr>
        <w:t>竣工试验：是指在工程竣工验收前，根据第9条[竣工试验]要求进行的试验。</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w:t>
      </w:r>
      <w:r>
        <w:rPr>
          <w:rFonts w:ascii="宋体" w:hAnsi="宋体" w:cs="宋体"/>
          <w:szCs w:val="21"/>
          <w:lang w:bidi="ar"/>
        </w:rPr>
        <w:t>1</w:t>
      </w:r>
      <w:r>
        <w:rPr>
          <w:rFonts w:hint="eastAsia" w:ascii="宋体" w:hAnsi="宋体" w:cs="宋体"/>
          <w:szCs w:val="21"/>
          <w:lang w:bidi="ar"/>
        </w:rPr>
        <w:t>竣工验收：是指承包人完成了合同约定的各项内容后，发包人按合同要求进行的验收。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w:t>
      </w:r>
      <w:r>
        <w:rPr>
          <w:rFonts w:ascii="宋体" w:hAnsi="宋体" w:cs="宋体"/>
          <w:szCs w:val="21"/>
          <w:lang w:bidi="ar"/>
        </w:rPr>
        <w:t>2</w:t>
      </w:r>
      <w:r>
        <w:rPr>
          <w:rFonts w:hint="eastAsia" w:ascii="宋体" w:hAnsi="宋体" w:cs="宋体"/>
          <w:szCs w:val="21"/>
          <w:lang w:bidi="ar"/>
        </w:rPr>
        <w:t>竣工后试验：是指在工程竣工验收后，根据第12条[竣工后试验]约定进行的试验。</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1.1.5合同价格和费用</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1.1.5.1签约合同价：是指发包人和承包人在合同协议书中确定的总金额，包括暂估价及暂列金额等。</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1.1.5.2合同价格：是指发包人用于支付承包人按照合同约定完成承包范围内全部工作的金额，包括合同履行过程中按合同约定发生的价格变化。</w:t>
      </w:r>
    </w:p>
    <w:p>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1.1.5.3费用：是指为履行合同所发生的或将要发生的所有合理开支，包括管理费和应分摊的其他费用，但不包括利润。</w:t>
      </w:r>
    </w:p>
    <w:p>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w:t>
      </w:r>
      <w:r>
        <w:rPr>
          <w:rFonts w:ascii="宋体" w:hAnsi="宋体" w:cs="宋体"/>
          <w:szCs w:val="21"/>
          <w:lang w:bidi="ar"/>
        </w:rPr>
        <w:t xml:space="preserve">.1.5.4 </w:t>
      </w:r>
      <w:r>
        <w:rPr>
          <w:rFonts w:hint="eastAsia" w:ascii="宋体" w:hAnsi="宋体" w:cs="宋体"/>
          <w:szCs w:val="21"/>
          <w:lang w:bidi="ar"/>
        </w:rPr>
        <w:t>人工费：是指支付给直接从事建筑安装工程施工作业的建筑工人的各项费用。</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5</w:t>
      </w:r>
      <w:r>
        <w:rPr>
          <w:rFonts w:hint="eastAsia" w:ascii="宋体" w:hAnsi="宋体" w:cs="宋体"/>
          <w:szCs w:val="21"/>
          <w:lang w:bidi="ar"/>
        </w:rPr>
        <w:t>暂估价：</w:t>
      </w:r>
      <w:bookmarkStart w:id="1006" w:name="_Hlk18973781"/>
      <w:r>
        <w:rPr>
          <w:rFonts w:hint="eastAsia" w:ascii="宋体" w:hAnsi="宋体" w:cs="宋体"/>
          <w:szCs w:val="21"/>
          <w:lang w:bidi="ar"/>
        </w:rPr>
        <w:t>是指发包人在项目清单中给定的，用于支付必然发生但暂时不能确定价格的专业服务、材料、设备、专业工程的金额。</w:t>
      </w:r>
      <w:bookmarkEnd w:id="1006"/>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6</w:t>
      </w:r>
      <w:r>
        <w:rPr>
          <w:rFonts w:hint="eastAsia" w:ascii="宋体" w:hAnsi="宋体" w:cs="宋体"/>
          <w:szCs w:val="21"/>
          <w:lang w:bidi="ar"/>
        </w:rPr>
        <w:t>暂列金额：是指发包人在项目清单中给定的，用于在订立协议书时尚未确定或不可预见变更的设计、施工及其所需材料、工程设备、服务等的金额，包括以计日工方式支付的金额。</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7</w:t>
      </w:r>
      <w:r>
        <w:rPr>
          <w:rFonts w:hint="eastAsia" w:ascii="宋体" w:hAnsi="宋体" w:cs="宋体"/>
          <w:szCs w:val="21"/>
          <w:lang w:bidi="ar"/>
        </w:rPr>
        <w:t>计日工：是指合同履行过程中，承包人完成发包人提出的零星工作或需要采用计日工计价的变更工作时，按合同中约定的单价计价的一种方式。</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8</w:t>
      </w:r>
      <w:r>
        <w:rPr>
          <w:rFonts w:hint="eastAsia" w:ascii="宋体" w:hAnsi="宋体" w:cs="宋体"/>
          <w:szCs w:val="21"/>
          <w:lang w:bidi="ar"/>
        </w:rPr>
        <w:t>质量保证金：是指按第14.6款[质量保证金]约定承包人用于保证其在缺陷责任期内履行缺陷修复义务的担保。</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1.1.6其他</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1.1.6.1书面形式：指合同文件、信函、电报、传真、数据电文、电子邮件、会议纪要等可以有形地表现所载内容的形式。</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1.1.6.2承包人文件：指由承包人根据合同约定应提交的所有图纸、手册、模型、计算书、软件、函件、洽商性文件和其他技术性文件。</w:t>
      </w:r>
    </w:p>
    <w:p>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1.1.6.3变更：指根据第13条[变更与调整]的约定，经指示或批准对《发包人要求》或工程所做的改变。</w:t>
      </w:r>
    </w:p>
    <w:p>
      <w:pPr>
        <w:widowControl/>
        <w:wordWrap w:val="0"/>
        <w:topLinePunct/>
        <w:adjustRightInd w:val="0"/>
        <w:snapToGrid w:val="0"/>
        <w:spacing w:after="163" w:afterLines="50" w:line="360" w:lineRule="auto"/>
        <w:outlineLvl w:val="2"/>
        <w:rPr>
          <w:rFonts w:ascii="宋体" w:hAnsi="宋体" w:cs="宋体"/>
        </w:rPr>
      </w:pPr>
      <w:bookmarkStart w:id="1007" w:name="_Ref522730353"/>
      <w:bookmarkEnd w:id="1007"/>
      <w:bookmarkStart w:id="1008" w:name="_Toc20171724"/>
      <w:bookmarkEnd w:id="1008"/>
      <w:bookmarkStart w:id="1009" w:name="_Ref509042101"/>
      <w:bookmarkEnd w:id="1009"/>
      <w:bookmarkStart w:id="1010" w:name="_Ref509042104"/>
      <w:bookmarkEnd w:id="1010"/>
      <w:bookmarkStart w:id="1011" w:name="_Ref522730349"/>
      <w:bookmarkStart w:id="1012" w:name="_Toc58860159"/>
      <w:bookmarkStart w:id="1013" w:name="_Toc1591"/>
      <w:bookmarkStart w:id="1014" w:name="_Toc51766572"/>
      <w:bookmarkStart w:id="1015" w:name="_Toc22618"/>
      <w:bookmarkStart w:id="1016" w:name="_Toc14722"/>
      <w:bookmarkStart w:id="1017" w:name="_Toc22827"/>
      <w:bookmarkStart w:id="1018" w:name="_Toc84930709"/>
      <w:bookmarkStart w:id="1019" w:name="_Toc7677"/>
      <w:bookmarkStart w:id="1020" w:name="_Toc1171"/>
      <w:r>
        <w:rPr>
          <w:rFonts w:hint="eastAsia" w:ascii="宋体" w:hAnsi="宋体" w:cs="宋体"/>
          <w:szCs w:val="21"/>
          <w:lang w:bidi="ar"/>
        </w:rPr>
        <w:t>1</w:t>
      </w:r>
      <w:bookmarkEnd w:id="1011"/>
      <w:r>
        <w:rPr>
          <w:rFonts w:hint="eastAsia" w:ascii="宋体" w:hAnsi="宋体" w:cs="宋体"/>
          <w:szCs w:val="21"/>
          <w:lang w:bidi="ar"/>
        </w:rPr>
        <w:t>.2  语言文字</w:t>
      </w:r>
      <w:bookmarkEnd w:id="1012"/>
      <w:bookmarkEnd w:id="1013"/>
      <w:bookmarkEnd w:id="1014"/>
      <w:bookmarkEnd w:id="1015"/>
      <w:bookmarkEnd w:id="1016"/>
      <w:bookmarkEnd w:id="1017"/>
      <w:bookmarkEnd w:id="1018"/>
      <w:bookmarkEnd w:id="1019"/>
      <w:bookmarkEnd w:id="1020"/>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合同文件以中国的汉语简体语言文字编写、解释和说明。专用术语使用外文的，应附有中文注释。合同当事人在专用合同条件约定使用两种及以上语言时，汉语为优先解释和说明合同的语言。</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与合同有关的联络应使用专用合同条件约定的语言。如没有约定，则应使用中国的汉语简体语言文字。</w:t>
      </w:r>
    </w:p>
    <w:p>
      <w:pPr>
        <w:widowControl/>
        <w:wordWrap w:val="0"/>
        <w:topLinePunct/>
        <w:adjustRightInd w:val="0"/>
        <w:snapToGrid w:val="0"/>
        <w:spacing w:after="163" w:afterLines="50" w:line="360" w:lineRule="auto"/>
        <w:outlineLvl w:val="2"/>
        <w:rPr>
          <w:rFonts w:ascii="宋体" w:hAnsi="宋体" w:cs="宋体"/>
        </w:rPr>
      </w:pPr>
      <w:bookmarkStart w:id="1021" w:name="_Ref531949539"/>
      <w:bookmarkEnd w:id="1021"/>
      <w:bookmarkStart w:id="1022" w:name="_Toc20171725"/>
      <w:bookmarkEnd w:id="1022"/>
      <w:bookmarkStart w:id="1023" w:name="_Ref531949543"/>
      <w:bookmarkStart w:id="1024" w:name="_Toc84930710"/>
      <w:bookmarkStart w:id="1025" w:name="_Toc17933"/>
      <w:bookmarkStart w:id="1026" w:name="_Toc28175"/>
      <w:bookmarkStart w:id="1027" w:name="_Toc8304"/>
      <w:bookmarkStart w:id="1028" w:name="_Toc20312"/>
      <w:bookmarkStart w:id="1029" w:name="_Toc5163"/>
      <w:bookmarkStart w:id="1030" w:name="_Toc51766573"/>
      <w:bookmarkStart w:id="1031" w:name="_Toc21263"/>
      <w:bookmarkStart w:id="1032" w:name="_Toc58860160"/>
      <w:r>
        <w:rPr>
          <w:rFonts w:hint="eastAsia" w:ascii="宋体" w:hAnsi="宋体" w:cs="宋体"/>
          <w:szCs w:val="21"/>
          <w:lang w:bidi="ar"/>
        </w:rPr>
        <w:t>1</w:t>
      </w:r>
      <w:bookmarkEnd w:id="1023"/>
      <w:r>
        <w:rPr>
          <w:rFonts w:hint="eastAsia" w:ascii="宋体" w:hAnsi="宋体" w:cs="宋体"/>
          <w:szCs w:val="21"/>
          <w:lang w:bidi="ar"/>
        </w:rPr>
        <w:t>.3  法律</w:t>
      </w:r>
      <w:bookmarkEnd w:id="1024"/>
      <w:bookmarkEnd w:id="1025"/>
      <w:bookmarkEnd w:id="1026"/>
      <w:bookmarkEnd w:id="1027"/>
      <w:bookmarkEnd w:id="1028"/>
      <w:bookmarkEnd w:id="1029"/>
      <w:bookmarkEnd w:id="1030"/>
      <w:bookmarkEnd w:id="1031"/>
      <w:bookmarkEnd w:id="1032"/>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合同所称法律是指中华人民共和国法律、行政法规、部门规章，以及工程所在地的地方法规、自治条例、单行条例和地方政府规章等。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合同当事人可以在专用合同条件中约定合同适用的其他规范性文件。</w:t>
      </w:r>
    </w:p>
    <w:p>
      <w:pPr>
        <w:widowControl/>
        <w:wordWrap w:val="0"/>
        <w:topLinePunct/>
        <w:adjustRightInd w:val="0"/>
        <w:snapToGrid w:val="0"/>
        <w:spacing w:after="163" w:afterLines="50" w:line="360" w:lineRule="auto"/>
        <w:outlineLvl w:val="2"/>
        <w:rPr>
          <w:rFonts w:ascii="宋体" w:hAnsi="宋体" w:cs="宋体"/>
        </w:rPr>
      </w:pPr>
      <w:bookmarkStart w:id="1033" w:name="_Toc20171726"/>
      <w:bookmarkEnd w:id="1033"/>
      <w:bookmarkStart w:id="1034" w:name="_Ref531949594"/>
      <w:bookmarkEnd w:id="1034"/>
      <w:bookmarkStart w:id="1035" w:name="_Ref531949589"/>
      <w:bookmarkStart w:id="1036" w:name="_Toc17552"/>
      <w:bookmarkStart w:id="1037" w:name="_Toc51766574"/>
      <w:bookmarkStart w:id="1038" w:name="_Toc13459"/>
      <w:bookmarkStart w:id="1039" w:name="_Toc25609"/>
      <w:bookmarkStart w:id="1040" w:name="_Toc58860161"/>
      <w:bookmarkStart w:id="1041" w:name="_Toc17914"/>
      <w:bookmarkStart w:id="1042" w:name="_Toc17765"/>
      <w:bookmarkStart w:id="1043" w:name="_Toc13940"/>
      <w:bookmarkStart w:id="1044" w:name="_Toc84930711"/>
      <w:r>
        <w:rPr>
          <w:rFonts w:hint="eastAsia" w:ascii="宋体" w:hAnsi="宋体" w:cs="宋体"/>
          <w:szCs w:val="21"/>
          <w:lang w:bidi="ar"/>
        </w:rPr>
        <w:t>1</w:t>
      </w:r>
      <w:bookmarkEnd w:id="1035"/>
      <w:r>
        <w:rPr>
          <w:rFonts w:hint="eastAsia" w:ascii="宋体" w:hAnsi="宋体" w:cs="宋体"/>
          <w:szCs w:val="21"/>
          <w:lang w:bidi="ar"/>
        </w:rPr>
        <w:t>.4  标准和规范</w:t>
      </w:r>
      <w:bookmarkEnd w:id="1036"/>
      <w:bookmarkEnd w:id="1037"/>
      <w:bookmarkEnd w:id="1038"/>
      <w:bookmarkEnd w:id="1039"/>
      <w:bookmarkEnd w:id="1040"/>
      <w:bookmarkEnd w:id="1041"/>
      <w:bookmarkEnd w:id="1042"/>
      <w:bookmarkEnd w:id="1043"/>
      <w:bookmarkEnd w:id="1044"/>
    </w:p>
    <w:p>
      <w:pPr>
        <w:widowControl/>
        <w:adjustRightInd w:val="0"/>
        <w:snapToGrid w:val="0"/>
        <w:spacing w:after="163" w:afterLines="50" w:line="360" w:lineRule="auto"/>
        <w:ind w:firstLine="420" w:firstLineChars="200"/>
        <w:outlineLvl w:val="3"/>
        <w:rPr>
          <w:rFonts w:ascii="宋体" w:hAnsi="宋体" w:cs="宋体"/>
        </w:rPr>
      </w:pPr>
      <w:bookmarkStart w:id="1045" w:name="_Ref4420991"/>
      <w:bookmarkEnd w:id="1045"/>
      <w:r>
        <w:rPr>
          <w:rFonts w:hint="eastAsia" w:ascii="宋体" w:hAnsi="宋体" w:cs="宋体"/>
          <w:szCs w:val="21"/>
          <w:lang w:bidi="ar"/>
        </w:rPr>
        <w:t>1.4.1适用于工程的国家标准、行业标准、工程所在地的地方性标准，以及相应的规范、规程等，合同当事人有特别要求的，应在专用合同条件中约定。</w:t>
      </w:r>
    </w:p>
    <w:p>
      <w:pPr>
        <w:widowControl/>
        <w:adjustRightInd w:val="0"/>
        <w:snapToGrid w:val="0"/>
        <w:spacing w:after="163" w:afterLines="50" w:line="360" w:lineRule="auto"/>
        <w:ind w:firstLine="420" w:firstLineChars="200"/>
        <w:outlineLvl w:val="3"/>
        <w:rPr>
          <w:rFonts w:ascii="宋体" w:hAnsi="宋体" w:cs="宋体"/>
        </w:rPr>
      </w:pPr>
      <w:bookmarkStart w:id="1046" w:name="_Ref531949642"/>
      <w:bookmarkEnd w:id="1046"/>
      <w:r>
        <w:rPr>
          <w:rFonts w:hint="eastAsia" w:ascii="宋体" w:hAnsi="宋体" w:cs="宋体"/>
          <w:szCs w:val="21"/>
          <w:lang w:bidi="ar"/>
        </w:rPr>
        <w:t>1.4.2发包人要求使用国外标准、规范的，发包人负责提供原文版本和中文译本，并在专用合同条件中约定提供标准规范的名称、份数和时间。</w:t>
      </w:r>
    </w:p>
    <w:p>
      <w:pPr>
        <w:widowControl/>
        <w:adjustRightInd w:val="0"/>
        <w:snapToGrid w:val="0"/>
        <w:spacing w:after="163" w:afterLines="50" w:line="360" w:lineRule="auto"/>
        <w:ind w:firstLine="420" w:firstLineChars="200"/>
        <w:outlineLvl w:val="3"/>
        <w:rPr>
          <w:rFonts w:ascii="宋体" w:hAnsi="宋体" w:cs="宋体"/>
        </w:rPr>
      </w:pPr>
      <w:bookmarkStart w:id="1047" w:name="_Ref531949657"/>
      <w:bookmarkEnd w:id="1047"/>
      <w:r>
        <w:rPr>
          <w:rFonts w:hint="eastAsia" w:ascii="宋体" w:hAnsi="宋体" w:cs="宋体"/>
          <w:szCs w:val="21"/>
          <w:lang w:bidi="ar"/>
        </w:rPr>
        <w:t>1.4.3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pPr>
        <w:widowControl/>
        <w:adjustRightInd w:val="0"/>
        <w:snapToGrid w:val="0"/>
        <w:spacing w:after="163" w:afterLines="50" w:line="360" w:lineRule="auto"/>
        <w:ind w:firstLine="420" w:firstLineChars="200"/>
        <w:outlineLvl w:val="3"/>
        <w:rPr>
          <w:rFonts w:ascii="宋体" w:hAnsi="宋体" w:cs="宋体"/>
        </w:rPr>
      </w:pPr>
      <w:bookmarkStart w:id="1048" w:name="_Ref4421272"/>
      <w:bookmarkEnd w:id="1048"/>
      <w:r>
        <w:rPr>
          <w:rFonts w:hint="eastAsia" w:ascii="宋体" w:hAnsi="宋体" w:cs="宋体"/>
          <w:szCs w:val="21"/>
          <w:lang w:bidi="ar"/>
        </w:rPr>
        <w:t>1.4.4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pPr>
        <w:widowControl/>
        <w:wordWrap w:val="0"/>
        <w:topLinePunct/>
        <w:adjustRightInd w:val="0"/>
        <w:snapToGrid w:val="0"/>
        <w:spacing w:after="163" w:afterLines="50" w:line="360" w:lineRule="auto"/>
        <w:outlineLvl w:val="2"/>
        <w:rPr>
          <w:rFonts w:ascii="宋体" w:hAnsi="宋体" w:cs="宋体"/>
        </w:rPr>
      </w:pPr>
      <w:bookmarkStart w:id="1049" w:name="_Toc20171727"/>
      <w:bookmarkEnd w:id="1049"/>
      <w:bookmarkStart w:id="1050" w:name="_Ref4421717"/>
      <w:bookmarkStart w:id="1051" w:name="_Toc2513"/>
      <w:bookmarkStart w:id="1052" w:name="_Toc20449"/>
      <w:bookmarkStart w:id="1053" w:name="_Toc28144"/>
      <w:bookmarkStart w:id="1054" w:name="_Toc13096"/>
      <w:bookmarkStart w:id="1055" w:name="_Toc9094"/>
      <w:bookmarkStart w:id="1056" w:name="_Toc58860162"/>
      <w:bookmarkStart w:id="1057" w:name="_Toc28091"/>
      <w:bookmarkStart w:id="1058" w:name="_Toc51766575"/>
      <w:bookmarkStart w:id="1059" w:name="_Toc84930712"/>
      <w:r>
        <w:rPr>
          <w:rFonts w:hint="eastAsia" w:ascii="宋体" w:hAnsi="宋体" w:cs="宋体"/>
          <w:szCs w:val="21"/>
          <w:lang w:bidi="ar"/>
        </w:rPr>
        <w:t>1</w:t>
      </w:r>
      <w:bookmarkEnd w:id="1050"/>
      <w:r>
        <w:rPr>
          <w:rFonts w:hint="eastAsia" w:ascii="宋体" w:hAnsi="宋体" w:cs="宋体"/>
          <w:szCs w:val="21"/>
          <w:lang w:bidi="ar"/>
        </w:rPr>
        <w:t>.5  合同文件的优先顺序</w:t>
      </w:r>
      <w:bookmarkEnd w:id="1051"/>
      <w:bookmarkEnd w:id="1052"/>
      <w:bookmarkEnd w:id="1053"/>
      <w:bookmarkEnd w:id="1054"/>
      <w:bookmarkEnd w:id="1055"/>
      <w:bookmarkEnd w:id="1056"/>
      <w:bookmarkEnd w:id="1057"/>
      <w:bookmarkEnd w:id="1058"/>
      <w:bookmarkEnd w:id="1059"/>
    </w:p>
    <w:p>
      <w:pPr>
        <w:widowControl/>
        <w:adjustRightInd w:val="0"/>
        <w:snapToGrid w:val="0"/>
        <w:spacing w:after="163" w:afterLines="50" w:line="360" w:lineRule="auto"/>
        <w:ind w:firstLine="420" w:firstLineChars="200"/>
        <w:rPr>
          <w:rFonts w:ascii="宋体" w:hAnsi="宋体" w:cs="宋体"/>
          <w:kern w:val="0"/>
        </w:rPr>
      </w:pPr>
      <w:bookmarkStart w:id="1060" w:name="_Ref531948776"/>
      <w:bookmarkEnd w:id="1060"/>
      <w:r>
        <w:rPr>
          <w:rFonts w:hint="eastAsia" w:ascii="宋体" w:hAnsi="宋体" w:cs="宋体"/>
          <w:kern w:val="0"/>
          <w:szCs w:val="21"/>
          <w:lang w:bidi="ar"/>
        </w:rPr>
        <w:t>组成合同的各项文件应互相解释，互为说明。除专用合同条件另有约定外，解释合同文件的优先顺序如下：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（1）合同协议书；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（2）中标通知书（如果有）；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（3）投标函及投标函附录（如果有）；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（4）专用合同条件及《发包人要求》等附件；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（5）通用合同条件；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（6）承包人建议书；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7</w:t>
      </w:r>
      <w:r>
        <w:rPr>
          <w:rFonts w:hint="eastAsia" w:ascii="宋体" w:hAnsi="宋体" w:cs="宋体"/>
          <w:kern w:val="0"/>
          <w:szCs w:val="21"/>
          <w:lang w:bidi="ar"/>
        </w:rPr>
        <w:t>）价格清单；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8</w:t>
      </w:r>
      <w:r>
        <w:rPr>
          <w:rFonts w:hint="eastAsia" w:ascii="宋体" w:hAnsi="宋体" w:cs="宋体"/>
          <w:kern w:val="0"/>
          <w:szCs w:val="21"/>
          <w:lang w:bidi="ar"/>
        </w:rPr>
        <w:t>）双方约定的其他合同文件。</w:t>
      </w:r>
    </w:p>
    <w:p>
      <w:pPr>
        <w:widowControl/>
        <w:adjustRightInd w:val="0"/>
        <w:snapToGrid w:val="0"/>
        <w:spacing w:after="163" w:afterLines="50" w:line="360" w:lineRule="auto"/>
        <w:ind w:firstLine="420" w:firstLineChars="200"/>
        <w:rPr>
          <w:rFonts w:ascii="宋体" w:hAnsi="宋体" w:cs="宋体"/>
          <w:kern w:val="0"/>
        </w:rPr>
      </w:pPr>
      <w:bookmarkStart w:id="1061" w:name="_Hlk18951547"/>
      <w:bookmarkEnd w:id="1061"/>
      <w:r>
        <w:rPr>
          <w:rFonts w:hint="eastAsia" w:ascii="宋体" w:hAnsi="宋体" w:cs="宋体"/>
          <w:kern w:val="0"/>
          <w:szCs w:val="21"/>
          <w:lang w:bidi="ar"/>
        </w:rPr>
        <w:t>上述各项合同文件包括合同当事人就该项合同文件所作出的补充和修改，属于同一类内容的文件，应以最新签署的为准。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在合同订立及履行过程中形成的与合同有关的文件均构成合同文件组成部分，并根据其性质确定优先解释顺序。</w:t>
      </w:r>
    </w:p>
    <w:p>
      <w:pPr>
        <w:widowControl/>
        <w:wordWrap w:val="0"/>
        <w:topLinePunct/>
        <w:adjustRightInd w:val="0"/>
        <w:snapToGrid w:val="0"/>
        <w:spacing w:after="163" w:afterLines="50" w:line="360" w:lineRule="auto"/>
        <w:outlineLvl w:val="2"/>
        <w:rPr>
          <w:rFonts w:ascii="宋体" w:hAnsi="宋体" w:cs="宋体"/>
        </w:rPr>
      </w:pPr>
      <w:bookmarkStart w:id="1062" w:name="_Ref523403409"/>
      <w:bookmarkEnd w:id="1062"/>
      <w:bookmarkStart w:id="1063" w:name="_Toc20171728"/>
      <w:bookmarkEnd w:id="1063"/>
      <w:bookmarkStart w:id="1064" w:name="_Ref4422060"/>
      <w:bookmarkEnd w:id="1064"/>
      <w:bookmarkStart w:id="1065" w:name="_Ref523403776"/>
      <w:bookmarkEnd w:id="1065"/>
      <w:bookmarkStart w:id="1066" w:name="_Ref531949803"/>
      <w:bookmarkEnd w:id="1066"/>
      <w:bookmarkStart w:id="1067" w:name="_Ref531949822"/>
      <w:bookmarkEnd w:id="1067"/>
      <w:bookmarkStart w:id="1068" w:name="_Ref531949807"/>
      <w:bookmarkEnd w:id="1068"/>
      <w:bookmarkStart w:id="1069" w:name="_Ref11917818"/>
      <w:bookmarkStart w:id="1070" w:name="_Toc84930713"/>
      <w:bookmarkStart w:id="1071" w:name="_Toc22681"/>
      <w:bookmarkStart w:id="1072" w:name="_Toc19770"/>
      <w:bookmarkStart w:id="1073" w:name="_Toc58860163"/>
      <w:bookmarkStart w:id="1074" w:name="_Toc51766576"/>
      <w:bookmarkStart w:id="1075" w:name="_Toc5752"/>
      <w:bookmarkStart w:id="1076" w:name="_Toc3242"/>
      <w:bookmarkStart w:id="1077" w:name="_Toc26340"/>
      <w:bookmarkStart w:id="1078" w:name="_Toc22679"/>
      <w:r>
        <w:rPr>
          <w:rFonts w:hint="eastAsia" w:ascii="宋体" w:hAnsi="宋体" w:cs="宋体"/>
          <w:szCs w:val="21"/>
          <w:lang w:bidi="ar"/>
        </w:rPr>
        <w:t>1</w:t>
      </w:r>
      <w:bookmarkEnd w:id="1069"/>
      <w:r>
        <w:rPr>
          <w:rFonts w:hint="eastAsia" w:ascii="宋体" w:hAnsi="宋体" w:cs="宋体"/>
          <w:szCs w:val="21"/>
          <w:lang w:bidi="ar"/>
        </w:rPr>
        <w:t>.6  文件的提供和照管</w:t>
      </w:r>
      <w:bookmarkEnd w:id="1070"/>
      <w:bookmarkEnd w:id="1071"/>
      <w:bookmarkEnd w:id="1072"/>
      <w:bookmarkEnd w:id="1073"/>
      <w:bookmarkEnd w:id="1074"/>
      <w:bookmarkEnd w:id="1075"/>
      <w:bookmarkEnd w:id="1076"/>
      <w:bookmarkEnd w:id="1077"/>
      <w:bookmarkEnd w:id="1078"/>
    </w:p>
    <w:p>
      <w:pPr>
        <w:widowControl/>
        <w:adjustRightInd w:val="0"/>
        <w:snapToGrid w:val="0"/>
        <w:spacing w:after="163" w:afterLines="50" w:line="360" w:lineRule="auto"/>
        <w:ind w:firstLine="420" w:firstLineChars="200"/>
        <w:outlineLvl w:val="3"/>
        <w:rPr>
          <w:rFonts w:ascii="宋体" w:hAnsi="宋体" w:cs="宋体"/>
        </w:rPr>
      </w:pPr>
      <w:bookmarkStart w:id="1079" w:name="_Ref4421991"/>
      <w:bookmarkEnd w:id="1079"/>
      <w:r>
        <w:rPr>
          <w:rFonts w:hint="eastAsia" w:ascii="宋体" w:hAnsi="宋体" w:cs="宋体"/>
          <w:szCs w:val="21"/>
          <w:lang w:bidi="ar"/>
        </w:rPr>
        <w:t>1.6.1发包人文件的提供</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pPr>
        <w:widowControl/>
        <w:adjustRightInd w:val="0"/>
        <w:snapToGrid w:val="0"/>
        <w:spacing w:after="163" w:afterLines="50" w:line="360" w:lineRule="auto"/>
        <w:ind w:firstLine="420" w:firstLineChars="200"/>
        <w:outlineLvl w:val="3"/>
        <w:rPr>
          <w:rFonts w:ascii="宋体" w:hAnsi="宋体" w:cs="宋体"/>
        </w:rPr>
      </w:pPr>
      <w:bookmarkStart w:id="1080" w:name="_Ref4422317"/>
      <w:bookmarkEnd w:id="1080"/>
      <w:r>
        <w:rPr>
          <w:rFonts w:hint="eastAsia" w:ascii="宋体" w:hAnsi="宋体" w:cs="宋体"/>
          <w:szCs w:val="21"/>
          <w:lang w:bidi="ar"/>
        </w:rPr>
        <w:t>1.6.2承包人文件的提供</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除专用合同条件另有约定外，承包人文件应包含下列内容，并用第1.2款[语言文字]约定的语言制作：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（1）《发包人要求》中规定的相关文件；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（2）满足工程相关行政审批手续所必须的应由承包人负责的相关文件；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（3）第5.4款[竣工文件]与第5.5款[操作和维修手册]中要求的相关文件。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1.6.3文件错误的通知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任何一方发现文件中存在明显的错误或疏忽，应及时通知另一方。</w:t>
      </w:r>
    </w:p>
    <w:p>
      <w:pPr>
        <w:widowControl/>
        <w:adjustRightInd w:val="0"/>
        <w:snapToGrid w:val="0"/>
        <w:spacing w:after="163" w:afterLines="50" w:line="360" w:lineRule="auto"/>
        <w:ind w:firstLine="420" w:firstLineChars="200"/>
        <w:outlineLvl w:val="3"/>
        <w:rPr>
          <w:rFonts w:ascii="宋体" w:hAnsi="宋体" w:cs="宋体"/>
        </w:rPr>
      </w:pPr>
      <w:bookmarkStart w:id="1081" w:name="_Ref4678410"/>
      <w:bookmarkEnd w:id="1081"/>
      <w:bookmarkStart w:id="1082" w:name="_Ref11957673"/>
      <w:r>
        <w:rPr>
          <w:rFonts w:hint="eastAsia" w:ascii="宋体" w:hAnsi="宋体" w:cs="宋体"/>
          <w:szCs w:val="21"/>
          <w:lang w:bidi="ar"/>
        </w:rPr>
        <w:t>1</w:t>
      </w:r>
      <w:bookmarkEnd w:id="1082"/>
      <w:r>
        <w:rPr>
          <w:rFonts w:hint="eastAsia" w:ascii="宋体" w:hAnsi="宋体" w:cs="宋体"/>
          <w:szCs w:val="21"/>
          <w:lang w:bidi="ar"/>
        </w:rPr>
        <w:t>.6.4文件的照管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pPr>
        <w:widowControl/>
        <w:wordWrap w:val="0"/>
        <w:topLinePunct/>
        <w:adjustRightInd w:val="0"/>
        <w:snapToGrid w:val="0"/>
        <w:spacing w:after="163" w:afterLines="50" w:line="360" w:lineRule="auto"/>
        <w:outlineLvl w:val="2"/>
        <w:rPr>
          <w:rFonts w:ascii="宋体" w:hAnsi="宋体" w:cs="宋体"/>
        </w:rPr>
      </w:pPr>
      <w:bookmarkStart w:id="1083" w:name="_Ref4415170"/>
      <w:bookmarkEnd w:id="1083"/>
      <w:bookmarkStart w:id="1084" w:name="_Toc20171729"/>
      <w:bookmarkStart w:id="1085" w:name="_Toc58860164"/>
      <w:bookmarkStart w:id="1086" w:name="_Toc25742"/>
      <w:bookmarkStart w:id="1087" w:name="_Toc51766577"/>
      <w:bookmarkStart w:id="1088" w:name="_Toc9153"/>
      <w:bookmarkStart w:id="1089" w:name="_Toc12557"/>
      <w:bookmarkStart w:id="1090" w:name="_Toc11695"/>
      <w:bookmarkStart w:id="1091" w:name="_Toc84930714"/>
      <w:bookmarkStart w:id="1092" w:name="_Toc29624"/>
      <w:bookmarkStart w:id="1093" w:name="_Toc13577"/>
      <w:r>
        <w:rPr>
          <w:rFonts w:hint="eastAsia" w:ascii="宋体" w:hAnsi="宋体" w:cs="宋体"/>
          <w:szCs w:val="21"/>
          <w:lang w:bidi="ar"/>
        </w:rPr>
        <w:t>1</w:t>
      </w:r>
      <w:bookmarkEnd w:id="1084"/>
      <w:r>
        <w:rPr>
          <w:rFonts w:hint="eastAsia" w:ascii="宋体" w:hAnsi="宋体" w:cs="宋体"/>
          <w:szCs w:val="21"/>
          <w:lang w:bidi="ar"/>
        </w:rPr>
        <w:t>.7  联络</w:t>
      </w:r>
      <w:bookmarkEnd w:id="1085"/>
      <w:bookmarkEnd w:id="1086"/>
      <w:bookmarkEnd w:id="1087"/>
      <w:bookmarkEnd w:id="1088"/>
      <w:bookmarkEnd w:id="1089"/>
      <w:bookmarkEnd w:id="1090"/>
      <w:bookmarkEnd w:id="1091"/>
      <w:bookmarkEnd w:id="1092"/>
      <w:bookmarkEnd w:id="1093"/>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1.7.1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pPr>
        <w:widowControl/>
        <w:adjustRightInd w:val="0"/>
        <w:snapToGrid w:val="0"/>
        <w:spacing w:after="163" w:afterLines="50" w:line="360" w:lineRule="auto"/>
        <w:ind w:firstLine="420" w:firstLineChars="200"/>
        <w:outlineLvl w:val="3"/>
        <w:rPr>
          <w:rFonts w:ascii="宋体" w:hAnsi="宋体" w:cs="宋体"/>
        </w:rPr>
      </w:pPr>
      <w:bookmarkStart w:id="1094" w:name="_Ref531949897"/>
      <w:bookmarkEnd w:id="1094"/>
      <w:r>
        <w:rPr>
          <w:rFonts w:hint="eastAsia" w:ascii="宋体" w:hAnsi="宋体" w:cs="宋体"/>
          <w:szCs w:val="21"/>
          <w:lang w:bidi="ar"/>
        </w:rPr>
        <w:t>1.7.2发包人和承包人应在专用合同条件中约定各自的送达方式和收件地址。任何一方合同当事人指定的送达方式或收件地址发生变动的，应提前3天以书面形式通知对方。</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1.7.3发包人和承包人应当及时签收另一方通过约定的送达方式送达至收件地址的来往文件。拒不签收的，由此增加的费用和（或）延误的工期由拒绝接收一方承担。</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1.7.4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pPr>
        <w:widowControl/>
        <w:wordWrap w:val="0"/>
        <w:topLinePunct/>
        <w:adjustRightInd w:val="0"/>
        <w:snapToGrid w:val="0"/>
        <w:spacing w:after="163" w:afterLines="50" w:line="360" w:lineRule="auto"/>
        <w:outlineLvl w:val="2"/>
        <w:rPr>
          <w:rFonts w:ascii="宋体" w:hAnsi="宋体" w:cs="宋体"/>
        </w:rPr>
      </w:pPr>
      <w:bookmarkStart w:id="1095" w:name="_Toc20171730"/>
      <w:bookmarkEnd w:id="1095"/>
      <w:bookmarkStart w:id="1096" w:name="_Toc25797"/>
      <w:bookmarkStart w:id="1097" w:name="_Toc12915"/>
      <w:bookmarkStart w:id="1098" w:name="_Toc24948"/>
      <w:bookmarkStart w:id="1099" w:name="_Toc29784"/>
      <w:bookmarkStart w:id="1100" w:name="_Toc20465"/>
      <w:bookmarkStart w:id="1101" w:name="_Toc84930715"/>
      <w:bookmarkStart w:id="1102" w:name="_Toc51766578"/>
      <w:bookmarkStart w:id="1103" w:name="_Toc58860165"/>
      <w:bookmarkStart w:id="1104" w:name="_Toc29127"/>
      <w:r>
        <w:rPr>
          <w:rFonts w:hint="eastAsia" w:ascii="宋体" w:hAnsi="宋体" w:cs="宋体"/>
          <w:szCs w:val="21"/>
          <w:lang w:bidi="ar"/>
        </w:rPr>
        <w:t>1.8  严禁贿赂</w:t>
      </w:r>
      <w:bookmarkEnd w:id="1096"/>
      <w:bookmarkEnd w:id="1097"/>
      <w:bookmarkEnd w:id="1098"/>
      <w:bookmarkEnd w:id="1099"/>
      <w:bookmarkEnd w:id="1100"/>
      <w:bookmarkEnd w:id="1101"/>
      <w:bookmarkEnd w:id="1102"/>
      <w:bookmarkEnd w:id="1103"/>
      <w:bookmarkEnd w:id="110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合同当事人不得以贿赂或变相贿赂的方式，谋取非法利益或损害对方权益。因一方合同当事人的贿赂造成对方损失的，应赔偿损失，并承担相应的法律责任。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承包人不得与工程师或发包人聘请的第三方串通损害发包人利益。未经发包人书面同意，承包人不得为工程师提供合同约定以外的通讯设备、交通工具及其他任何形式的利益，不得向工程师支付报酬。</w:t>
      </w:r>
    </w:p>
    <w:p>
      <w:pPr>
        <w:widowControl/>
        <w:wordWrap w:val="0"/>
        <w:topLinePunct/>
        <w:adjustRightInd w:val="0"/>
        <w:snapToGrid w:val="0"/>
        <w:spacing w:after="163" w:afterLines="50" w:line="360" w:lineRule="auto"/>
        <w:outlineLvl w:val="2"/>
        <w:rPr>
          <w:rFonts w:ascii="宋体" w:hAnsi="宋体" w:cs="宋体"/>
        </w:rPr>
      </w:pPr>
      <w:bookmarkStart w:id="1105" w:name="_Toc20171731"/>
      <w:bookmarkEnd w:id="1105"/>
      <w:bookmarkStart w:id="1106" w:name="_Toc28524"/>
      <w:bookmarkStart w:id="1107" w:name="_Toc11562"/>
      <w:bookmarkStart w:id="1108" w:name="_Toc51766579"/>
      <w:bookmarkStart w:id="1109" w:name="_Toc84930716"/>
      <w:bookmarkStart w:id="1110" w:name="_Toc11840"/>
      <w:bookmarkStart w:id="1111" w:name="_Toc12802"/>
      <w:bookmarkStart w:id="1112" w:name="_Toc58860166"/>
      <w:bookmarkStart w:id="1113" w:name="_Toc6121"/>
      <w:bookmarkStart w:id="1114" w:name="_Toc7748"/>
      <w:r>
        <w:rPr>
          <w:rFonts w:hint="eastAsia" w:ascii="宋体" w:hAnsi="宋体" w:cs="宋体"/>
          <w:szCs w:val="21"/>
          <w:lang w:bidi="ar"/>
        </w:rPr>
        <w:t>1.9  化石、文物</w:t>
      </w:r>
      <w:bookmarkEnd w:id="1106"/>
      <w:bookmarkEnd w:id="1107"/>
      <w:bookmarkEnd w:id="1108"/>
      <w:bookmarkEnd w:id="1109"/>
      <w:bookmarkEnd w:id="1110"/>
      <w:bookmarkEnd w:id="1111"/>
      <w:bookmarkEnd w:id="1112"/>
      <w:bookmarkEnd w:id="1113"/>
      <w:bookmarkEnd w:id="111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发包人、工程师和承包人应按有关政府行政管理部门要求采取妥善的保护措施，由此增加的费用和（或）延误的工期由发包人承担。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承包人发现文物后不及时报告或隐瞒不报，致使文物丢失或损坏的，应赔偿损失，并承担相应的法律责任。</w:t>
      </w:r>
    </w:p>
    <w:p>
      <w:pPr>
        <w:widowControl/>
        <w:wordWrap w:val="0"/>
        <w:topLinePunct/>
        <w:adjustRightInd w:val="0"/>
        <w:snapToGrid w:val="0"/>
        <w:spacing w:after="163" w:afterLines="50" w:line="360" w:lineRule="auto"/>
        <w:outlineLvl w:val="2"/>
        <w:rPr>
          <w:rFonts w:ascii="宋体" w:hAnsi="宋体" w:cs="宋体"/>
        </w:rPr>
      </w:pPr>
      <w:bookmarkStart w:id="1115" w:name="_Ref531949766"/>
      <w:bookmarkEnd w:id="1115"/>
      <w:bookmarkStart w:id="1116" w:name="_Ref531949770"/>
      <w:bookmarkEnd w:id="1116"/>
      <w:bookmarkStart w:id="1117" w:name="_Toc20171732"/>
      <w:bookmarkEnd w:id="1117"/>
      <w:bookmarkStart w:id="1118" w:name="_Ref531949826"/>
      <w:bookmarkEnd w:id="1118"/>
      <w:bookmarkStart w:id="1119" w:name="_Ref4423426"/>
      <w:bookmarkEnd w:id="1119"/>
      <w:bookmarkStart w:id="1120" w:name="_Ref531949855"/>
      <w:bookmarkEnd w:id="1120"/>
      <w:bookmarkStart w:id="1121" w:name="_Ref531949841"/>
      <w:bookmarkStart w:id="1122" w:name="_Toc22949"/>
      <w:bookmarkStart w:id="1123" w:name="_Toc84930717"/>
      <w:bookmarkStart w:id="1124" w:name="_Toc23840"/>
      <w:bookmarkStart w:id="1125" w:name="_Toc58860167"/>
      <w:bookmarkStart w:id="1126" w:name="_Toc31658"/>
      <w:bookmarkStart w:id="1127" w:name="_Toc51766580"/>
      <w:bookmarkStart w:id="1128" w:name="_Toc8893"/>
      <w:bookmarkStart w:id="1129" w:name="_Toc23236"/>
      <w:bookmarkStart w:id="1130" w:name="_Toc21125"/>
      <w:r>
        <w:rPr>
          <w:rFonts w:hint="eastAsia" w:ascii="宋体" w:hAnsi="宋体" w:cs="宋体"/>
          <w:szCs w:val="21"/>
          <w:lang w:bidi="ar"/>
        </w:rPr>
        <w:t>1</w:t>
      </w:r>
      <w:bookmarkEnd w:id="1121"/>
      <w:r>
        <w:rPr>
          <w:rFonts w:hint="eastAsia" w:ascii="宋体" w:hAnsi="宋体" w:cs="宋体"/>
          <w:szCs w:val="21"/>
          <w:lang w:bidi="ar"/>
        </w:rPr>
        <w:t>.10  知识产权</w:t>
      </w:r>
      <w:bookmarkEnd w:id="1122"/>
      <w:bookmarkEnd w:id="1123"/>
      <w:bookmarkEnd w:id="1124"/>
      <w:bookmarkEnd w:id="1125"/>
      <w:bookmarkEnd w:id="1126"/>
      <w:bookmarkEnd w:id="1127"/>
      <w:bookmarkEnd w:id="1128"/>
      <w:bookmarkEnd w:id="1129"/>
      <w:bookmarkEnd w:id="1130"/>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outlineLvl w:val="3"/>
        <w:rPr>
          <w:rFonts w:ascii="宋体" w:hAnsi="宋体" w:cs="宋体"/>
        </w:rPr>
      </w:pPr>
      <w:bookmarkStart w:id="1131" w:name="_Ref4423563"/>
      <w:bookmarkEnd w:id="1131"/>
      <w:r>
        <w:rPr>
          <w:rFonts w:hint="eastAsia" w:ascii="宋体" w:hAnsi="宋体" w:cs="宋体"/>
          <w:szCs w:val="21"/>
          <w:lang w:bidi="ar"/>
        </w:rPr>
        <w:t>1.10.1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pPr>
        <w:widowControl/>
        <w:adjustRightInd w:val="0"/>
        <w:snapToGrid w:val="0"/>
        <w:spacing w:after="163" w:afterLines="50" w:line="360" w:lineRule="auto"/>
        <w:ind w:firstLine="420" w:firstLineChars="200"/>
        <w:outlineLvl w:val="3"/>
        <w:rPr>
          <w:rFonts w:ascii="宋体" w:hAnsi="宋体" w:cs="宋体"/>
        </w:rPr>
      </w:pPr>
      <w:bookmarkStart w:id="1132" w:name="_Ref4423604"/>
      <w:bookmarkEnd w:id="1132"/>
      <w:r>
        <w:rPr>
          <w:rFonts w:hint="eastAsia" w:ascii="宋体" w:hAnsi="宋体" w:cs="宋体"/>
          <w:szCs w:val="21"/>
          <w:lang w:bidi="ar"/>
        </w:rPr>
        <w:t>1.10.2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1.10.3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pPr>
        <w:widowControl/>
        <w:adjustRightInd w:val="0"/>
        <w:snapToGrid w:val="0"/>
        <w:spacing w:after="163" w:afterLines="50" w:line="360" w:lineRule="auto"/>
        <w:ind w:firstLine="420" w:firstLineChars="200"/>
        <w:outlineLvl w:val="3"/>
        <w:rPr>
          <w:rFonts w:ascii="宋体" w:hAnsi="宋体" w:cs="宋体"/>
        </w:rPr>
      </w:pPr>
      <w:bookmarkStart w:id="1133" w:name="_Ref4423695"/>
      <w:bookmarkEnd w:id="1133"/>
      <w:r>
        <w:rPr>
          <w:rFonts w:hint="eastAsia" w:ascii="宋体" w:hAnsi="宋体" w:cs="宋体"/>
          <w:szCs w:val="21"/>
          <w:lang w:bidi="ar"/>
        </w:rPr>
        <w:t>1.10.4除专用合同条件另有约定外，承包人在投标文件中采用的专利、专有技术、商业软件、技术秘密的使用费已包含在签约合同价中。</w:t>
      </w:r>
    </w:p>
    <w:p>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1.10.5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pPr>
        <w:widowControl/>
        <w:wordWrap w:val="0"/>
        <w:topLinePunct/>
        <w:adjustRightInd w:val="0"/>
        <w:snapToGrid w:val="0"/>
        <w:spacing w:after="163" w:afterLines="50" w:line="360" w:lineRule="auto"/>
        <w:outlineLvl w:val="2"/>
        <w:rPr>
          <w:rFonts w:ascii="宋体" w:hAnsi="宋体" w:cs="宋体"/>
        </w:rPr>
      </w:pPr>
      <w:bookmarkStart w:id="1134" w:name="_Ref4423873"/>
      <w:bookmarkEnd w:id="1134"/>
      <w:bookmarkStart w:id="1135" w:name="_Ref4423898"/>
      <w:bookmarkEnd w:id="1135"/>
      <w:bookmarkStart w:id="1136" w:name="_Toc20171733"/>
      <w:bookmarkStart w:id="1137" w:name="_Toc58860168"/>
      <w:bookmarkStart w:id="1138" w:name="_Toc13316"/>
      <w:bookmarkStart w:id="1139" w:name="_Toc24212"/>
      <w:bookmarkStart w:id="1140" w:name="_Toc20020"/>
      <w:bookmarkStart w:id="1141" w:name="_Toc84930718"/>
      <w:bookmarkStart w:id="1142" w:name="_Toc6051"/>
      <w:bookmarkStart w:id="1143" w:name="_Toc51766581"/>
      <w:bookmarkStart w:id="1144" w:name="_Toc6157"/>
      <w:bookmarkStart w:id="1145" w:name="_Toc28640"/>
      <w:r>
        <w:rPr>
          <w:rFonts w:hint="eastAsia" w:ascii="宋体" w:hAnsi="宋体" w:cs="宋体"/>
          <w:szCs w:val="21"/>
          <w:lang w:bidi="ar"/>
        </w:rPr>
        <w:t xml:space="preserve">1.11  </w:t>
      </w:r>
      <w:bookmarkEnd w:id="1136"/>
      <w:r>
        <w:rPr>
          <w:rFonts w:hint="eastAsia" w:ascii="宋体" w:hAnsi="宋体" w:cs="宋体"/>
          <w:szCs w:val="21"/>
          <w:lang w:bidi="ar"/>
        </w:rPr>
        <w:t>保密</w:t>
      </w:r>
      <w:bookmarkEnd w:id="1137"/>
      <w:bookmarkEnd w:id="1138"/>
      <w:bookmarkEnd w:id="1139"/>
      <w:bookmarkEnd w:id="1140"/>
      <w:bookmarkEnd w:id="1141"/>
      <w:bookmarkEnd w:id="1142"/>
      <w:bookmarkEnd w:id="1143"/>
      <w:bookmarkEnd w:id="1144"/>
      <w:bookmarkEnd w:id="114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合同当事人一方对在订立和履行合同过程中知悉的另一方的商业秘密、技术秘密，以及任何一方明确要求保密的其它信息，负有保密责任。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除法律规定或合同另有约定外，未经对方同意，任何一方当事人不得将对方提供的文件、技术秘密以及声明需要保密的资料信息等商业秘密泄露给第三方或者用于本合同以外的目的。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pPr>
        <w:widowControl/>
        <w:wordWrap w:val="0"/>
        <w:topLinePunct/>
        <w:adjustRightInd w:val="0"/>
        <w:snapToGrid w:val="0"/>
        <w:spacing w:after="163" w:afterLines="50" w:line="360" w:lineRule="auto"/>
        <w:outlineLvl w:val="2"/>
        <w:rPr>
          <w:rFonts w:ascii="宋体" w:hAnsi="宋体" w:cs="宋体"/>
        </w:rPr>
      </w:pPr>
      <w:bookmarkStart w:id="1146" w:name="_Ref532336812"/>
      <w:bookmarkEnd w:id="1146"/>
      <w:bookmarkStart w:id="1147" w:name="_Toc20171734"/>
      <w:bookmarkStart w:id="1148" w:name="_Toc2004"/>
      <w:bookmarkStart w:id="1149" w:name="_Toc6018"/>
      <w:bookmarkStart w:id="1150" w:name="_Toc84930719"/>
      <w:bookmarkStart w:id="1151" w:name="_Toc31924"/>
      <w:bookmarkStart w:id="1152" w:name="_Toc51766582"/>
      <w:bookmarkStart w:id="1153" w:name="_Toc24694"/>
      <w:bookmarkStart w:id="1154" w:name="_Toc58860169"/>
      <w:bookmarkStart w:id="1155" w:name="_Toc24369"/>
      <w:bookmarkStart w:id="1156" w:name="_Toc25330"/>
      <w:r>
        <w:rPr>
          <w:rFonts w:hint="eastAsia" w:ascii="宋体" w:hAnsi="宋体" w:cs="宋体"/>
          <w:szCs w:val="21"/>
          <w:lang w:bidi="ar"/>
        </w:rPr>
        <w:t>1</w:t>
      </w:r>
      <w:bookmarkEnd w:id="1147"/>
      <w:r>
        <w:rPr>
          <w:rFonts w:hint="eastAsia" w:ascii="宋体" w:hAnsi="宋体" w:cs="宋体"/>
          <w:szCs w:val="21"/>
          <w:lang w:bidi="ar"/>
        </w:rPr>
        <w:t>.12  《发包人要求》和基础资料中的错误</w:t>
      </w:r>
      <w:bookmarkEnd w:id="1148"/>
      <w:bookmarkEnd w:id="1149"/>
      <w:bookmarkEnd w:id="1150"/>
      <w:bookmarkEnd w:id="1151"/>
      <w:bookmarkEnd w:id="1152"/>
      <w:bookmarkEnd w:id="1153"/>
      <w:bookmarkEnd w:id="1154"/>
      <w:bookmarkEnd w:id="1155"/>
      <w:bookmarkEnd w:id="1156"/>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承包人应尽早认真阅读、复核《发包人要求》以及其提供的基础资料，发现错误的，应及时书面通知发包人补正。发包人作相应修改的，按照第13条[变更与调整]的约定处理。</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《发包人要求》或其提供的基础资料中的错误导致承包人增加费用和（或）工期延误的，发包人应承担由此增加的费用和（或）工期延误，并向承包人支付合理利润。</w:t>
      </w:r>
    </w:p>
    <w:p>
      <w:pPr>
        <w:widowControl/>
        <w:wordWrap w:val="0"/>
        <w:topLinePunct/>
        <w:adjustRightInd w:val="0"/>
        <w:snapToGrid w:val="0"/>
        <w:spacing w:after="163" w:afterLines="50" w:line="360" w:lineRule="auto"/>
        <w:outlineLvl w:val="2"/>
        <w:rPr>
          <w:rFonts w:ascii="宋体" w:hAnsi="宋体" w:cs="宋体"/>
        </w:rPr>
      </w:pPr>
      <w:bookmarkStart w:id="1157" w:name="_Toc20171735"/>
      <w:bookmarkEnd w:id="1157"/>
      <w:bookmarkStart w:id="1158" w:name="_Ref531949937"/>
      <w:bookmarkEnd w:id="1158"/>
      <w:bookmarkStart w:id="1159" w:name="_Ref531949933"/>
      <w:bookmarkStart w:id="1160" w:name="_Toc23034"/>
      <w:bookmarkStart w:id="1161" w:name="_Toc6982"/>
      <w:bookmarkStart w:id="1162" w:name="_Toc58860170"/>
      <w:bookmarkStart w:id="1163" w:name="_Toc84930720"/>
      <w:bookmarkStart w:id="1164" w:name="_Toc51766583"/>
      <w:bookmarkStart w:id="1165" w:name="_Toc4532"/>
      <w:bookmarkStart w:id="1166" w:name="_Toc20192"/>
      <w:bookmarkStart w:id="1167" w:name="_Toc12107"/>
      <w:bookmarkStart w:id="1168" w:name="_Toc8678"/>
      <w:r>
        <w:rPr>
          <w:rFonts w:hint="eastAsia" w:ascii="宋体" w:hAnsi="宋体" w:cs="宋体"/>
          <w:szCs w:val="21"/>
          <w:lang w:bidi="ar"/>
        </w:rPr>
        <w:t>1</w:t>
      </w:r>
      <w:bookmarkEnd w:id="1159"/>
      <w:r>
        <w:rPr>
          <w:rFonts w:hint="eastAsia" w:ascii="宋体" w:hAnsi="宋体" w:cs="宋体"/>
          <w:szCs w:val="21"/>
          <w:lang w:bidi="ar"/>
        </w:rPr>
        <w:t>.13  责任限制</w:t>
      </w:r>
      <w:bookmarkEnd w:id="1160"/>
      <w:bookmarkEnd w:id="1161"/>
      <w:bookmarkEnd w:id="1162"/>
      <w:bookmarkEnd w:id="1163"/>
      <w:bookmarkEnd w:id="1164"/>
      <w:bookmarkEnd w:id="1165"/>
      <w:bookmarkEnd w:id="1166"/>
      <w:bookmarkEnd w:id="1167"/>
      <w:bookmarkEnd w:id="116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pPr>
        <w:widowControl/>
        <w:wordWrap w:val="0"/>
        <w:topLinePunct/>
        <w:adjustRightInd w:val="0"/>
        <w:snapToGrid w:val="0"/>
        <w:spacing w:after="163" w:afterLines="50" w:line="360" w:lineRule="auto"/>
        <w:outlineLvl w:val="2"/>
        <w:rPr>
          <w:rFonts w:ascii="宋体" w:hAnsi="宋体" w:cs="宋体"/>
        </w:rPr>
      </w:pPr>
      <w:bookmarkStart w:id="1169" w:name="_Toc84930721"/>
      <w:bookmarkStart w:id="1170" w:name="_Toc19848"/>
      <w:bookmarkStart w:id="1171" w:name="_Toc25550"/>
      <w:bookmarkStart w:id="1172" w:name="_Toc51766584"/>
      <w:bookmarkStart w:id="1173" w:name="_Toc32272"/>
      <w:bookmarkStart w:id="1174" w:name="_Toc8652"/>
      <w:bookmarkStart w:id="1175" w:name="_Toc10912"/>
      <w:bookmarkStart w:id="1176" w:name="_Toc58860171"/>
      <w:bookmarkStart w:id="1177" w:name="_Toc20989"/>
      <w:r>
        <w:rPr>
          <w:rFonts w:hint="eastAsia" w:ascii="宋体" w:hAnsi="宋体" w:cs="宋体"/>
          <w:szCs w:val="21"/>
          <w:lang w:bidi="ar"/>
        </w:rPr>
        <w:t>1.14  建筑信息模型技术的应用</w:t>
      </w:r>
      <w:bookmarkEnd w:id="1169"/>
      <w:bookmarkEnd w:id="1170"/>
      <w:bookmarkEnd w:id="1171"/>
      <w:bookmarkEnd w:id="1172"/>
      <w:bookmarkEnd w:id="1173"/>
      <w:bookmarkEnd w:id="1174"/>
      <w:bookmarkEnd w:id="1175"/>
      <w:bookmarkEnd w:id="1176"/>
      <w:bookmarkEnd w:id="1177"/>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pPr>
        <w:widowControl/>
        <w:adjustRightInd w:val="0"/>
        <w:snapToGrid w:val="0"/>
        <w:spacing w:after="163" w:afterLines="50" w:line="360" w:lineRule="auto"/>
        <w:outlineLvl w:val="1"/>
        <w:rPr>
          <w:rFonts w:ascii="宋体" w:hAnsi="宋体" w:cs="宋体"/>
          <w:kern w:val="0"/>
        </w:rPr>
      </w:pPr>
      <w:bookmarkStart w:id="1178" w:name="_Toc20171736"/>
      <w:bookmarkEnd w:id="1178"/>
      <w:bookmarkStart w:id="1179" w:name="_Ref4796511"/>
      <w:bookmarkStart w:id="1180" w:name="_Toc16144"/>
      <w:bookmarkStart w:id="1181" w:name="_Toc27071"/>
      <w:bookmarkStart w:id="1182" w:name="_Toc26372"/>
      <w:bookmarkStart w:id="1183" w:name="_Toc26779"/>
      <w:r>
        <w:rPr>
          <w:rFonts w:hint="eastAsia" w:ascii="宋体" w:hAnsi="宋体" w:cs="宋体"/>
          <w:kern w:val="0"/>
          <w:szCs w:val="21"/>
          <w:lang w:bidi="ar"/>
        </w:rPr>
        <w:t xml:space="preserve">第2条 </w:t>
      </w:r>
      <w:bookmarkEnd w:id="1179"/>
      <w:r>
        <w:rPr>
          <w:rFonts w:hint="eastAsia" w:ascii="宋体" w:hAnsi="宋体" w:cs="宋体"/>
          <w:kern w:val="0"/>
          <w:szCs w:val="21"/>
          <w:lang w:bidi="ar"/>
        </w:rPr>
        <w:t xml:space="preserve"> 发包人</w:t>
      </w:r>
      <w:bookmarkEnd w:id="1180"/>
      <w:bookmarkEnd w:id="1181"/>
      <w:bookmarkEnd w:id="1182"/>
      <w:bookmarkEnd w:id="1183"/>
      <w:bookmarkStart w:id="1184" w:name="_Toc20171737"/>
      <w:bookmarkEnd w:id="1184"/>
    </w:p>
    <w:p>
      <w:pPr>
        <w:widowControl/>
        <w:wordWrap w:val="0"/>
        <w:topLinePunct/>
        <w:adjustRightInd w:val="0"/>
        <w:snapToGrid w:val="0"/>
        <w:spacing w:after="163" w:afterLines="50" w:line="360" w:lineRule="auto"/>
        <w:outlineLvl w:val="1"/>
        <w:rPr>
          <w:rFonts w:ascii="宋体" w:hAnsi="宋体" w:cs="宋体"/>
          <w:kern w:val="0"/>
        </w:rPr>
      </w:pPr>
      <w:bookmarkStart w:id="1185" w:name="_Toc10340"/>
      <w:bookmarkStart w:id="1186" w:name="_Toc51766586"/>
      <w:bookmarkStart w:id="1187" w:name="_Toc3999"/>
      <w:bookmarkStart w:id="1188" w:name="_Toc19402"/>
      <w:bookmarkStart w:id="1189" w:name="_Toc84930723"/>
      <w:bookmarkStart w:id="1190" w:name="_Toc32045"/>
      <w:bookmarkStart w:id="1191" w:name="_Toc25738"/>
      <w:bookmarkStart w:id="1192" w:name="_Toc3169"/>
      <w:bookmarkStart w:id="1193" w:name="_Toc58860173"/>
      <w:r>
        <w:rPr>
          <w:rFonts w:hint="eastAsia" w:ascii="宋体" w:hAnsi="宋体" w:cs="宋体"/>
          <w:kern w:val="0"/>
          <w:szCs w:val="21"/>
          <w:lang w:bidi="ar"/>
        </w:rPr>
        <w:t>2.1  遵守法律</w:t>
      </w:r>
      <w:bookmarkEnd w:id="1185"/>
      <w:bookmarkEnd w:id="1186"/>
      <w:bookmarkEnd w:id="1187"/>
      <w:bookmarkEnd w:id="1188"/>
      <w:bookmarkEnd w:id="1189"/>
      <w:bookmarkEnd w:id="1190"/>
      <w:bookmarkEnd w:id="1191"/>
      <w:bookmarkEnd w:id="1192"/>
      <w:bookmarkEnd w:id="119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pPr>
        <w:widowControl/>
        <w:wordWrap w:val="0"/>
        <w:topLinePunct/>
        <w:adjustRightInd w:val="0"/>
        <w:snapToGrid w:val="0"/>
        <w:spacing w:after="163" w:afterLines="50" w:line="360" w:lineRule="auto"/>
        <w:outlineLvl w:val="1"/>
        <w:rPr>
          <w:rFonts w:ascii="宋体" w:hAnsi="宋体" w:cs="宋体"/>
          <w:kern w:val="0"/>
        </w:rPr>
      </w:pPr>
      <w:bookmarkStart w:id="1194" w:name="_Toc20171738"/>
      <w:bookmarkEnd w:id="1194"/>
      <w:bookmarkStart w:id="1195" w:name="_Ref11917977"/>
      <w:bookmarkEnd w:id="1195"/>
      <w:bookmarkStart w:id="1196" w:name="_Ref11917995"/>
      <w:bookmarkStart w:id="1197" w:name="_Toc8155"/>
      <w:bookmarkStart w:id="1198" w:name="_Toc26344"/>
      <w:bookmarkStart w:id="1199" w:name="_Toc22419"/>
      <w:bookmarkStart w:id="1200" w:name="_Toc16167"/>
      <w:bookmarkStart w:id="1201" w:name="_Toc29578"/>
      <w:bookmarkStart w:id="1202" w:name="_Toc51766587"/>
      <w:bookmarkStart w:id="1203" w:name="_Toc84930724"/>
      <w:bookmarkStart w:id="1204" w:name="_Toc23125"/>
      <w:bookmarkStart w:id="1205" w:name="_Toc58860174"/>
      <w:r>
        <w:rPr>
          <w:rFonts w:hint="eastAsia" w:ascii="宋体" w:hAnsi="宋体" w:cs="宋体"/>
          <w:kern w:val="0"/>
          <w:szCs w:val="21"/>
          <w:lang w:bidi="ar"/>
        </w:rPr>
        <w:t>2</w:t>
      </w:r>
      <w:bookmarkEnd w:id="1196"/>
      <w:r>
        <w:rPr>
          <w:rFonts w:hint="eastAsia" w:ascii="宋体" w:hAnsi="宋体" w:cs="宋体"/>
          <w:kern w:val="0"/>
          <w:szCs w:val="21"/>
          <w:lang w:bidi="ar"/>
        </w:rPr>
        <w:t>.2  提供施工现场和工作条件</w:t>
      </w:r>
      <w:bookmarkEnd w:id="1197"/>
      <w:bookmarkEnd w:id="1198"/>
      <w:bookmarkEnd w:id="1199"/>
      <w:bookmarkEnd w:id="1200"/>
      <w:bookmarkEnd w:id="1201"/>
      <w:bookmarkEnd w:id="1202"/>
      <w:bookmarkEnd w:id="1203"/>
      <w:bookmarkEnd w:id="1204"/>
      <w:bookmarkEnd w:id="1205"/>
    </w:p>
    <w:p>
      <w:pPr>
        <w:widowControl/>
        <w:numPr>
          <w:ilvl w:val="0"/>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1206" w:name="_Ref531950085"/>
      <w:bookmarkEnd w:id="1206"/>
      <w:bookmarkStart w:id="1207" w:name="_Toc11090"/>
      <w:bookmarkEnd w:id="1207"/>
      <w:bookmarkStart w:id="1208" w:name="_Toc84930725"/>
      <w:bookmarkEnd w:id="1208"/>
      <w:bookmarkStart w:id="1209" w:name="_Toc58860175"/>
      <w:bookmarkEnd w:id="1209"/>
      <w:bookmarkStart w:id="1210" w:name="_Toc2583"/>
      <w:bookmarkEnd w:id="1210"/>
      <w:bookmarkStart w:id="1211" w:name="_Toc51766588"/>
      <w:bookmarkEnd w:id="1211"/>
    </w:p>
    <w:p>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1212" w:name="_Toc58860176"/>
      <w:bookmarkEnd w:id="1212"/>
      <w:bookmarkStart w:id="1213" w:name="_Toc51766589"/>
      <w:bookmarkEnd w:id="1213"/>
      <w:bookmarkStart w:id="1214" w:name="_Toc21955"/>
      <w:bookmarkEnd w:id="1214"/>
      <w:bookmarkStart w:id="1215" w:name="_Toc28319"/>
      <w:bookmarkEnd w:id="1215"/>
      <w:bookmarkStart w:id="1216" w:name="_Toc84930726"/>
      <w:bookmarkEnd w:id="1216"/>
    </w:p>
    <w:p>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1217" w:name="_Toc58860177"/>
      <w:bookmarkEnd w:id="1217"/>
      <w:bookmarkStart w:id="1218" w:name="_Toc84930727"/>
      <w:bookmarkEnd w:id="1218"/>
      <w:bookmarkStart w:id="1219" w:name="_Toc18733"/>
      <w:bookmarkEnd w:id="1219"/>
      <w:bookmarkStart w:id="1220" w:name="_Toc51766590"/>
      <w:bookmarkEnd w:id="1220"/>
      <w:bookmarkStart w:id="1221" w:name="_Toc21587"/>
      <w:bookmarkEnd w:id="1221"/>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2.2.1提供施工现场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22" w:name="_Ref531950101"/>
      <w:bookmarkEnd w:id="1222"/>
      <w:r>
        <w:rPr>
          <w:rFonts w:hint="eastAsia" w:ascii="宋体" w:hAnsi="宋体" w:cs="宋体"/>
          <w:szCs w:val="21"/>
          <w:lang w:bidi="ar"/>
        </w:rPr>
        <w:t>2.2.2提供工作条件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发包人应按专用合同条件约定向承包人提供工作条件。专用合同条件对此没有约定的，发包人应负责提供开展本合同相关工作所需要的条件，包括：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（1）将施工用水、电力、通讯线路等施工所必需的条件接至施工现场内；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（2）保证向承包人提供正常施工所需要的进入施工现场的交通条件；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（3）协调处理施工现场周围地下管线和邻近建筑物、构筑物、古树名木、文物、化石及坟墓等的保护工作，并承担相关费用；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（4）对工程现场临近发包人正在使用、运行、或由发包人用于生产的建筑物、构筑物、生产装置、设施、设备等，设置隔离设施，竖立禁止入内、禁止动火的明显标志， 并以书面形式通知承包人须遵守的安全规定和位置范围；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（5）按照专用合同条件约定应提供的其他设施和条件。</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2.2.3逾期提供的责任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因发包人原因未能按合同约定及时向承包人提供施工现场和施工条件的，由发包人承担由此增加的费用和（或）延误的工期。</w:t>
      </w:r>
    </w:p>
    <w:p>
      <w:pPr>
        <w:widowControl/>
        <w:wordWrap w:val="0"/>
        <w:topLinePunct/>
        <w:adjustRightInd w:val="0"/>
        <w:snapToGrid w:val="0"/>
        <w:spacing w:after="163" w:afterLines="50" w:line="360" w:lineRule="auto"/>
        <w:outlineLvl w:val="1"/>
        <w:rPr>
          <w:rFonts w:ascii="宋体" w:hAnsi="宋体" w:cs="宋体"/>
          <w:kern w:val="0"/>
        </w:rPr>
      </w:pPr>
      <w:bookmarkStart w:id="1223" w:name="_Ref11956654"/>
      <w:bookmarkEnd w:id="1223"/>
      <w:bookmarkStart w:id="1224" w:name="_Ref11918036"/>
      <w:bookmarkEnd w:id="1224"/>
      <w:bookmarkStart w:id="1225" w:name="_Toc20171739"/>
      <w:bookmarkEnd w:id="1225"/>
      <w:bookmarkStart w:id="1226" w:name="_Ref11956647"/>
      <w:bookmarkEnd w:id="1226"/>
      <w:bookmarkStart w:id="1227" w:name="_Ref11918025"/>
      <w:bookmarkStart w:id="1228" w:name="_Toc330"/>
      <w:bookmarkStart w:id="1229" w:name="_Toc58860178"/>
      <w:bookmarkStart w:id="1230" w:name="_Toc19333"/>
      <w:bookmarkStart w:id="1231" w:name="_Toc20670"/>
      <w:bookmarkStart w:id="1232" w:name="_Toc22653"/>
      <w:bookmarkStart w:id="1233" w:name="_Toc84930728"/>
      <w:bookmarkStart w:id="1234" w:name="_Toc51766591"/>
      <w:bookmarkStart w:id="1235" w:name="_Toc8858"/>
      <w:bookmarkStart w:id="1236" w:name="_Toc21035"/>
      <w:r>
        <w:rPr>
          <w:rFonts w:hint="eastAsia" w:ascii="宋体" w:hAnsi="宋体" w:cs="宋体"/>
          <w:kern w:val="0"/>
          <w:szCs w:val="21"/>
          <w:lang w:bidi="ar"/>
        </w:rPr>
        <w:t>2</w:t>
      </w:r>
      <w:bookmarkEnd w:id="1227"/>
      <w:r>
        <w:rPr>
          <w:rFonts w:hint="eastAsia" w:ascii="宋体" w:hAnsi="宋体" w:cs="宋体"/>
          <w:kern w:val="0"/>
          <w:szCs w:val="21"/>
          <w:lang w:bidi="ar"/>
        </w:rPr>
        <w:t>.3  提供基础资料</w:t>
      </w:r>
      <w:bookmarkEnd w:id="1228"/>
      <w:bookmarkEnd w:id="1229"/>
      <w:bookmarkEnd w:id="1230"/>
      <w:bookmarkEnd w:id="1231"/>
      <w:bookmarkEnd w:id="1232"/>
      <w:bookmarkEnd w:id="1233"/>
      <w:bookmarkEnd w:id="1234"/>
      <w:bookmarkEnd w:id="1235"/>
      <w:bookmarkEnd w:id="123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pPr>
        <w:widowControl/>
        <w:wordWrap w:val="0"/>
        <w:topLinePunct/>
        <w:adjustRightInd w:val="0"/>
        <w:snapToGrid w:val="0"/>
        <w:spacing w:after="163" w:afterLines="50" w:line="360" w:lineRule="auto"/>
        <w:outlineLvl w:val="1"/>
        <w:rPr>
          <w:rFonts w:ascii="宋体" w:hAnsi="宋体" w:cs="宋体"/>
          <w:kern w:val="0"/>
        </w:rPr>
      </w:pPr>
      <w:bookmarkStart w:id="1237" w:name="_Ref531950045"/>
      <w:bookmarkEnd w:id="1237"/>
      <w:bookmarkStart w:id="1238" w:name="_Toc20171740"/>
      <w:bookmarkEnd w:id="1238"/>
      <w:bookmarkStart w:id="1239" w:name="_Ref531950041"/>
      <w:bookmarkStart w:id="1240" w:name="_Toc19585"/>
      <w:bookmarkStart w:id="1241" w:name="_Toc14618"/>
      <w:bookmarkStart w:id="1242" w:name="_Toc58860179"/>
      <w:bookmarkStart w:id="1243" w:name="_Toc26446"/>
      <w:bookmarkStart w:id="1244" w:name="_Toc5242"/>
      <w:bookmarkStart w:id="1245" w:name="_Toc21118"/>
      <w:bookmarkStart w:id="1246" w:name="_Toc51766592"/>
      <w:bookmarkStart w:id="1247" w:name="_Toc13592"/>
      <w:bookmarkStart w:id="1248" w:name="_Toc84930729"/>
      <w:r>
        <w:rPr>
          <w:rFonts w:hint="eastAsia" w:ascii="宋体" w:hAnsi="宋体" w:cs="宋体"/>
          <w:kern w:val="0"/>
          <w:szCs w:val="21"/>
          <w:lang w:bidi="ar"/>
        </w:rPr>
        <w:t>2</w:t>
      </w:r>
      <w:bookmarkEnd w:id="1239"/>
      <w:r>
        <w:rPr>
          <w:rFonts w:hint="eastAsia" w:ascii="宋体" w:hAnsi="宋体" w:cs="宋体"/>
          <w:kern w:val="0"/>
          <w:szCs w:val="21"/>
          <w:lang w:bidi="ar"/>
        </w:rPr>
        <w:t>.4  办理许可和批准</w:t>
      </w:r>
      <w:bookmarkEnd w:id="1240"/>
      <w:bookmarkEnd w:id="1241"/>
      <w:bookmarkEnd w:id="1242"/>
      <w:bookmarkEnd w:id="1243"/>
      <w:bookmarkEnd w:id="1244"/>
      <w:bookmarkEnd w:id="1245"/>
      <w:bookmarkEnd w:id="1246"/>
      <w:bookmarkEnd w:id="1247"/>
      <w:bookmarkEnd w:id="1248"/>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2.4.1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2.4.2因发包人原因未能及时办理完毕前述许可、批准或备案，由发包人承担由此增加的费用和（或）延误的工期，并支付承包人合理的利润。</w:t>
      </w:r>
    </w:p>
    <w:p>
      <w:pPr>
        <w:widowControl/>
        <w:wordWrap w:val="0"/>
        <w:topLinePunct/>
        <w:adjustRightInd w:val="0"/>
        <w:snapToGrid w:val="0"/>
        <w:spacing w:after="163" w:afterLines="50" w:line="360" w:lineRule="auto"/>
        <w:outlineLvl w:val="1"/>
        <w:rPr>
          <w:rFonts w:ascii="宋体" w:hAnsi="宋体" w:cs="宋体"/>
          <w:kern w:val="0"/>
        </w:rPr>
      </w:pPr>
      <w:bookmarkStart w:id="1249" w:name="_Ref11918070"/>
      <w:bookmarkEnd w:id="1249"/>
      <w:bookmarkStart w:id="1250" w:name="_Toc20171741"/>
      <w:bookmarkEnd w:id="1250"/>
      <w:bookmarkStart w:id="1251" w:name="_Ref11956525"/>
      <w:bookmarkEnd w:id="1251"/>
      <w:bookmarkStart w:id="1252" w:name="_Ref11918060"/>
      <w:bookmarkEnd w:id="1252"/>
      <w:bookmarkStart w:id="1253" w:name="_Toc20278"/>
      <w:bookmarkStart w:id="1254" w:name="_Toc58860180"/>
      <w:bookmarkStart w:id="1255" w:name="_Ref11956533"/>
      <w:bookmarkStart w:id="1256" w:name="_Toc84930730"/>
      <w:bookmarkStart w:id="1257" w:name="_Toc17497"/>
      <w:bookmarkStart w:id="1258" w:name="_Toc11186"/>
      <w:bookmarkStart w:id="1259" w:name="_Toc28834"/>
      <w:bookmarkStart w:id="1260" w:name="_Toc31374"/>
      <w:bookmarkStart w:id="1261" w:name="_Toc51766593"/>
      <w:bookmarkStart w:id="1262" w:name="_Toc30604"/>
      <w:r>
        <w:rPr>
          <w:rFonts w:hint="eastAsia" w:ascii="宋体" w:hAnsi="宋体" w:cs="宋体"/>
          <w:kern w:val="0"/>
          <w:szCs w:val="21"/>
          <w:lang w:bidi="ar"/>
        </w:rPr>
        <w:t>2.5  支付合同价款</w:t>
      </w:r>
      <w:bookmarkEnd w:id="1253"/>
      <w:bookmarkEnd w:id="1254"/>
      <w:bookmarkEnd w:id="1255"/>
      <w:bookmarkEnd w:id="1256"/>
      <w:bookmarkEnd w:id="1257"/>
      <w:bookmarkEnd w:id="1258"/>
      <w:bookmarkEnd w:id="1259"/>
      <w:bookmarkEnd w:id="1260"/>
      <w:bookmarkEnd w:id="1261"/>
      <w:bookmarkEnd w:id="1262"/>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63" w:name="_Ref531950147"/>
      <w:bookmarkEnd w:id="1263"/>
      <w:r>
        <w:rPr>
          <w:rFonts w:hint="eastAsia" w:ascii="宋体" w:hAnsi="宋体" w:cs="宋体"/>
          <w:szCs w:val="21"/>
          <w:lang w:bidi="ar"/>
        </w:rPr>
        <w:t>2.5.1发包人应按合同约定向承包人及时支付合同价款。</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2.5.2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64" w:name="_Ref531950161"/>
      <w:bookmarkEnd w:id="1264"/>
      <w:r>
        <w:rPr>
          <w:rFonts w:hint="eastAsia" w:ascii="宋体" w:hAnsi="宋体" w:cs="宋体"/>
          <w:szCs w:val="21"/>
          <w:lang w:bidi="ar"/>
        </w:rPr>
        <w:t>2.5.3发包人应当向承包人提供支付担保。支付担保可以采用银行保函或担保公司担保等形式，具体由合同当事人在专用合同条件中约定。</w:t>
      </w:r>
    </w:p>
    <w:p>
      <w:pPr>
        <w:widowControl/>
        <w:wordWrap w:val="0"/>
        <w:topLinePunct/>
        <w:adjustRightInd w:val="0"/>
        <w:snapToGrid w:val="0"/>
        <w:spacing w:after="163" w:afterLines="50" w:line="360" w:lineRule="auto"/>
        <w:outlineLvl w:val="1"/>
        <w:rPr>
          <w:rFonts w:ascii="宋体" w:hAnsi="宋体" w:cs="宋体"/>
          <w:kern w:val="0"/>
        </w:rPr>
      </w:pPr>
      <w:bookmarkStart w:id="1265" w:name="_Toc20171742"/>
      <w:bookmarkEnd w:id="1265"/>
      <w:bookmarkStart w:id="1266" w:name="_Toc51766594"/>
      <w:bookmarkStart w:id="1267" w:name="_Toc58860181"/>
      <w:bookmarkStart w:id="1268" w:name="_Toc30704"/>
      <w:bookmarkStart w:id="1269" w:name="_Toc19952"/>
      <w:bookmarkStart w:id="1270" w:name="_Toc84930731"/>
      <w:bookmarkStart w:id="1271" w:name="_Toc5326"/>
      <w:bookmarkStart w:id="1272" w:name="_Toc8599"/>
      <w:bookmarkStart w:id="1273" w:name="_Toc21197"/>
      <w:bookmarkStart w:id="1274" w:name="_Toc28346"/>
      <w:r>
        <w:rPr>
          <w:rFonts w:hint="eastAsia" w:ascii="宋体" w:hAnsi="宋体" w:cs="宋体"/>
          <w:kern w:val="0"/>
          <w:szCs w:val="21"/>
          <w:lang w:bidi="ar"/>
        </w:rPr>
        <w:t>2.6  现场管理配合</w:t>
      </w:r>
      <w:bookmarkEnd w:id="1266"/>
      <w:bookmarkEnd w:id="1267"/>
      <w:bookmarkEnd w:id="1268"/>
      <w:bookmarkEnd w:id="1269"/>
      <w:bookmarkEnd w:id="1270"/>
      <w:bookmarkEnd w:id="1271"/>
      <w:bookmarkEnd w:id="1272"/>
      <w:bookmarkEnd w:id="1273"/>
      <w:bookmarkEnd w:id="127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发包人应负责保证在现场或现场附近的发包人人员和发包人的其他承包人（如有）：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（1）根据第7.3款[现场合作]的约定，与承包人进行合作；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（2）遵守第</w:t>
      </w:r>
      <w:r>
        <w:rPr>
          <w:rFonts w:ascii="宋体" w:hAnsi="宋体" w:cs="宋体"/>
          <w:kern w:val="0"/>
          <w:szCs w:val="21"/>
          <w:lang w:bidi="ar"/>
        </w:rPr>
        <w:t>7.5</w:t>
      </w:r>
      <w:r>
        <w:rPr>
          <w:rFonts w:hint="eastAsia" w:ascii="宋体" w:hAnsi="宋体" w:cs="宋体"/>
          <w:kern w:val="0"/>
          <w:szCs w:val="21"/>
          <w:lang w:bidi="ar"/>
        </w:rPr>
        <w:t>款[现场劳动用工</w:t>
      </w:r>
      <w:r>
        <w:rPr>
          <w:rFonts w:ascii="宋体" w:hAnsi="宋体" w:cs="宋体"/>
          <w:kern w:val="0"/>
          <w:szCs w:val="21"/>
          <w:lang w:bidi="ar"/>
        </w:rPr>
        <w:t>]</w:t>
      </w:r>
      <w:r>
        <w:rPr>
          <w:rFonts w:hint="eastAsia" w:ascii="宋体" w:hAnsi="宋体" w:cs="宋体"/>
          <w:kern w:val="0"/>
          <w:szCs w:val="21"/>
          <w:lang w:bidi="ar"/>
        </w:rPr>
        <w:t>、第7.6款[安全文明施工]、第7.7款[职业健康]和第7.8款[环境保护]的相关约定。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发包人应与承包人、由发包人直接发包的其他承包人（如有）订立施工现场统一管理协议，明确各方的权利义务。</w:t>
      </w:r>
    </w:p>
    <w:p>
      <w:pPr>
        <w:widowControl/>
        <w:wordWrap w:val="0"/>
        <w:topLinePunct/>
        <w:adjustRightInd w:val="0"/>
        <w:snapToGrid w:val="0"/>
        <w:spacing w:after="163" w:afterLines="50" w:line="360" w:lineRule="auto"/>
        <w:outlineLvl w:val="1"/>
        <w:rPr>
          <w:rFonts w:ascii="宋体" w:hAnsi="宋体" w:cs="宋体"/>
          <w:kern w:val="0"/>
        </w:rPr>
      </w:pPr>
      <w:bookmarkStart w:id="1275" w:name="_Ref11959376"/>
      <w:bookmarkEnd w:id="1275"/>
      <w:bookmarkStart w:id="1276" w:name="_Toc20171743"/>
      <w:bookmarkEnd w:id="1276"/>
      <w:bookmarkStart w:id="1277" w:name="_Ref11959372"/>
      <w:bookmarkStart w:id="1278" w:name="_Toc84930732"/>
      <w:bookmarkStart w:id="1279" w:name="_Toc58860182"/>
      <w:bookmarkStart w:id="1280" w:name="_Toc25655"/>
      <w:bookmarkStart w:id="1281" w:name="_Toc26806"/>
      <w:bookmarkStart w:id="1282" w:name="_Toc32460"/>
      <w:bookmarkStart w:id="1283" w:name="_Toc26886"/>
      <w:bookmarkStart w:id="1284" w:name="_Toc28117"/>
      <w:bookmarkStart w:id="1285" w:name="_Toc51766595"/>
      <w:bookmarkStart w:id="1286" w:name="_Toc20239"/>
      <w:r>
        <w:rPr>
          <w:rFonts w:hint="eastAsia" w:ascii="宋体" w:hAnsi="宋体" w:cs="宋体"/>
          <w:kern w:val="0"/>
          <w:szCs w:val="21"/>
          <w:lang w:bidi="ar"/>
        </w:rPr>
        <w:t>2</w:t>
      </w:r>
      <w:bookmarkEnd w:id="1277"/>
      <w:r>
        <w:rPr>
          <w:rFonts w:hint="eastAsia" w:ascii="宋体" w:hAnsi="宋体" w:cs="宋体"/>
          <w:kern w:val="0"/>
          <w:szCs w:val="21"/>
          <w:lang w:bidi="ar"/>
        </w:rPr>
        <w:t>.7  其他义务</w:t>
      </w:r>
      <w:bookmarkEnd w:id="1278"/>
      <w:bookmarkEnd w:id="1279"/>
      <w:bookmarkEnd w:id="1280"/>
      <w:bookmarkEnd w:id="1281"/>
      <w:bookmarkEnd w:id="1282"/>
      <w:bookmarkEnd w:id="1283"/>
      <w:bookmarkEnd w:id="1284"/>
      <w:bookmarkEnd w:id="1285"/>
      <w:bookmarkEnd w:id="128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发包人应履行合同约定的其他义务，双方可在专用合同条件内对发包人应履行的其他义务进行补充约定。</w:t>
      </w:r>
    </w:p>
    <w:p>
      <w:pPr>
        <w:widowControl/>
        <w:wordWrap w:val="0"/>
        <w:topLinePunct/>
        <w:adjustRightInd w:val="0"/>
        <w:snapToGrid w:val="0"/>
        <w:spacing w:after="163" w:afterLines="50" w:line="360" w:lineRule="auto"/>
        <w:outlineLvl w:val="1"/>
        <w:rPr>
          <w:rFonts w:ascii="宋体" w:hAnsi="宋体" w:cs="宋体"/>
          <w:kern w:val="0"/>
        </w:rPr>
      </w:pPr>
      <w:bookmarkStart w:id="1287" w:name="_Toc20171744"/>
      <w:bookmarkEnd w:id="1287"/>
      <w:bookmarkStart w:id="1288" w:name="_Ref531952791"/>
      <w:bookmarkEnd w:id="1288"/>
      <w:bookmarkStart w:id="1289" w:name="_Toc13487"/>
      <w:bookmarkStart w:id="1290" w:name="_Toc1070"/>
      <w:bookmarkStart w:id="1291" w:name="_Toc25773"/>
      <w:bookmarkStart w:id="1292" w:name="_Toc19537"/>
      <w:r>
        <w:rPr>
          <w:rFonts w:hint="eastAsia" w:ascii="宋体" w:hAnsi="宋体" w:cs="宋体"/>
          <w:kern w:val="0"/>
          <w:szCs w:val="21"/>
          <w:lang w:bidi="ar"/>
        </w:rPr>
        <w:t>第3条  发包人的管理</w:t>
      </w:r>
      <w:bookmarkEnd w:id="1289"/>
      <w:bookmarkEnd w:id="1290"/>
      <w:bookmarkEnd w:id="1291"/>
      <w:bookmarkEnd w:id="1292"/>
    </w:p>
    <w:p>
      <w:pPr>
        <w:widowControl/>
        <w:wordWrap w:val="0"/>
        <w:topLinePunct/>
        <w:adjustRightInd w:val="0"/>
        <w:snapToGrid w:val="0"/>
        <w:spacing w:after="163" w:afterLines="50" w:line="360" w:lineRule="auto"/>
        <w:outlineLvl w:val="2"/>
        <w:rPr>
          <w:rFonts w:ascii="宋体" w:hAnsi="宋体" w:cs="宋体"/>
        </w:rPr>
      </w:pPr>
      <w:bookmarkStart w:id="1293" w:name="_Ref531951533"/>
      <w:bookmarkEnd w:id="1293"/>
      <w:bookmarkStart w:id="1294" w:name="_Ref522810097"/>
      <w:bookmarkEnd w:id="1294"/>
      <w:bookmarkStart w:id="1295" w:name="_Toc20171745"/>
      <w:bookmarkEnd w:id="1295"/>
      <w:bookmarkStart w:id="1296" w:name="_Ref522810094"/>
      <w:bookmarkEnd w:id="1296"/>
      <w:bookmarkStart w:id="1297" w:name="_Ref531951538"/>
      <w:bookmarkStart w:id="1298" w:name="_Toc51766597"/>
      <w:bookmarkStart w:id="1299" w:name="_Toc84930734"/>
      <w:bookmarkStart w:id="1300" w:name="_Toc28039"/>
      <w:bookmarkStart w:id="1301" w:name="_Toc2795"/>
      <w:bookmarkStart w:id="1302" w:name="_Toc26025"/>
      <w:bookmarkStart w:id="1303" w:name="_Toc58860184"/>
      <w:bookmarkStart w:id="1304" w:name="_Toc27386"/>
      <w:bookmarkStart w:id="1305" w:name="_Toc28000"/>
      <w:bookmarkStart w:id="1306" w:name="_Toc31849"/>
      <w:r>
        <w:rPr>
          <w:rFonts w:hint="eastAsia" w:ascii="宋体" w:hAnsi="宋体" w:cs="宋体"/>
          <w:szCs w:val="21"/>
          <w:lang w:bidi="ar"/>
        </w:rPr>
        <w:t>3</w:t>
      </w:r>
      <w:bookmarkEnd w:id="1297"/>
      <w:r>
        <w:rPr>
          <w:rFonts w:hint="eastAsia" w:ascii="宋体" w:hAnsi="宋体" w:cs="宋体"/>
          <w:szCs w:val="21"/>
          <w:lang w:bidi="ar"/>
        </w:rPr>
        <w:t>.1  发包人代表</w:t>
      </w:r>
      <w:bookmarkEnd w:id="1298"/>
      <w:bookmarkEnd w:id="1299"/>
      <w:bookmarkEnd w:id="1300"/>
      <w:bookmarkEnd w:id="1301"/>
      <w:bookmarkEnd w:id="1302"/>
      <w:bookmarkEnd w:id="1303"/>
      <w:bookmarkEnd w:id="1304"/>
      <w:bookmarkEnd w:id="1305"/>
      <w:bookmarkEnd w:id="130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除非发包人另行通知承包人，发包人代表应被授予并且被认为具有发包人在授权范围内享有的相应权利，涉及第16.1款[由发包人解除合同]的权利除外。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发包人代表（或者在其为法人的情况下，被任命代表其行事的自然人）应：</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（1）履行指派给其的职责，行使发包人托付给的权利；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（2）具备履行这些职责、行使这些权利的能力；</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（3）作为熟练的专业人员行事。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发包人代表为法人且在订立本合同时未能确定授权代表的，发包人代表应在本合同订立之日起3日内向双方发出书面通知，告知被任命和授权的自然人以及任何替代人员。此授权在双方收到本通知后生效。发包人代表撤销该授权或者变更授权代表时也应同样发出该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发包人代表不能按照合同约定履行其职责及义务，并导致合同无法继续正常履行的，承包人可以要求发包人撤换发包人代表。</w:t>
      </w:r>
    </w:p>
    <w:p>
      <w:pPr>
        <w:widowControl/>
        <w:wordWrap w:val="0"/>
        <w:topLinePunct/>
        <w:adjustRightInd w:val="0"/>
        <w:snapToGrid w:val="0"/>
        <w:spacing w:after="163" w:afterLines="50" w:line="360" w:lineRule="auto"/>
        <w:outlineLvl w:val="2"/>
        <w:rPr>
          <w:rFonts w:ascii="宋体" w:hAnsi="宋体" w:cs="宋体"/>
        </w:rPr>
      </w:pPr>
      <w:bookmarkStart w:id="1307" w:name="_Toc20171746"/>
      <w:bookmarkEnd w:id="1307"/>
      <w:bookmarkStart w:id="1308" w:name="_Ref531951557"/>
      <w:bookmarkEnd w:id="1308"/>
      <w:bookmarkStart w:id="1309" w:name="_Ref531951553"/>
      <w:bookmarkStart w:id="1310" w:name="_Toc15100"/>
      <w:bookmarkStart w:id="1311" w:name="_Toc58860185"/>
      <w:bookmarkStart w:id="1312" w:name="_Toc12170"/>
      <w:bookmarkStart w:id="1313" w:name="_Toc51766598"/>
      <w:bookmarkStart w:id="1314" w:name="_Toc12145"/>
      <w:bookmarkStart w:id="1315" w:name="_Toc1597"/>
      <w:bookmarkStart w:id="1316" w:name="_Toc10871"/>
      <w:bookmarkStart w:id="1317" w:name="_Toc84930735"/>
      <w:bookmarkStart w:id="1318" w:name="_Toc16163"/>
      <w:r>
        <w:rPr>
          <w:rFonts w:hint="eastAsia" w:ascii="宋体" w:hAnsi="宋体" w:cs="宋体"/>
          <w:szCs w:val="21"/>
          <w:lang w:bidi="ar"/>
        </w:rPr>
        <w:t>3</w:t>
      </w:r>
      <w:bookmarkEnd w:id="1309"/>
      <w:r>
        <w:rPr>
          <w:rFonts w:hint="eastAsia" w:ascii="宋体" w:hAnsi="宋体" w:cs="宋体"/>
          <w:szCs w:val="21"/>
          <w:lang w:bidi="ar"/>
        </w:rPr>
        <w:t>.2  发包人人员</w:t>
      </w:r>
      <w:bookmarkEnd w:id="1310"/>
      <w:bookmarkEnd w:id="1311"/>
      <w:bookmarkEnd w:id="1312"/>
      <w:bookmarkEnd w:id="1313"/>
      <w:bookmarkEnd w:id="1314"/>
      <w:bookmarkEnd w:id="1315"/>
      <w:bookmarkEnd w:id="1316"/>
      <w:bookmarkEnd w:id="1317"/>
      <w:bookmarkEnd w:id="131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发包人应要求在施工现场的发包人人员遵守法律及有关安全、质量、环境保护、文明施工等规定，因发包人人员未遵守上述要求给承包人造成的损失和责任由发包人承担。</w:t>
      </w:r>
    </w:p>
    <w:p>
      <w:pPr>
        <w:widowControl/>
        <w:wordWrap w:val="0"/>
        <w:topLinePunct/>
        <w:adjustRightInd w:val="0"/>
        <w:snapToGrid w:val="0"/>
        <w:spacing w:after="163" w:afterLines="50" w:line="360" w:lineRule="auto"/>
        <w:outlineLvl w:val="2"/>
        <w:rPr>
          <w:rFonts w:ascii="宋体" w:hAnsi="宋体" w:cs="宋体"/>
        </w:rPr>
      </w:pPr>
      <w:bookmarkStart w:id="1319" w:name="_Toc19561"/>
      <w:bookmarkStart w:id="1320" w:name="_Toc58860186"/>
      <w:bookmarkStart w:id="1321" w:name="_Toc84930736"/>
      <w:bookmarkStart w:id="1322" w:name="_Toc28098"/>
      <w:bookmarkStart w:id="1323" w:name="_Toc9400"/>
      <w:bookmarkStart w:id="1324" w:name="_Toc13324"/>
      <w:bookmarkStart w:id="1325" w:name="_Toc51766599"/>
      <w:bookmarkStart w:id="1326" w:name="_Toc10518"/>
      <w:bookmarkStart w:id="1327" w:name="_Toc24099"/>
      <w:r>
        <w:rPr>
          <w:rFonts w:hint="eastAsia" w:ascii="宋体" w:hAnsi="宋体" w:cs="宋体"/>
          <w:szCs w:val="21"/>
          <w:lang w:bidi="ar"/>
        </w:rPr>
        <w:t>3.3  工程师</w:t>
      </w:r>
      <w:bookmarkEnd w:id="1319"/>
      <w:bookmarkEnd w:id="1320"/>
      <w:bookmarkEnd w:id="1321"/>
      <w:bookmarkEnd w:id="1322"/>
      <w:bookmarkEnd w:id="1323"/>
      <w:bookmarkEnd w:id="1324"/>
      <w:bookmarkEnd w:id="1325"/>
      <w:bookmarkEnd w:id="1326"/>
      <w:bookmarkEnd w:id="1327"/>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3.3.1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3.3.2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3.3.3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3.3.4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pPr>
        <w:widowControl/>
        <w:wordWrap w:val="0"/>
        <w:topLinePunct/>
        <w:adjustRightInd w:val="0"/>
        <w:snapToGrid w:val="0"/>
        <w:spacing w:after="163" w:afterLines="50" w:line="360" w:lineRule="auto"/>
        <w:outlineLvl w:val="2"/>
        <w:rPr>
          <w:rFonts w:ascii="宋体" w:hAnsi="宋体" w:cs="宋体"/>
        </w:rPr>
      </w:pPr>
      <w:bookmarkStart w:id="1328" w:name="_Ref531951597"/>
      <w:bookmarkEnd w:id="1328"/>
      <w:bookmarkStart w:id="1329" w:name="_Ref531951594"/>
      <w:bookmarkStart w:id="1330" w:name="_Toc28351"/>
      <w:bookmarkStart w:id="1331" w:name="_Toc58860187"/>
      <w:bookmarkStart w:id="1332" w:name="_Toc84930737"/>
      <w:bookmarkStart w:id="1333" w:name="_Toc20255"/>
      <w:bookmarkStart w:id="1334" w:name="_Toc51766600"/>
      <w:bookmarkStart w:id="1335" w:name="_Toc18812"/>
      <w:bookmarkStart w:id="1336" w:name="_Toc9549"/>
      <w:bookmarkStart w:id="1337" w:name="_Toc22548"/>
      <w:bookmarkStart w:id="1338" w:name="_Toc20299"/>
      <w:r>
        <w:rPr>
          <w:rFonts w:hint="eastAsia" w:ascii="宋体" w:hAnsi="宋体" w:cs="宋体"/>
          <w:szCs w:val="21"/>
          <w:lang w:bidi="ar"/>
        </w:rPr>
        <w:t>3</w:t>
      </w:r>
      <w:bookmarkEnd w:id="1329"/>
      <w:r>
        <w:rPr>
          <w:rFonts w:hint="eastAsia" w:ascii="宋体" w:hAnsi="宋体" w:cs="宋体"/>
          <w:szCs w:val="21"/>
          <w:lang w:bidi="ar"/>
        </w:rPr>
        <w:t>.4  任命和授权</w:t>
      </w:r>
      <w:bookmarkEnd w:id="1330"/>
      <w:bookmarkEnd w:id="1331"/>
      <w:bookmarkEnd w:id="1332"/>
      <w:bookmarkEnd w:id="1333"/>
      <w:bookmarkEnd w:id="1334"/>
      <w:bookmarkEnd w:id="1335"/>
      <w:bookmarkEnd w:id="1336"/>
      <w:bookmarkEnd w:id="1337"/>
      <w:bookmarkEnd w:id="1338"/>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3.4.1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3.4.2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pPr>
        <w:widowControl/>
        <w:wordWrap w:val="0"/>
        <w:topLinePunct/>
        <w:adjustRightInd w:val="0"/>
        <w:snapToGrid w:val="0"/>
        <w:spacing w:after="163" w:afterLines="50" w:line="360" w:lineRule="auto"/>
        <w:outlineLvl w:val="2"/>
        <w:rPr>
          <w:rFonts w:ascii="宋体" w:hAnsi="宋体" w:cs="宋体"/>
        </w:rPr>
      </w:pPr>
      <w:bookmarkStart w:id="1339" w:name="_Toc20171749"/>
      <w:bookmarkEnd w:id="1339"/>
      <w:bookmarkStart w:id="1340" w:name="_Ref20165400"/>
      <w:bookmarkStart w:id="1341" w:name="_Toc1246"/>
      <w:bookmarkStart w:id="1342" w:name="_Toc12739"/>
      <w:bookmarkStart w:id="1343" w:name="_Toc3937"/>
      <w:bookmarkStart w:id="1344" w:name="_Toc22735"/>
      <w:bookmarkStart w:id="1345" w:name="_Toc15176"/>
      <w:bookmarkStart w:id="1346" w:name="_Toc58860188"/>
      <w:bookmarkStart w:id="1347" w:name="_Toc51766601"/>
      <w:bookmarkStart w:id="1348" w:name="_Toc84930738"/>
      <w:bookmarkStart w:id="1349" w:name="_Toc17993"/>
      <w:r>
        <w:rPr>
          <w:rFonts w:hint="eastAsia" w:ascii="宋体" w:hAnsi="宋体" w:cs="宋体"/>
          <w:szCs w:val="21"/>
          <w:lang w:bidi="ar"/>
        </w:rPr>
        <w:t>3</w:t>
      </w:r>
      <w:bookmarkEnd w:id="1340"/>
      <w:r>
        <w:rPr>
          <w:rFonts w:hint="eastAsia" w:ascii="宋体" w:hAnsi="宋体" w:cs="宋体"/>
          <w:szCs w:val="21"/>
          <w:lang w:bidi="ar"/>
        </w:rPr>
        <w:t>.5  指示</w:t>
      </w:r>
      <w:bookmarkEnd w:id="1341"/>
      <w:bookmarkEnd w:id="1342"/>
      <w:bookmarkEnd w:id="1343"/>
      <w:bookmarkEnd w:id="1344"/>
      <w:bookmarkEnd w:id="1345"/>
      <w:bookmarkEnd w:id="1346"/>
      <w:bookmarkEnd w:id="1347"/>
      <w:bookmarkEnd w:id="1348"/>
      <w:bookmarkEnd w:id="1349"/>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3.5.1工程师应按照发包人的授权发出指示。工程师的指示应采用书面形式，盖有工程师授权的项目管理机构章，并由工程师的授权人员签名。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3.5.2承包人收到工程师作出的指示后应遵照执行。如果任何此类指示构成一项变更时，应按照第13条[变更与调整]的约定办理。</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3.5.3由于工程师未能按合同约定发出指示、指示延误或指示错误而导致承包人费用增加和（或）工期延误的，发包人应承担由此增加的费用和（或）工期延误，并向承包人支付合理利润。</w:t>
      </w:r>
    </w:p>
    <w:p>
      <w:pPr>
        <w:widowControl/>
        <w:wordWrap w:val="0"/>
        <w:topLinePunct/>
        <w:adjustRightInd w:val="0"/>
        <w:snapToGrid w:val="0"/>
        <w:spacing w:after="163" w:afterLines="50" w:line="360" w:lineRule="auto"/>
        <w:outlineLvl w:val="2"/>
        <w:rPr>
          <w:rFonts w:ascii="宋体" w:hAnsi="宋体" w:cs="宋体"/>
        </w:rPr>
      </w:pPr>
      <w:bookmarkStart w:id="1350" w:name="_Ref531951611"/>
      <w:bookmarkEnd w:id="1350"/>
      <w:bookmarkStart w:id="1351" w:name="_Ref531951609"/>
      <w:bookmarkEnd w:id="1351"/>
      <w:bookmarkStart w:id="1352" w:name="_Toc20171750"/>
      <w:bookmarkStart w:id="1353" w:name="_Toc9977"/>
      <w:bookmarkStart w:id="1354" w:name="_Toc22818"/>
      <w:bookmarkStart w:id="1355" w:name="_Toc5247"/>
      <w:bookmarkStart w:id="1356" w:name="_Toc21079"/>
      <w:bookmarkStart w:id="1357" w:name="_Toc51766602"/>
      <w:bookmarkStart w:id="1358" w:name="_Toc84930739"/>
      <w:bookmarkStart w:id="1359" w:name="_Toc58860189"/>
      <w:bookmarkStart w:id="1360" w:name="_Toc643"/>
      <w:bookmarkStart w:id="1361" w:name="_Toc8988"/>
      <w:r>
        <w:rPr>
          <w:rFonts w:hint="eastAsia" w:ascii="宋体" w:hAnsi="宋体" w:cs="宋体"/>
          <w:szCs w:val="21"/>
          <w:lang w:bidi="ar"/>
        </w:rPr>
        <w:t>3</w:t>
      </w:r>
      <w:bookmarkEnd w:id="1352"/>
      <w:r>
        <w:rPr>
          <w:rFonts w:hint="eastAsia" w:ascii="宋体" w:hAnsi="宋体" w:cs="宋体"/>
          <w:szCs w:val="21"/>
          <w:lang w:bidi="ar"/>
        </w:rPr>
        <w:t>.6  商定或确定</w:t>
      </w:r>
      <w:bookmarkEnd w:id="1353"/>
      <w:bookmarkEnd w:id="1354"/>
      <w:bookmarkEnd w:id="1355"/>
      <w:bookmarkEnd w:id="1356"/>
      <w:bookmarkEnd w:id="1357"/>
      <w:bookmarkEnd w:id="1358"/>
      <w:bookmarkEnd w:id="1359"/>
      <w:bookmarkEnd w:id="1360"/>
      <w:bookmarkEnd w:id="1361"/>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3.6.1合同约定工程师应按照本款对任何事项进行商定或确定时，工程师应及时与合同当事人协商，尽量达成一致。工程师应将商定的结果以书面形式通知发包人和承包人，并由双方签署确认。</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3.6.2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362" w:name="_Ref532287856"/>
      <w:bookmarkEnd w:id="1362"/>
      <w:r>
        <w:rPr>
          <w:rFonts w:hint="eastAsia" w:ascii="宋体" w:hAnsi="宋体" w:cs="宋体"/>
          <w:szCs w:val="21"/>
          <w:lang w:bidi="ar"/>
        </w:rPr>
        <w:t>3.6.3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3.6.4在该争议解决前，双方应暂按工程师的确定执行。按照第20条[争议解决]的约定对工程师的确定作出修改的，按修改后的结果执行，由此导致承包人增加的费用和延误的工期由责任方承担。</w:t>
      </w:r>
    </w:p>
    <w:p>
      <w:pPr>
        <w:widowControl/>
        <w:wordWrap w:val="0"/>
        <w:topLinePunct/>
        <w:adjustRightInd w:val="0"/>
        <w:snapToGrid w:val="0"/>
        <w:spacing w:after="163" w:afterLines="50" w:line="360" w:lineRule="auto"/>
        <w:outlineLvl w:val="2"/>
        <w:rPr>
          <w:rFonts w:ascii="宋体" w:hAnsi="宋体" w:cs="宋体"/>
        </w:rPr>
      </w:pPr>
      <w:bookmarkStart w:id="1363" w:name="_Ref531951747"/>
      <w:bookmarkEnd w:id="1363"/>
      <w:bookmarkStart w:id="1364" w:name="_Toc20171751"/>
      <w:bookmarkEnd w:id="1364"/>
      <w:bookmarkStart w:id="1365" w:name="_Ref531951749"/>
      <w:bookmarkStart w:id="1366" w:name="_Toc17066"/>
      <w:bookmarkStart w:id="1367" w:name="_Toc11076"/>
      <w:bookmarkStart w:id="1368" w:name="_Toc51766603"/>
      <w:bookmarkStart w:id="1369" w:name="_Toc1155"/>
      <w:bookmarkStart w:id="1370" w:name="_Toc58860190"/>
      <w:bookmarkStart w:id="1371" w:name="_Toc84930740"/>
      <w:bookmarkStart w:id="1372" w:name="_Toc17427"/>
      <w:bookmarkStart w:id="1373" w:name="_Toc23493"/>
      <w:bookmarkStart w:id="1374" w:name="_Toc9135"/>
      <w:r>
        <w:rPr>
          <w:rFonts w:hint="eastAsia" w:ascii="宋体" w:hAnsi="宋体" w:cs="宋体"/>
          <w:szCs w:val="21"/>
          <w:lang w:bidi="ar"/>
        </w:rPr>
        <w:t>3</w:t>
      </w:r>
      <w:bookmarkEnd w:id="1365"/>
      <w:r>
        <w:rPr>
          <w:rFonts w:hint="eastAsia" w:ascii="宋体" w:hAnsi="宋体" w:cs="宋体"/>
          <w:szCs w:val="21"/>
          <w:lang w:bidi="ar"/>
        </w:rPr>
        <w:t>.7  会议</w:t>
      </w:r>
      <w:bookmarkEnd w:id="1366"/>
      <w:bookmarkEnd w:id="1367"/>
      <w:bookmarkEnd w:id="1368"/>
      <w:bookmarkEnd w:id="1369"/>
      <w:bookmarkEnd w:id="1370"/>
      <w:bookmarkEnd w:id="1371"/>
      <w:bookmarkEnd w:id="1372"/>
      <w:bookmarkEnd w:id="1373"/>
      <w:bookmarkEnd w:id="1374"/>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3.7.1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3.7.2除专用合同条件另有约定外，发包人应保存每次会议参加人签名的记录，并将会议纪要提供给出席会议的人员。任何根据此类会议以及会议纪要采取的行动应符合本合同的约定。</w:t>
      </w:r>
    </w:p>
    <w:p>
      <w:pPr>
        <w:widowControl/>
        <w:wordWrap w:val="0"/>
        <w:topLinePunct/>
        <w:adjustRightInd w:val="0"/>
        <w:snapToGrid w:val="0"/>
        <w:spacing w:after="163" w:afterLines="50" w:line="360" w:lineRule="auto"/>
        <w:outlineLvl w:val="1"/>
        <w:rPr>
          <w:rFonts w:ascii="宋体" w:hAnsi="宋体" w:cs="宋体"/>
          <w:kern w:val="0"/>
        </w:rPr>
      </w:pPr>
      <w:bookmarkStart w:id="1375" w:name="_Ref531952805"/>
      <w:bookmarkEnd w:id="1375"/>
      <w:bookmarkStart w:id="1376" w:name="_Toc20171752"/>
      <w:bookmarkStart w:id="1377" w:name="_Toc31162"/>
      <w:bookmarkStart w:id="1378" w:name="_Toc27805"/>
      <w:bookmarkStart w:id="1379" w:name="_Toc15782"/>
      <w:bookmarkStart w:id="1380" w:name="_Toc1924"/>
      <w:r>
        <w:rPr>
          <w:rFonts w:hint="eastAsia" w:ascii="宋体" w:hAnsi="宋体" w:cs="宋体"/>
          <w:kern w:val="0"/>
          <w:szCs w:val="21"/>
          <w:lang w:bidi="ar"/>
        </w:rPr>
        <w:t xml:space="preserve">第4条 </w:t>
      </w:r>
      <w:bookmarkEnd w:id="1376"/>
      <w:r>
        <w:rPr>
          <w:rFonts w:hint="eastAsia" w:ascii="宋体" w:hAnsi="宋体" w:cs="宋体"/>
          <w:kern w:val="0"/>
          <w:szCs w:val="21"/>
          <w:lang w:bidi="ar"/>
        </w:rPr>
        <w:t xml:space="preserve"> 承包人</w:t>
      </w:r>
      <w:bookmarkEnd w:id="1377"/>
      <w:bookmarkEnd w:id="1378"/>
      <w:bookmarkEnd w:id="1379"/>
      <w:bookmarkEnd w:id="1380"/>
    </w:p>
    <w:p>
      <w:pPr>
        <w:widowControl/>
        <w:wordWrap w:val="0"/>
        <w:topLinePunct/>
        <w:adjustRightInd w:val="0"/>
        <w:snapToGrid w:val="0"/>
        <w:spacing w:after="163" w:afterLines="50" w:line="360" w:lineRule="auto"/>
        <w:outlineLvl w:val="2"/>
        <w:rPr>
          <w:rFonts w:ascii="宋体" w:hAnsi="宋体" w:cs="宋体"/>
        </w:rPr>
      </w:pPr>
      <w:bookmarkStart w:id="1381" w:name="_Ref531951961"/>
      <w:bookmarkEnd w:id="1381"/>
      <w:bookmarkStart w:id="1382" w:name="_Ref531951958"/>
      <w:bookmarkEnd w:id="1382"/>
      <w:bookmarkStart w:id="1383" w:name="_Toc20171753"/>
      <w:bookmarkEnd w:id="1383"/>
      <w:bookmarkStart w:id="1384" w:name="_Ref531951941"/>
      <w:bookmarkEnd w:id="1384"/>
      <w:bookmarkStart w:id="1385" w:name="_Ref531951945"/>
      <w:bookmarkEnd w:id="1385"/>
      <w:bookmarkStart w:id="1386" w:name="_Ref531951975"/>
      <w:bookmarkStart w:id="1387" w:name="_Toc58860192"/>
      <w:bookmarkStart w:id="1388" w:name="_Toc26043"/>
      <w:bookmarkStart w:id="1389" w:name="_Toc27227"/>
      <w:bookmarkStart w:id="1390" w:name="_Toc10227"/>
      <w:bookmarkStart w:id="1391" w:name="_Toc51766605"/>
      <w:bookmarkStart w:id="1392" w:name="_Toc2301"/>
      <w:bookmarkStart w:id="1393" w:name="_Toc7793"/>
      <w:bookmarkStart w:id="1394" w:name="_Toc84930742"/>
      <w:bookmarkStart w:id="1395" w:name="_Toc27462"/>
      <w:r>
        <w:rPr>
          <w:rFonts w:hint="eastAsia" w:ascii="宋体" w:hAnsi="宋体" w:cs="宋体"/>
          <w:szCs w:val="21"/>
          <w:lang w:bidi="ar"/>
        </w:rPr>
        <w:t>4</w:t>
      </w:r>
      <w:bookmarkEnd w:id="1386"/>
      <w:r>
        <w:rPr>
          <w:rFonts w:hint="eastAsia" w:ascii="宋体" w:hAnsi="宋体" w:cs="宋体"/>
          <w:szCs w:val="21"/>
          <w:lang w:bidi="ar"/>
        </w:rPr>
        <w:t>.1  承包人的一般义务</w:t>
      </w:r>
      <w:bookmarkEnd w:id="1387"/>
      <w:bookmarkEnd w:id="1388"/>
      <w:bookmarkEnd w:id="1389"/>
      <w:bookmarkEnd w:id="1390"/>
      <w:bookmarkEnd w:id="1391"/>
      <w:bookmarkEnd w:id="1392"/>
      <w:bookmarkEnd w:id="1393"/>
      <w:bookmarkEnd w:id="1394"/>
      <w:bookmarkEnd w:id="1395"/>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bookmarkStart w:id="1396" w:name="_Ref509046929"/>
      <w:bookmarkEnd w:id="1396"/>
      <w:r>
        <w:rPr>
          <w:rFonts w:hint="eastAsia" w:ascii="宋体" w:hAnsi="宋体" w:cs="宋体"/>
          <w:kern w:val="0"/>
          <w:szCs w:val="21"/>
          <w:lang w:bidi="ar"/>
        </w:rPr>
        <w:t>除专用合同条件另有约定外，承包人在履行合同过程中应遵守法律和工程建设标准规范，并履行以下义务：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（1）办理法律规定和合同约定由承包人办理的许可和批准，将办理结果书面报送发包人留存，并承担因承包人违反法律或合同约定给发包人造成的任何费用和损失；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（2）按合同约定完成全部工作并在缺陷责任期和保修期内承担缺陷保证责任和保修义务，对工作中的任何缺陷进行整改、完善和修补，使其满足合同约定的目的；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（3）提供合同约定的工程设备和承包人文件，以及为完成合同工作所需的劳务、材料、施工设备和其他物品，并按合同约定负责临时设施的设计、施工、运行、维护、管理和拆除；</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（4）按合同约定的工作内容和进度要求，编制设计、施工的组织和实施计划，保证项目进度计划的实现，并对所有设计、施工作业和施工方法，以及全部工程的完备性和安全可靠性负责；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（5）按法律规定和合同约定采取安全文明施工、职业健康和环境保护措施，办理员工工伤保险等相关保险，确保工程及人员、材料、设备和设施的安全，防止因工程实施造成的人身伤害和财产损失；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6</w:t>
      </w:r>
      <w:r>
        <w:rPr>
          <w:rFonts w:hint="eastAsia" w:ascii="宋体" w:hAnsi="宋体" w:cs="宋体"/>
          <w:kern w:val="0"/>
          <w:szCs w:val="21"/>
          <w:lang w:bidi="ar"/>
        </w:rPr>
        <w:t>）将发包人按合同约定支付的各项价款专用于合同工程，且应及时支付其雇用人员（包括建筑工人）工资，并及时向分包人支付合同价款；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7</w:t>
      </w:r>
      <w:r>
        <w:rPr>
          <w:rFonts w:hint="eastAsia" w:ascii="宋体" w:hAnsi="宋体" w:cs="宋体"/>
          <w:kern w:val="0"/>
          <w:szCs w:val="21"/>
          <w:lang w:bidi="ar"/>
        </w:rPr>
        <w:t>）在进行合同约定的各项工作时，不得侵害发包人与他人使用公用道路、水源、市政管网等公共设施的权利，避免对邻近的公共设施产生干扰。</w:t>
      </w:r>
    </w:p>
    <w:p>
      <w:pPr>
        <w:widowControl/>
        <w:wordWrap w:val="0"/>
        <w:topLinePunct/>
        <w:adjustRightInd w:val="0"/>
        <w:snapToGrid w:val="0"/>
        <w:spacing w:after="163" w:afterLines="50" w:line="360" w:lineRule="auto"/>
        <w:outlineLvl w:val="2"/>
        <w:rPr>
          <w:rFonts w:ascii="宋体" w:hAnsi="宋体" w:cs="宋体"/>
        </w:rPr>
      </w:pPr>
      <w:bookmarkStart w:id="1397" w:name="_Toc20171754"/>
      <w:bookmarkEnd w:id="1397"/>
      <w:bookmarkStart w:id="1398" w:name="_Ref4426803"/>
      <w:bookmarkEnd w:id="1398"/>
      <w:bookmarkStart w:id="1399" w:name="_Ref4428418"/>
      <w:bookmarkStart w:id="1400" w:name="_Toc22503"/>
      <w:bookmarkStart w:id="1401" w:name="_Toc9708"/>
      <w:bookmarkStart w:id="1402" w:name="_Toc9719"/>
      <w:bookmarkStart w:id="1403" w:name="_Toc275"/>
      <w:bookmarkStart w:id="1404" w:name="_Toc6369"/>
      <w:bookmarkStart w:id="1405" w:name="_Toc58860193"/>
      <w:bookmarkStart w:id="1406" w:name="_Toc84930743"/>
      <w:bookmarkStart w:id="1407" w:name="_Toc51766606"/>
      <w:bookmarkStart w:id="1408" w:name="_Toc4714"/>
      <w:r>
        <w:rPr>
          <w:rFonts w:hint="eastAsia" w:ascii="宋体" w:hAnsi="宋体" w:cs="宋体"/>
          <w:szCs w:val="21"/>
          <w:lang w:bidi="ar"/>
        </w:rPr>
        <w:t>4</w:t>
      </w:r>
      <w:bookmarkEnd w:id="1399"/>
      <w:r>
        <w:rPr>
          <w:rFonts w:hint="eastAsia" w:ascii="宋体" w:hAnsi="宋体" w:cs="宋体"/>
          <w:szCs w:val="21"/>
          <w:lang w:bidi="ar"/>
        </w:rPr>
        <w:t>.2  履约担保</w:t>
      </w:r>
      <w:bookmarkEnd w:id="1400"/>
      <w:bookmarkEnd w:id="1401"/>
      <w:bookmarkEnd w:id="1402"/>
      <w:bookmarkEnd w:id="1403"/>
      <w:bookmarkEnd w:id="1404"/>
      <w:bookmarkEnd w:id="1405"/>
      <w:bookmarkEnd w:id="1406"/>
      <w:bookmarkEnd w:id="1407"/>
      <w:bookmarkEnd w:id="140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承包人应保证其履约担保在发包人竣工验收前一直有效，发包人应在竣工验收合格后7天内将履约担保款项退还给承包人或者解除履约担保。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因承包人原因导致工期延长的，继续提供履约担保所增加的费用由承包人承担；非因承包人原因导致工期延长的，继续提供履约担保所增加的费用由发包人承担。</w:t>
      </w:r>
    </w:p>
    <w:p>
      <w:pPr>
        <w:widowControl/>
        <w:wordWrap w:val="0"/>
        <w:topLinePunct/>
        <w:adjustRightInd w:val="0"/>
        <w:snapToGrid w:val="0"/>
        <w:spacing w:after="163" w:afterLines="50" w:line="360" w:lineRule="auto"/>
        <w:outlineLvl w:val="2"/>
        <w:rPr>
          <w:rFonts w:ascii="宋体" w:hAnsi="宋体" w:cs="宋体"/>
        </w:rPr>
      </w:pPr>
      <w:bookmarkStart w:id="1409" w:name="_Ref532689108"/>
      <w:bookmarkEnd w:id="1409"/>
      <w:bookmarkStart w:id="1410" w:name="_Ref532689105"/>
      <w:bookmarkEnd w:id="1410"/>
      <w:bookmarkStart w:id="1411" w:name="_Toc20171755"/>
      <w:bookmarkStart w:id="1412" w:name="_Toc58860194"/>
      <w:bookmarkStart w:id="1413" w:name="_Toc51766607"/>
      <w:bookmarkStart w:id="1414" w:name="_Toc6688"/>
      <w:bookmarkStart w:id="1415" w:name="_Toc2595"/>
      <w:bookmarkStart w:id="1416" w:name="_Toc84930744"/>
      <w:bookmarkStart w:id="1417" w:name="_Toc17466"/>
      <w:bookmarkStart w:id="1418" w:name="_Toc24344"/>
      <w:bookmarkStart w:id="1419" w:name="_Toc16863"/>
      <w:bookmarkStart w:id="1420" w:name="_Toc25908"/>
      <w:r>
        <w:rPr>
          <w:rFonts w:hint="eastAsia" w:ascii="宋体" w:hAnsi="宋体" w:cs="宋体"/>
          <w:szCs w:val="21"/>
          <w:lang w:bidi="ar"/>
        </w:rPr>
        <w:t>4</w:t>
      </w:r>
      <w:bookmarkEnd w:id="1411"/>
      <w:r>
        <w:rPr>
          <w:rFonts w:hint="eastAsia" w:ascii="宋体" w:hAnsi="宋体" w:cs="宋体"/>
          <w:szCs w:val="21"/>
          <w:lang w:bidi="ar"/>
        </w:rPr>
        <w:t>.3  工程总承包项目经理</w:t>
      </w:r>
      <w:bookmarkEnd w:id="1412"/>
      <w:bookmarkEnd w:id="1413"/>
      <w:bookmarkEnd w:id="1414"/>
      <w:bookmarkEnd w:id="1415"/>
      <w:bookmarkEnd w:id="1416"/>
      <w:bookmarkEnd w:id="1417"/>
      <w:bookmarkEnd w:id="1418"/>
      <w:bookmarkEnd w:id="1419"/>
      <w:bookmarkEnd w:id="1420"/>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1" w:name="_Ref532351726"/>
      <w:bookmarkEnd w:id="1421"/>
      <w:r>
        <w:rPr>
          <w:rFonts w:hint="eastAsia" w:ascii="宋体" w:hAnsi="宋体" w:cs="宋体"/>
          <w:szCs w:val="21"/>
          <w:lang w:bidi="ar"/>
        </w:rPr>
        <w:t>4.3.1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2" w:name="_Ref532689263"/>
      <w:bookmarkEnd w:id="1422"/>
      <w:r>
        <w:rPr>
          <w:rFonts w:hint="eastAsia" w:ascii="宋体" w:hAnsi="宋体" w:cs="宋体"/>
          <w:szCs w:val="21"/>
          <w:lang w:bidi="ar"/>
        </w:rPr>
        <w:t>4.3.2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3" w:name="_Ref532689178"/>
      <w:bookmarkEnd w:id="1423"/>
      <w:bookmarkStart w:id="1424" w:name="_Ref531952112"/>
      <w:r>
        <w:rPr>
          <w:rFonts w:hint="eastAsia" w:ascii="宋体" w:hAnsi="宋体" w:cs="宋体"/>
          <w:szCs w:val="21"/>
          <w:lang w:bidi="ar"/>
        </w:rPr>
        <w:t>4</w:t>
      </w:r>
      <w:bookmarkEnd w:id="1424"/>
      <w:r>
        <w:rPr>
          <w:rFonts w:hint="eastAsia" w:ascii="宋体" w:hAnsi="宋体" w:cs="宋体"/>
          <w:szCs w:val="21"/>
          <w:lang w:bidi="ar"/>
        </w:rPr>
        <w:t>.3.3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5" w:name="_Ref4426412"/>
      <w:bookmarkEnd w:id="1425"/>
      <w:r>
        <w:rPr>
          <w:rFonts w:hint="eastAsia" w:ascii="宋体" w:hAnsi="宋体" w:cs="宋体"/>
          <w:szCs w:val="21"/>
          <w:lang w:bidi="ar"/>
        </w:rPr>
        <w:t>4.3.4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6" w:name="_Ref531952137"/>
      <w:bookmarkEnd w:id="1426"/>
      <w:r>
        <w:rPr>
          <w:rFonts w:hint="eastAsia" w:ascii="宋体" w:hAnsi="宋体" w:cs="宋体"/>
          <w:szCs w:val="21"/>
          <w:lang w:bidi="ar"/>
        </w:rPr>
        <w:t>4.3.5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rFonts w:ascii="宋体" w:hAnsi="宋体" w:cs="宋体"/>
          <w:szCs w:val="21"/>
          <w:lang w:bidi="ar"/>
        </w:rPr>
        <w:t>28天内更换</w:t>
      </w:r>
      <w:r>
        <w:rPr>
          <w:rFonts w:hint="eastAsia" w:ascii="宋体" w:hAnsi="宋体" w:cs="宋体"/>
          <w:szCs w:val="21"/>
          <w:lang w:bidi="ar"/>
        </w:rPr>
        <w:t>工程总承包</w:t>
      </w:r>
      <w:r>
        <w:rPr>
          <w:rFonts w:ascii="宋体" w:hAnsi="宋体" w:cs="宋体"/>
          <w:szCs w:val="21"/>
          <w:lang w:bidi="ar"/>
        </w:rPr>
        <w:t>项目经理。</w:t>
      </w:r>
      <w:r>
        <w:rPr>
          <w:rFonts w:hint="eastAsia" w:ascii="宋体" w:hAnsi="宋体" w:cs="宋体"/>
          <w:szCs w:val="21"/>
          <w:lang w:bidi="ar"/>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27" w:name="_Ref122620"/>
      <w:bookmarkEnd w:id="1427"/>
      <w:r>
        <w:rPr>
          <w:rFonts w:hint="eastAsia" w:ascii="宋体" w:hAnsi="宋体" w:cs="宋体"/>
          <w:szCs w:val="21"/>
          <w:lang w:bidi="ar"/>
        </w:rPr>
        <w:t>4.3.6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pPr>
        <w:widowControl/>
        <w:wordWrap w:val="0"/>
        <w:topLinePunct/>
        <w:adjustRightInd w:val="0"/>
        <w:snapToGrid w:val="0"/>
        <w:spacing w:after="163" w:afterLines="50" w:line="360" w:lineRule="auto"/>
        <w:outlineLvl w:val="2"/>
        <w:rPr>
          <w:rFonts w:ascii="宋体" w:hAnsi="宋体" w:cs="宋体"/>
        </w:rPr>
      </w:pPr>
      <w:bookmarkStart w:id="1428" w:name="_Ref531952175"/>
      <w:bookmarkEnd w:id="1428"/>
      <w:bookmarkStart w:id="1429" w:name="_Ref531952172"/>
      <w:bookmarkEnd w:id="1429"/>
      <w:bookmarkStart w:id="1430" w:name="_Toc20171756"/>
      <w:bookmarkStart w:id="1431" w:name="_Toc51766608"/>
      <w:bookmarkStart w:id="1432" w:name="_Toc2234"/>
      <w:bookmarkStart w:id="1433" w:name="_Toc17448"/>
      <w:bookmarkStart w:id="1434" w:name="_Toc84930745"/>
      <w:bookmarkStart w:id="1435" w:name="_Toc13144"/>
      <w:bookmarkStart w:id="1436" w:name="_Toc58860195"/>
      <w:bookmarkStart w:id="1437" w:name="_Toc31741"/>
      <w:bookmarkStart w:id="1438" w:name="_Toc22892"/>
      <w:bookmarkStart w:id="1439" w:name="_Toc5606"/>
      <w:r>
        <w:rPr>
          <w:rFonts w:hint="eastAsia" w:ascii="宋体" w:hAnsi="宋体" w:cs="宋体"/>
          <w:szCs w:val="21"/>
          <w:lang w:bidi="ar"/>
        </w:rPr>
        <w:t xml:space="preserve">4.4  </w:t>
      </w:r>
      <w:bookmarkEnd w:id="1430"/>
      <w:r>
        <w:rPr>
          <w:rFonts w:hint="eastAsia" w:ascii="宋体" w:hAnsi="宋体" w:cs="宋体"/>
          <w:szCs w:val="21"/>
          <w:lang w:bidi="ar"/>
        </w:rPr>
        <w:t>承包人人员</w:t>
      </w:r>
      <w:bookmarkEnd w:id="1431"/>
      <w:bookmarkEnd w:id="1432"/>
      <w:bookmarkEnd w:id="1433"/>
      <w:bookmarkEnd w:id="1434"/>
      <w:bookmarkEnd w:id="1435"/>
      <w:bookmarkEnd w:id="1436"/>
      <w:bookmarkEnd w:id="1437"/>
      <w:bookmarkEnd w:id="1438"/>
      <w:bookmarkEnd w:id="1439"/>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40" w:name="_Ref531952185"/>
      <w:bookmarkEnd w:id="1440"/>
      <w:r>
        <w:rPr>
          <w:rFonts w:hint="eastAsia" w:ascii="宋体" w:hAnsi="宋体" w:cs="宋体"/>
          <w:szCs w:val="21"/>
          <w:lang w:bidi="ar"/>
        </w:rPr>
        <w:t>4.4.1人员安排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关键人员</w:t>
      </w:r>
      <w:bookmarkStart w:id="1441" w:name="_Hlk16210335"/>
      <w:r>
        <w:rPr>
          <w:rFonts w:hint="eastAsia" w:ascii="宋体" w:hAnsi="宋体" w:cs="宋体"/>
          <w:kern w:val="0"/>
          <w:szCs w:val="21"/>
          <w:lang w:bidi="ar"/>
        </w:rPr>
        <w:t>是发包人及承包人一致认为对工程建设起重要作用的承包人主要管理人员或技术人员。关键人员的具体范围由发包人及承包人在附件</w:t>
      </w:r>
      <w:r>
        <w:rPr>
          <w:rFonts w:ascii="宋体" w:hAnsi="宋体" w:cs="宋体"/>
          <w:kern w:val="0"/>
          <w:szCs w:val="21"/>
          <w:lang w:bidi="ar"/>
        </w:rPr>
        <w:t>5</w:t>
      </w:r>
      <w:r>
        <w:rPr>
          <w:rFonts w:hint="eastAsia" w:ascii="宋体" w:hAnsi="宋体" w:cs="宋体"/>
          <w:kern w:val="0"/>
          <w:szCs w:val="21"/>
          <w:lang w:bidi="ar"/>
        </w:rPr>
        <w:t>《承包人主要管理人员表》中另行约定。</w:t>
      </w:r>
      <w:bookmarkEnd w:id="1441"/>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42" w:name="_Ref4426641"/>
      <w:bookmarkEnd w:id="1442"/>
      <w:bookmarkStart w:id="1443" w:name="_Ref531952211"/>
      <w:r>
        <w:rPr>
          <w:rFonts w:hint="eastAsia" w:ascii="宋体" w:hAnsi="宋体" w:cs="宋体"/>
          <w:szCs w:val="21"/>
          <w:lang w:bidi="ar"/>
        </w:rPr>
        <w:t>4</w:t>
      </w:r>
      <w:bookmarkEnd w:id="1443"/>
      <w:r>
        <w:rPr>
          <w:rFonts w:hint="eastAsia" w:ascii="宋体" w:hAnsi="宋体" w:cs="宋体"/>
          <w:szCs w:val="21"/>
          <w:lang w:bidi="ar"/>
        </w:rPr>
        <w:t>.4.2关键人员更换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44" w:name="_Ref531952227"/>
      <w:bookmarkEnd w:id="1444"/>
      <w:r>
        <w:rPr>
          <w:rFonts w:hint="eastAsia" w:ascii="宋体" w:hAnsi="宋体" w:cs="宋体"/>
          <w:szCs w:val="21"/>
          <w:lang w:bidi="ar"/>
        </w:rPr>
        <w:t>4.4.3现场管理关键人员在岗要求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pPr>
        <w:widowControl/>
        <w:wordWrap w:val="0"/>
        <w:topLinePunct/>
        <w:adjustRightInd w:val="0"/>
        <w:snapToGrid w:val="0"/>
        <w:spacing w:after="163" w:afterLines="50" w:line="360" w:lineRule="auto"/>
        <w:outlineLvl w:val="2"/>
        <w:rPr>
          <w:rFonts w:ascii="宋体" w:hAnsi="宋体" w:cs="宋体"/>
        </w:rPr>
      </w:pPr>
      <w:bookmarkStart w:id="1445" w:name="_Toc20171757"/>
      <w:bookmarkEnd w:id="1445"/>
      <w:bookmarkStart w:id="1446" w:name="_Ref531952259"/>
      <w:bookmarkEnd w:id="1446"/>
      <w:bookmarkStart w:id="1447" w:name="_Ref531952262"/>
      <w:bookmarkStart w:id="1448" w:name="_Toc32378"/>
      <w:bookmarkStart w:id="1449" w:name="_Toc2458"/>
      <w:bookmarkStart w:id="1450" w:name="_Toc51766609"/>
      <w:bookmarkStart w:id="1451" w:name="_Toc8995"/>
      <w:bookmarkStart w:id="1452" w:name="_Toc10624"/>
      <w:bookmarkStart w:id="1453" w:name="_Toc84930746"/>
      <w:bookmarkStart w:id="1454" w:name="_Toc58860196"/>
      <w:bookmarkStart w:id="1455" w:name="_Toc26027"/>
      <w:bookmarkStart w:id="1456" w:name="_Toc17291"/>
      <w:r>
        <w:rPr>
          <w:rFonts w:hint="eastAsia" w:ascii="宋体" w:hAnsi="宋体" w:cs="宋体"/>
          <w:szCs w:val="21"/>
          <w:lang w:bidi="ar"/>
        </w:rPr>
        <w:t>4</w:t>
      </w:r>
      <w:bookmarkEnd w:id="1447"/>
      <w:r>
        <w:rPr>
          <w:rFonts w:hint="eastAsia" w:ascii="宋体" w:hAnsi="宋体" w:cs="宋体"/>
          <w:szCs w:val="21"/>
          <w:lang w:bidi="ar"/>
        </w:rPr>
        <w:t>.5  分包</w:t>
      </w:r>
      <w:bookmarkEnd w:id="1448"/>
      <w:bookmarkEnd w:id="1449"/>
      <w:bookmarkEnd w:id="1450"/>
      <w:bookmarkEnd w:id="1451"/>
      <w:bookmarkEnd w:id="1452"/>
      <w:bookmarkEnd w:id="1453"/>
      <w:bookmarkEnd w:id="1454"/>
      <w:bookmarkEnd w:id="1455"/>
      <w:bookmarkEnd w:id="1456"/>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57" w:name="_Ref531952273"/>
      <w:bookmarkEnd w:id="1457"/>
      <w:r>
        <w:rPr>
          <w:rFonts w:hint="eastAsia" w:ascii="宋体" w:hAnsi="宋体" w:cs="宋体"/>
          <w:szCs w:val="21"/>
          <w:lang w:bidi="ar"/>
        </w:rPr>
        <w:t>4.5.1一般约定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将其承包的全部工程转包给第三人，或将其承包的全部工程肢解后以分包的名义转包给第三人。承包人不得将法律或专用合同条件中禁止分包的工作事项分包给第三人，不得以劳务分包的名义转包或违法分包工程。</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58" w:name="_Ref531952286"/>
      <w:bookmarkEnd w:id="1458"/>
      <w:r>
        <w:rPr>
          <w:rFonts w:hint="eastAsia" w:ascii="宋体" w:hAnsi="宋体" w:cs="宋体"/>
          <w:szCs w:val="21"/>
          <w:lang w:bidi="ar"/>
        </w:rPr>
        <w:t>4.5.2分包的确定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承包人应按照专用合同条件约定对工作事项进行分包，确定分包人。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4.5.3分包人资质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分包人应符合国家法律规定的资质等级，否则不能作为分包人。承包人有义务对分包人的资质进行审查。</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4.5.4分包管理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59" w:name="_Ref531952298"/>
      <w:bookmarkEnd w:id="1459"/>
      <w:r>
        <w:rPr>
          <w:rFonts w:hint="eastAsia" w:ascii="宋体" w:hAnsi="宋体" w:cs="宋体"/>
          <w:szCs w:val="21"/>
          <w:lang w:bidi="ar"/>
        </w:rPr>
        <w:t>4.5.5分包合同价款支付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（1）除本项第（2）目约定的情况或专用合同条件另有约定外，分包合同价款由承包人与分包人结算，未经承包人同意，发包人不得向分包人支付分包合同价款；</w:t>
      </w:r>
    </w:p>
    <w:p>
      <w:pPr>
        <w:widowControl/>
        <w:adjustRightInd w:val="0"/>
        <w:snapToGrid w:val="0"/>
        <w:spacing w:after="163" w:afterLines="50" w:line="360" w:lineRule="auto"/>
        <w:ind w:firstLine="420" w:firstLineChars="200"/>
        <w:rPr>
          <w:rFonts w:ascii="宋体" w:hAnsi="宋体" w:cs="宋体"/>
          <w:kern w:val="0"/>
        </w:rPr>
      </w:pPr>
      <w:bookmarkStart w:id="1460" w:name="_Ref4613798"/>
      <w:bookmarkEnd w:id="1460"/>
      <w:r>
        <w:rPr>
          <w:rFonts w:hint="eastAsia" w:ascii="宋体" w:hAnsi="宋体" w:cs="宋体"/>
          <w:kern w:val="0"/>
          <w:szCs w:val="21"/>
          <w:lang w:bidi="ar"/>
        </w:rPr>
        <w:t>（2）生效法律文书要求发包人向分包人支付分包合同价款的，发包人有权从应付承包人工程款中扣除该部分款项，将扣款直接支付给分包人，并书面通知承包人。</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4.5.6责任承担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承包人对分包人的行为向发包人负责，承包人和分包人就分包工作向发包人承担连带责任。</w:t>
      </w:r>
    </w:p>
    <w:p>
      <w:pPr>
        <w:widowControl/>
        <w:wordWrap w:val="0"/>
        <w:topLinePunct/>
        <w:adjustRightInd w:val="0"/>
        <w:snapToGrid w:val="0"/>
        <w:spacing w:after="163" w:afterLines="50" w:line="360" w:lineRule="auto"/>
        <w:outlineLvl w:val="2"/>
        <w:rPr>
          <w:rFonts w:ascii="宋体" w:hAnsi="宋体" w:cs="宋体"/>
        </w:rPr>
      </w:pPr>
      <w:bookmarkStart w:id="1461" w:name="_Toc20171758"/>
      <w:bookmarkEnd w:id="1461"/>
      <w:bookmarkStart w:id="1462" w:name="_Ref531952317"/>
      <w:bookmarkEnd w:id="1462"/>
      <w:bookmarkStart w:id="1463" w:name="_Ref4426916"/>
      <w:bookmarkEnd w:id="1463"/>
      <w:bookmarkStart w:id="1464" w:name="_Ref4768805"/>
      <w:bookmarkEnd w:id="1464"/>
      <w:bookmarkStart w:id="1465" w:name="_Ref531952321"/>
      <w:bookmarkStart w:id="1466" w:name="_Toc630"/>
      <w:bookmarkStart w:id="1467" w:name="_Toc51766610"/>
      <w:bookmarkStart w:id="1468" w:name="_Toc30071"/>
      <w:bookmarkStart w:id="1469" w:name="_Toc58860197"/>
      <w:bookmarkStart w:id="1470" w:name="_Toc84930747"/>
      <w:bookmarkStart w:id="1471" w:name="_Toc3806"/>
      <w:bookmarkStart w:id="1472" w:name="_Toc29921"/>
      <w:bookmarkStart w:id="1473" w:name="_Toc28420"/>
      <w:bookmarkStart w:id="1474" w:name="_Toc2718"/>
      <w:r>
        <w:rPr>
          <w:rFonts w:hint="eastAsia" w:ascii="宋体" w:hAnsi="宋体" w:cs="宋体"/>
          <w:szCs w:val="21"/>
          <w:lang w:bidi="ar"/>
        </w:rPr>
        <w:t>4</w:t>
      </w:r>
      <w:bookmarkEnd w:id="1465"/>
      <w:r>
        <w:rPr>
          <w:rFonts w:hint="eastAsia" w:ascii="宋体" w:hAnsi="宋体" w:cs="宋体"/>
          <w:szCs w:val="21"/>
          <w:lang w:bidi="ar"/>
        </w:rPr>
        <w:t>.6  联合体</w:t>
      </w:r>
      <w:bookmarkEnd w:id="1466"/>
      <w:bookmarkEnd w:id="1467"/>
      <w:bookmarkEnd w:id="1468"/>
      <w:bookmarkEnd w:id="1469"/>
      <w:bookmarkEnd w:id="1470"/>
      <w:bookmarkEnd w:id="1471"/>
      <w:bookmarkEnd w:id="1472"/>
      <w:bookmarkEnd w:id="1473"/>
      <w:bookmarkEnd w:id="1474"/>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475" w:name="_Hlk16235129"/>
      <w:bookmarkEnd w:id="1475"/>
      <w:r>
        <w:rPr>
          <w:rFonts w:hint="eastAsia" w:ascii="宋体" w:hAnsi="宋体" w:cs="宋体"/>
          <w:szCs w:val="21"/>
          <w:lang w:bidi="ar"/>
        </w:rPr>
        <w:t>4.6.1经发包人同意，以联合体方式承包工程的，联合体各方应共同与发包人订立合同协议书。联合体各方应为履行合同向发包人承担连带责任。</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4.6.2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4.6.3</w:t>
      </w:r>
      <w:r>
        <w:rPr>
          <w:rFonts w:hint="eastAsia" w:ascii="宋体" w:hAnsi="宋体" w:cs="宋体"/>
          <w:szCs w:val="21"/>
          <w:lang w:eastAsia="zh-CN" w:bidi="ar"/>
        </w:rPr>
        <w:t>共同投标协议</w:t>
      </w:r>
      <w:r>
        <w:rPr>
          <w:rFonts w:hint="eastAsia" w:ascii="宋体" w:hAnsi="宋体" w:cs="宋体"/>
          <w:szCs w:val="21"/>
          <w:lang w:bidi="ar"/>
        </w:rPr>
        <w:t>经发包人确认后作为合同附件。在履行合同过程中，未经发包人同意，不得变更联合体成员和其负责的工作范围，或者修改</w:t>
      </w:r>
      <w:r>
        <w:rPr>
          <w:rFonts w:hint="eastAsia" w:ascii="宋体" w:hAnsi="宋体" w:cs="宋体"/>
          <w:szCs w:val="21"/>
          <w:lang w:eastAsia="zh-CN" w:bidi="ar"/>
        </w:rPr>
        <w:t>共同投标协议</w:t>
      </w:r>
      <w:r>
        <w:rPr>
          <w:rFonts w:hint="eastAsia" w:ascii="宋体" w:hAnsi="宋体" w:cs="宋体"/>
          <w:szCs w:val="21"/>
          <w:lang w:bidi="ar"/>
        </w:rPr>
        <w:t>中与本合同履行相关的内容。</w:t>
      </w:r>
    </w:p>
    <w:p>
      <w:pPr>
        <w:widowControl/>
        <w:wordWrap w:val="0"/>
        <w:topLinePunct/>
        <w:adjustRightInd w:val="0"/>
        <w:snapToGrid w:val="0"/>
        <w:spacing w:after="163" w:afterLines="50" w:line="360" w:lineRule="auto"/>
        <w:outlineLvl w:val="2"/>
        <w:rPr>
          <w:rFonts w:ascii="宋体" w:hAnsi="宋体" w:cs="宋体"/>
        </w:rPr>
      </w:pPr>
      <w:bookmarkStart w:id="1476" w:name="_Ref11926631"/>
      <w:bookmarkEnd w:id="1476"/>
      <w:bookmarkStart w:id="1477" w:name="_Ref11926629"/>
      <w:bookmarkEnd w:id="1477"/>
      <w:bookmarkStart w:id="1478" w:name="_Toc20171759"/>
      <w:bookmarkStart w:id="1479" w:name="_Toc3481"/>
      <w:bookmarkStart w:id="1480" w:name="_Toc51766611"/>
      <w:bookmarkStart w:id="1481" w:name="_Toc8298"/>
      <w:bookmarkStart w:id="1482" w:name="_Toc16286"/>
      <w:bookmarkStart w:id="1483" w:name="_Toc58860198"/>
      <w:bookmarkStart w:id="1484" w:name="_Toc2325"/>
      <w:bookmarkStart w:id="1485" w:name="_Toc84930748"/>
      <w:bookmarkStart w:id="1486" w:name="_Toc22556"/>
      <w:bookmarkStart w:id="1487" w:name="_Toc22480"/>
      <w:r>
        <w:rPr>
          <w:rFonts w:hint="eastAsia" w:ascii="宋体" w:hAnsi="宋体" w:cs="宋体"/>
          <w:szCs w:val="21"/>
          <w:lang w:bidi="ar"/>
        </w:rPr>
        <w:t>4</w:t>
      </w:r>
      <w:bookmarkEnd w:id="1478"/>
      <w:r>
        <w:rPr>
          <w:rFonts w:hint="eastAsia" w:ascii="宋体" w:hAnsi="宋体" w:cs="宋体"/>
          <w:szCs w:val="21"/>
          <w:lang w:bidi="ar"/>
        </w:rPr>
        <w:t>.7  承包人现场查勘</w:t>
      </w:r>
      <w:bookmarkEnd w:id="1479"/>
      <w:bookmarkEnd w:id="1480"/>
      <w:bookmarkEnd w:id="1481"/>
      <w:bookmarkEnd w:id="1482"/>
      <w:bookmarkEnd w:id="1483"/>
      <w:bookmarkEnd w:id="1484"/>
      <w:bookmarkEnd w:id="1485"/>
      <w:bookmarkEnd w:id="1486"/>
      <w:bookmarkEnd w:id="1487"/>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4.7.1除专用合同条件另有约定外，承包人应对基于发包人提交的基础资料所做出的解释和推断负责，因基础资料存在错误、遗漏导致承包人解释或推断失实的，按照第2.3款[提供基础资料]的规定承担责任。承包人发现基础资料中存在明显错误或疏忽的，应及时书面通知发包人。</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4.7.2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第</w:t>
      </w:r>
      <w:r>
        <w:rPr>
          <w:rFonts w:ascii="宋体" w:hAnsi="宋体" w:cs="宋体"/>
          <w:szCs w:val="21"/>
          <w:lang w:bidi="ar"/>
        </w:rPr>
        <w:t>4.8</w:t>
      </w:r>
      <w:r>
        <w:rPr>
          <w:rFonts w:hint="eastAsia" w:ascii="宋体" w:hAnsi="宋体" w:cs="宋体"/>
          <w:szCs w:val="21"/>
          <w:lang w:bidi="ar"/>
        </w:rPr>
        <w:t>款</w:t>
      </w:r>
      <w:r>
        <w:rPr>
          <w:rFonts w:ascii="宋体" w:hAnsi="宋体" w:cs="宋体"/>
          <w:szCs w:val="21"/>
          <w:lang w:bidi="ar"/>
        </w:rPr>
        <w:t>[</w:t>
      </w:r>
      <w:r>
        <w:rPr>
          <w:rFonts w:hint="eastAsia" w:ascii="宋体" w:hAnsi="宋体" w:cs="宋体"/>
          <w:szCs w:val="21"/>
          <w:lang w:bidi="ar"/>
        </w:rPr>
        <w:t>不可预见的困难</w:t>
      </w:r>
      <w:r>
        <w:rPr>
          <w:rFonts w:ascii="宋体" w:hAnsi="宋体" w:cs="宋体"/>
          <w:szCs w:val="21"/>
          <w:lang w:bidi="ar"/>
        </w:rPr>
        <w:t>]约定的情形除外</w:t>
      </w:r>
      <w:r>
        <w:rPr>
          <w:rFonts w:hint="eastAsia" w:ascii="宋体" w:hAnsi="宋体" w:cs="宋体"/>
          <w:szCs w:val="21"/>
          <w:lang w:bidi="ar"/>
        </w:rPr>
        <w:t>。</w:t>
      </w:r>
    </w:p>
    <w:p>
      <w:pPr>
        <w:widowControl/>
        <w:wordWrap w:val="0"/>
        <w:topLinePunct/>
        <w:adjustRightInd w:val="0"/>
        <w:snapToGrid w:val="0"/>
        <w:spacing w:after="163" w:afterLines="50" w:line="360" w:lineRule="auto"/>
        <w:outlineLvl w:val="2"/>
        <w:rPr>
          <w:rFonts w:ascii="宋体" w:hAnsi="宋体" w:cs="宋体"/>
        </w:rPr>
      </w:pPr>
      <w:bookmarkStart w:id="1488" w:name="_Ref11918789"/>
      <w:bookmarkEnd w:id="1488"/>
      <w:bookmarkStart w:id="1489" w:name="_Ref11918626"/>
      <w:bookmarkEnd w:id="1489"/>
      <w:bookmarkStart w:id="1490" w:name="_Toc20171760"/>
      <w:bookmarkEnd w:id="1490"/>
      <w:bookmarkStart w:id="1491" w:name="_Ref11918693"/>
      <w:bookmarkStart w:id="1492" w:name="_Toc30074"/>
      <w:bookmarkStart w:id="1493" w:name="_Toc84930749"/>
      <w:bookmarkStart w:id="1494" w:name="_Toc58860199"/>
      <w:bookmarkStart w:id="1495" w:name="_Toc1863"/>
      <w:bookmarkStart w:id="1496" w:name="_Toc29520"/>
      <w:bookmarkStart w:id="1497" w:name="_Toc26110"/>
      <w:bookmarkStart w:id="1498" w:name="_Toc51766612"/>
      <w:bookmarkStart w:id="1499" w:name="_Toc31534"/>
      <w:bookmarkStart w:id="1500" w:name="_Toc4523"/>
      <w:r>
        <w:rPr>
          <w:rFonts w:hint="eastAsia" w:ascii="宋体" w:hAnsi="宋体" w:cs="宋体"/>
          <w:szCs w:val="21"/>
          <w:lang w:bidi="ar"/>
        </w:rPr>
        <w:t>4</w:t>
      </w:r>
      <w:bookmarkEnd w:id="1491"/>
      <w:r>
        <w:rPr>
          <w:rFonts w:hint="eastAsia" w:ascii="宋体" w:hAnsi="宋体" w:cs="宋体"/>
          <w:szCs w:val="21"/>
          <w:lang w:bidi="ar"/>
        </w:rPr>
        <w:t>.8  不可预见的困难</w:t>
      </w:r>
      <w:bookmarkEnd w:id="1492"/>
      <w:bookmarkEnd w:id="1493"/>
      <w:bookmarkEnd w:id="1494"/>
      <w:bookmarkEnd w:id="1495"/>
      <w:bookmarkEnd w:id="1496"/>
      <w:bookmarkEnd w:id="1497"/>
      <w:bookmarkEnd w:id="1498"/>
      <w:bookmarkEnd w:id="1499"/>
      <w:bookmarkEnd w:id="1500"/>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不可预见的困难是指有经验的承包人在施工现场遇到的不可预见的自然物质条件、非自然的物质障碍和污染物，包括地表以下物质条件和水文条件以及专用合同条件约定的其他情形，但不包括气候条件。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pPr>
        <w:widowControl/>
        <w:wordWrap w:val="0"/>
        <w:topLinePunct/>
        <w:adjustRightInd w:val="0"/>
        <w:snapToGrid w:val="0"/>
        <w:spacing w:after="163" w:afterLines="50" w:line="360" w:lineRule="auto"/>
        <w:outlineLvl w:val="2"/>
        <w:rPr>
          <w:rFonts w:ascii="宋体" w:hAnsi="宋体" w:cs="宋体"/>
        </w:rPr>
      </w:pPr>
      <w:bookmarkStart w:id="1501" w:name="_Ref11926570"/>
      <w:bookmarkEnd w:id="1501"/>
      <w:bookmarkStart w:id="1502" w:name="_Toc20171761"/>
      <w:bookmarkEnd w:id="1502"/>
      <w:bookmarkStart w:id="1503" w:name="_Ref11926566"/>
      <w:bookmarkStart w:id="1504" w:name="_Toc13299"/>
      <w:bookmarkStart w:id="1505" w:name="_Toc84930750"/>
      <w:bookmarkStart w:id="1506" w:name="_Toc51766613"/>
      <w:bookmarkStart w:id="1507" w:name="_Toc2181"/>
      <w:bookmarkStart w:id="1508" w:name="_Toc6644"/>
      <w:bookmarkStart w:id="1509" w:name="_Toc58860200"/>
      <w:bookmarkStart w:id="1510" w:name="_Toc427"/>
      <w:bookmarkStart w:id="1511" w:name="_Toc31648"/>
      <w:bookmarkStart w:id="1512" w:name="_Toc9655"/>
      <w:r>
        <w:rPr>
          <w:rFonts w:hint="eastAsia" w:ascii="宋体" w:hAnsi="宋体" w:cs="宋体"/>
          <w:szCs w:val="21"/>
          <w:lang w:bidi="ar"/>
        </w:rPr>
        <w:t>4</w:t>
      </w:r>
      <w:bookmarkEnd w:id="1503"/>
      <w:r>
        <w:rPr>
          <w:rFonts w:hint="eastAsia" w:ascii="宋体" w:hAnsi="宋体" w:cs="宋体"/>
          <w:szCs w:val="21"/>
          <w:lang w:bidi="ar"/>
        </w:rPr>
        <w:t>.9  工程质量管理</w:t>
      </w:r>
      <w:bookmarkEnd w:id="1504"/>
      <w:bookmarkEnd w:id="1505"/>
      <w:bookmarkEnd w:id="1506"/>
      <w:bookmarkEnd w:id="1507"/>
      <w:bookmarkEnd w:id="1508"/>
      <w:bookmarkEnd w:id="1509"/>
      <w:bookmarkEnd w:id="1510"/>
      <w:bookmarkEnd w:id="1511"/>
      <w:bookmarkEnd w:id="1512"/>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4.9.1承包人应按合同约定的质量标准规范，建立有效的质量管理系统，确保设计、采购、加工制造、施工、竣工试验等各项工作的质量，并按照国家有关规定，通过质量保修责任书的形式约定保修范围、保修期限和保修责任。</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4.9.2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4.9.3承包人应对其人员进行质量教育和技术培训，定期考核人员的劳动技能，严格执行相关规范和操作规程。</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4.9.4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pPr>
        <w:widowControl/>
        <w:wordWrap w:val="0"/>
        <w:topLinePunct/>
        <w:adjustRightInd w:val="0"/>
        <w:snapToGrid w:val="0"/>
        <w:spacing w:after="163" w:afterLines="50" w:line="360" w:lineRule="auto"/>
        <w:outlineLvl w:val="1"/>
        <w:rPr>
          <w:rFonts w:ascii="宋体" w:hAnsi="宋体" w:cs="宋体"/>
          <w:kern w:val="0"/>
        </w:rPr>
      </w:pPr>
      <w:bookmarkStart w:id="1513" w:name="_Ref531952837"/>
      <w:bookmarkEnd w:id="1513"/>
      <w:bookmarkStart w:id="1514" w:name="_Toc20171762"/>
      <w:bookmarkStart w:id="1515" w:name="_Toc14881"/>
      <w:bookmarkStart w:id="1516" w:name="_Toc2617"/>
      <w:bookmarkStart w:id="1517" w:name="_Toc2464"/>
      <w:bookmarkStart w:id="1518" w:name="_Toc29418"/>
      <w:r>
        <w:rPr>
          <w:rFonts w:hint="eastAsia" w:ascii="宋体" w:hAnsi="宋体" w:cs="宋体"/>
          <w:kern w:val="0"/>
          <w:szCs w:val="21"/>
          <w:lang w:bidi="ar"/>
        </w:rPr>
        <w:t xml:space="preserve">第5条 </w:t>
      </w:r>
      <w:bookmarkEnd w:id="1514"/>
      <w:r>
        <w:rPr>
          <w:rFonts w:hint="eastAsia" w:ascii="宋体" w:hAnsi="宋体" w:cs="宋体"/>
          <w:kern w:val="0"/>
          <w:szCs w:val="21"/>
          <w:lang w:bidi="ar"/>
        </w:rPr>
        <w:t xml:space="preserve"> 设计</w:t>
      </w:r>
      <w:bookmarkEnd w:id="1515"/>
      <w:bookmarkEnd w:id="1516"/>
      <w:bookmarkEnd w:id="1517"/>
      <w:bookmarkEnd w:id="1518"/>
    </w:p>
    <w:p>
      <w:pPr>
        <w:widowControl/>
        <w:wordWrap w:val="0"/>
        <w:topLinePunct/>
        <w:adjustRightInd w:val="0"/>
        <w:snapToGrid w:val="0"/>
        <w:spacing w:after="163" w:afterLines="50" w:line="360" w:lineRule="auto"/>
        <w:outlineLvl w:val="2"/>
        <w:rPr>
          <w:rFonts w:ascii="宋体" w:hAnsi="宋体" w:cs="宋体"/>
        </w:rPr>
      </w:pPr>
      <w:bookmarkStart w:id="1519" w:name="_Toc20171763"/>
      <w:bookmarkEnd w:id="1519"/>
      <w:bookmarkStart w:id="1520" w:name="_Ref531952863"/>
      <w:bookmarkEnd w:id="1520"/>
      <w:bookmarkStart w:id="1521" w:name="_Ref531952860"/>
      <w:bookmarkStart w:id="1522" w:name="_Toc8951"/>
      <w:bookmarkStart w:id="1523" w:name="_Toc84930752"/>
      <w:bookmarkStart w:id="1524" w:name="_Toc51766615"/>
      <w:bookmarkStart w:id="1525" w:name="_Toc14982"/>
      <w:bookmarkStart w:id="1526" w:name="_Toc8132"/>
      <w:bookmarkStart w:id="1527" w:name="_Toc58860202"/>
      <w:bookmarkStart w:id="1528" w:name="_Toc5398"/>
      <w:bookmarkStart w:id="1529" w:name="_Toc14085"/>
      <w:bookmarkStart w:id="1530" w:name="_Toc17597"/>
      <w:r>
        <w:rPr>
          <w:rFonts w:hint="eastAsia" w:ascii="宋体" w:hAnsi="宋体" w:cs="宋体"/>
          <w:szCs w:val="21"/>
          <w:lang w:bidi="ar"/>
        </w:rPr>
        <w:t>5</w:t>
      </w:r>
      <w:bookmarkEnd w:id="1521"/>
      <w:r>
        <w:rPr>
          <w:rFonts w:hint="eastAsia" w:ascii="宋体" w:hAnsi="宋体" w:cs="宋体"/>
          <w:szCs w:val="21"/>
          <w:lang w:bidi="ar"/>
        </w:rPr>
        <w:t>.1  承包人的设计义务</w:t>
      </w:r>
      <w:bookmarkEnd w:id="1522"/>
      <w:bookmarkEnd w:id="1523"/>
      <w:bookmarkEnd w:id="1524"/>
      <w:bookmarkEnd w:id="1525"/>
      <w:bookmarkEnd w:id="1526"/>
      <w:bookmarkEnd w:id="1527"/>
      <w:bookmarkEnd w:id="1528"/>
      <w:bookmarkEnd w:id="1529"/>
      <w:bookmarkEnd w:id="1530"/>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31" w:name="_Ref531952881"/>
      <w:bookmarkEnd w:id="1531"/>
      <w:r>
        <w:rPr>
          <w:rFonts w:hint="eastAsia" w:ascii="宋体" w:hAnsi="宋体" w:cs="宋体"/>
          <w:szCs w:val="21"/>
          <w:lang w:bidi="ar"/>
        </w:rPr>
        <w:t>5.1.1设计义务的一般要求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32" w:name="_Ref531952952"/>
      <w:bookmarkEnd w:id="1532"/>
      <w:bookmarkStart w:id="1533" w:name="_Ref531952899"/>
      <w:r>
        <w:rPr>
          <w:rFonts w:hint="eastAsia" w:ascii="宋体" w:hAnsi="宋体" w:cs="宋体"/>
          <w:szCs w:val="21"/>
          <w:lang w:bidi="ar"/>
        </w:rPr>
        <w:t>5</w:t>
      </w:r>
      <w:bookmarkEnd w:id="1533"/>
      <w:r>
        <w:rPr>
          <w:rFonts w:hint="eastAsia" w:ascii="宋体" w:hAnsi="宋体" w:cs="宋体"/>
          <w:szCs w:val="21"/>
          <w:lang w:bidi="ar"/>
        </w:rPr>
        <w:t>.1.2对设计人员的要求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保证其或其设计分包人的设计资质在合同有效期内满足法律法规、行业标准或合同约定的相关要求，并指派符合法律法规、行业标准或合同约定的资质要求并具有从事设计所必需的经验与能力的设计人员完成设计工作。承包人应保证其设计人员（包括分包人的设计人员）在合同期限内，都能按时参加发包人或工程师组织的工作会议。</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5.1.3法律和标准的变化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在基准日期之后，因国家颁布新的强制性规范、标准导致承包人的费用变化的，发包人应合理调整合同价格；导致工期延误的，发包人应合理延长工期。</w:t>
      </w:r>
    </w:p>
    <w:p>
      <w:pPr>
        <w:widowControl/>
        <w:wordWrap w:val="0"/>
        <w:topLinePunct/>
        <w:adjustRightInd w:val="0"/>
        <w:snapToGrid w:val="0"/>
        <w:spacing w:after="163" w:afterLines="50" w:line="360" w:lineRule="auto"/>
        <w:outlineLvl w:val="2"/>
        <w:rPr>
          <w:rFonts w:ascii="宋体" w:hAnsi="宋体" w:cs="宋体"/>
        </w:rPr>
      </w:pPr>
      <w:bookmarkStart w:id="1534" w:name="_Toc20171764"/>
      <w:bookmarkEnd w:id="1534"/>
      <w:bookmarkStart w:id="1535" w:name="_Ref531953051"/>
      <w:bookmarkEnd w:id="1535"/>
      <w:bookmarkStart w:id="1536" w:name="_Ref531953054"/>
      <w:bookmarkStart w:id="1537" w:name="_Toc58860203"/>
      <w:bookmarkStart w:id="1538" w:name="_Toc13283"/>
      <w:bookmarkStart w:id="1539" w:name="_Toc51766616"/>
      <w:bookmarkStart w:id="1540" w:name="_Toc26614"/>
      <w:bookmarkStart w:id="1541" w:name="_Toc30533"/>
      <w:bookmarkStart w:id="1542" w:name="_Toc6911"/>
      <w:bookmarkStart w:id="1543" w:name="_Toc84930753"/>
      <w:bookmarkStart w:id="1544" w:name="_Toc24823"/>
      <w:bookmarkStart w:id="1545" w:name="_Toc25264"/>
      <w:r>
        <w:rPr>
          <w:rFonts w:hint="eastAsia" w:ascii="宋体" w:hAnsi="宋体" w:cs="宋体"/>
          <w:szCs w:val="21"/>
          <w:lang w:bidi="ar"/>
        </w:rPr>
        <w:t>5</w:t>
      </w:r>
      <w:bookmarkEnd w:id="1536"/>
      <w:r>
        <w:rPr>
          <w:rFonts w:hint="eastAsia" w:ascii="宋体" w:hAnsi="宋体" w:cs="宋体"/>
          <w:szCs w:val="21"/>
          <w:lang w:bidi="ar"/>
        </w:rPr>
        <w:t>.2  承包人文件审查</w:t>
      </w:r>
      <w:bookmarkEnd w:id="1537"/>
      <w:bookmarkEnd w:id="1538"/>
      <w:bookmarkEnd w:id="1539"/>
      <w:bookmarkEnd w:id="1540"/>
      <w:bookmarkEnd w:id="1541"/>
      <w:bookmarkEnd w:id="1542"/>
      <w:bookmarkEnd w:id="1543"/>
      <w:bookmarkEnd w:id="1544"/>
      <w:bookmarkEnd w:id="1545"/>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46" w:name="_Ref531953064"/>
      <w:bookmarkEnd w:id="1546"/>
      <w:r>
        <w:rPr>
          <w:rFonts w:hint="eastAsia" w:ascii="宋体" w:hAnsi="宋体" w:cs="宋体"/>
          <w:szCs w:val="21"/>
          <w:lang w:bidi="ar"/>
        </w:rPr>
        <w:t>5.2.1根据《发包人要求》应当通过工程师报发包人审查同意的承包人文件，承包人应当按照《发包人要求》约定的范围和内容及时报送审查。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发包人同意承包人文件的，应及时通知承包人，发包人不同意承包人文件的，应在审查期限内通过工程师以书面形式通知承包人，并说明不同意的具体内容和理由。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承包人对发包人的意见按以下方式处理：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（1）发包人的意见构成变更的，承包人应在7天内通知发包人按照第13条[变更与调整]中关于发包人指示变更的约定执行，双方对是否构成变更无法达成一致的，按照第20条[争议解决]的约定执行；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（2）因承包人原因导致无法通过审查的，承包人应根据发包人的书面说明，对承包人文件进行修改后重新报送发包人审查，审查期重新起算。因此引起的工期延长和必要的工程费用增加，由承包人负责。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合同约定的审查期满，发包人没有做出审查结论也没有提出异议的，视为承包人文件已获发包人同意。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发包人对承包人文件的审查和同意不得被理解为对合同的修改或改变，也并不减轻或免除承包人任何的责任和义务。</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5.2.2承包人文件不需要政府有关部门或专用合同条件约定的第三方审查单位审查或批准的，承包人应当严格按照经发包人审查同意的承包人文件设计和实施工程。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发包人有义务向承包人提供审查会议的批准文件和纪要。承包人有义务按照相关审查会议批准的文件和纪要，并依据合同约定及相关技术标准，对承包人文件进行修改、补充和完善。</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47" w:name="_Ref531953074"/>
      <w:bookmarkEnd w:id="1547"/>
      <w:r>
        <w:rPr>
          <w:rFonts w:hint="eastAsia" w:ascii="宋体" w:hAnsi="宋体" w:cs="宋体"/>
          <w:szCs w:val="21"/>
          <w:lang w:bidi="ar"/>
        </w:rPr>
        <w:t>5.2.3承包人文件需政府有关部门或专用合同条件约定的第三方审查单位审查或批准的，发包人应在发包人审查同意承包人文件后7天内，向政府有关部门或第三方报送承包人文件，承包人应予以协助。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pPr>
        <w:widowControl/>
        <w:wordWrap w:val="0"/>
        <w:topLinePunct/>
        <w:adjustRightInd w:val="0"/>
        <w:snapToGrid w:val="0"/>
        <w:spacing w:after="163" w:afterLines="50" w:line="360" w:lineRule="auto"/>
        <w:outlineLvl w:val="2"/>
        <w:rPr>
          <w:rFonts w:ascii="宋体" w:hAnsi="宋体" w:cs="宋体"/>
        </w:rPr>
      </w:pPr>
      <w:bookmarkStart w:id="1548" w:name="_Ref531953095"/>
      <w:bookmarkEnd w:id="1548"/>
      <w:bookmarkStart w:id="1549" w:name="_Toc20171765"/>
      <w:bookmarkEnd w:id="1549"/>
      <w:bookmarkStart w:id="1550" w:name="_Ref531953097"/>
      <w:bookmarkStart w:id="1551" w:name="_Toc1099"/>
      <w:bookmarkStart w:id="1552" w:name="_Toc12432"/>
      <w:bookmarkStart w:id="1553" w:name="_Toc5921"/>
      <w:bookmarkStart w:id="1554" w:name="_Toc16763"/>
      <w:bookmarkStart w:id="1555" w:name="_Toc58860204"/>
      <w:bookmarkStart w:id="1556" w:name="_Toc19666"/>
      <w:bookmarkStart w:id="1557" w:name="_Toc84930754"/>
      <w:bookmarkStart w:id="1558" w:name="_Toc51766617"/>
      <w:bookmarkStart w:id="1559" w:name="_Toc20355"/>
      <w:r>
        <w:rPr>
          <w:rFonts w:hint="eastAsia" w:ascii="宋体" w:hAnsi="宋体" w:cs="宋体"/>
          <w:szCs w:val="21"/>
          <w:lang w:bidi="ar"/>
        </w:rPr>
        <w:t>5</w:t>
      </w:r>
      <w:bookmarkEnd w:id="1550"/>
      <w:r>
        <w:rPr>
          <w:rFonts w:hint="eastAsia" w:ascii="宋体" w:hAnsi="宋体" w:cs="宋体"/>
          <w:szCs w:val="21"/>
          <w:lang w:bidi="ar"/>
        </w:rPr>
        <w:t>.3  培训</w:t>
      </w:r>
      <w:bookmarkEnd w:id="1551"/>
      <w:bookmarkEnd w:id="1552"/>
      <w:bookmarkEnd w:id="1553"/>
      <w:bookmarkEnd w:id="1554"/>
      <w:bookmarkEnd w:id="1555"/>
      <w:bookmarkEnd w:id="1556"/>
      <w:bookmarkEnd w:id="1557"/>
      <w:bookmarkEnd w:id="1558"/>
      <w:bookmarkEnd w:id="155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培训的时长应由双方在专用合同条件中约定，承包人应为培训提供有经验的人员、设施和其它必要条件。</w:t>
      </w:r>
    </w:p>
    <w:p>
      <w:pPr>
        <w:widowControl/>
        <w:wordWrap w:val="0"/>
        <w:topLinePunct/>
        <w:adjustRightInd w:val="0"/>
        <w:snapToGrid w:val="0"/>
        <w:spacing w:after="163" w:afterLines="50" w:line="360" w:lineRule="auto"/>
        <w:outlineLvl w:val="2"/>
        <w:rPr>
          <w:rFonts w:ascii="宋体" w:hAnsi="宋体" w:cs="宋体"/>
        </w:rPr>
      </w:pPr>
      <w:bookmarkStart w:id="1560" w:name="_Ref531953105"/>
      <w:bookmarkEnd w:id="1560"/>
      <w:bookmarkStart w:id="1561" w:name="_Toc20171766"/>
      <w:bookmarkEnd w:id="1561"/>
      <w:bookmarkStart w:id="1562" w:name="_Ref531953108"/>
      <w:bookmarkStart w:id="1563" w:name="_Toc58860205"/>
      <w:bookmarkStart w:id="1564" w:name="_Toc32213"/>
      <w:bookmarkStart w:id="1565" w:name="_Toc51766618"/>
      <w:bookmarkStart w:id="1566" w:name="_Toc84930755"/>
      <w:bookmarkStart w:id="1567" w:name="_Toc26797"/>
      <w:bookmarkStart w:id="1568" w:name="_Toc18656"/>
      <w:bookmarkStart w:id="1569" w:name="_Toc19506"/>
      <w:bookmarkStart w:id="1570" w:name="_Toc22828"/>
      <w:bookmarkStart w:id="1571" w:name="_Toc29236"/>
      <w:r>
        <w:rPr>
          <w:rFonts w:hint="eastAsia" w:ascii="宋体" w:hAnsi="宋体" w:cs="宋体"/>
          <w:szCs w:val="21"/>
          <w:lang w:bidi="ar"/>
        </w:rPr>
        <w:t>5</w:t>
      </w:r>
      <w:bookmarkEnd w:id="1562"/>
      <w:r>
        <w:rPr>
          <w:rFonts w:hint="eastAsia" w:ascii="宋体" w:hAnsi="宋体" w:cs="宋体"/>
          <w:szCs w:val="21"/>
          <w:lang w:bidi="ar"/>
        </w:rPr>
        <w:t>.4  竣工文件</w:t>
      </w:r>
      <w:bookmarkEnd w:id="1563"/>
      <w:bookmarkEnd w:id="1564"/>
      <w:bookmarkEnd w:id="1565"/>
      <w:bookmarkEnd w:id="1566"/>
      <w:bookmarkEnd w:id="1567"/>
      <w:bookmarkEnd w:id="1568"/>
      <w:bookmarkEnd w:id="1569"/>
      <w:bookmarkEnd w:id="1570"/>
      <w:bookmarkEnd w:id="1571"/>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72" w:name="_Ref531953134"/>
      <w:bookmarkEnd w:id="1572"/>
      <w:r>
        <w:rPr>
          <w:rFonts w:hint="eastAsia" w:ascii="宋体" w:hAnsi="宋体" w:cs="宋体"/>
          <w:szCs w:val="21"/>
          <w:lang w:bidi="ar"/>
        </w:rPr>
        <w:t>5.4.1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5.4.2在颁发工程接收证书之前，承包人应按照《发包人要求》的份数和形式向工程师提交相应竣工图纸，并取得工程师对尺寸、参照系统及其他有关细节的认可。工程师应按照第5.2款[承包人文件审查]的约定进行审查。</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5.4.3除专用合同条件另有约定外，在工程师收到本款下的文件前，不应认为工程已根据第10.1款[竣工验收]和第10.2款[单位/区段工程的验收]的约定完成验收。</w:t>
      </w:r>
    </w:p>
    <w:p>
      <w:pPr>
        <w:widowControl/>
        <w:wordWrap w:val="0"/>
        <w:topLinePunct/>
        <w:adjustRightInd w:val="0"/>
        <w:snapToGrid w:val="0"/>
        <w:spacing w:after="163" w:afterLines="50" w:line="360" w:lineRule="auto"/>
        <w:outlineLvl w:val="2"/>
        <w:rPr>
          <w:rFonts w:ascii="宋体" w:hAnsi="宋体" w:cs="宋体"/>
        </w:rPr>
      </w:pPr>
      <w:bookmarkStart w:id="1573" w:name="_Ref531953117"/>
      <w:bookmarkEnd w:id="1573"/>
      <w:bookmarkStart w:id="1574" w:name="_Toc20171767"/>
      <w:bookmarkEnd w:id="1574"/>
      <w:bookmarkStart w:id="1575" w:name="_Ref531953119"/>
      <w:bookmarkStart w:id="1576" w:name="_Toc58860206"/>
      <w:bookmarkStart w:id="1577" w:name="_Toc8318"/>
      <w:bookmarkStart w:id="1578" w:name="_Toc51766619"/>
      <w:bookmarkStart w:id="1579" w:name="_Toc84930756"/>
      <w:bookmarkStart w:id="1580" w:name="_Toc16964"/>
      <w:bookmarkStart w:id="1581" w:name="_Toc30445"/>
      <w:bookmarkStart w:id="1582" w:name="_Toc29964"/>
      <w:bookmarkStart w:id="1583" w:name="_Toc6468"/>
      <w:bookmarkStart w:id="1584" w:name="_Toc22298"/>
      <w:r>
        <w:rPr>
          <w:rFonts w:hint="eastAsia" w:ascii="宋体" w:hAnsi="宋体" w:cs="宋体"/>
          <w:szCs w:val="21"/>
          <w:lang w:bidi="ar"/>
        </w:rPr>
        <w:t>5</w:t>
      </w:r>
      <w:bookmarkEnd w:id="1575"/>
      <w:r>
        <w:rPr>
          <w:rFonts w:hint="eastAsia" w:ascii="宋体" w:hAnsi="宋体" w:cs="宋体"/>
          <w:szCs w:val="21"/>
          <w:lang w:bidi="ar"/>
        </w:rPr>
        <w:t>.5  操作和维修手册</w:t>
      </w:r>
      <w:bookmarkEnd w:id="1576"/>
      <w:bookmarkEnd w:id="1577"/>
      <w:bookmarkEnd w:id="1578"/>
      <w:bookmarkEnd w:id="1579"/>
      <w:bookmarkEnd w:id="1580"/>
      <w:bookmarkEnd w:id="1581"/>
      <w:bookmarkEnd w:id="1582"/>
      <w:bookmarkEnd w:id="1583"/>
      <w:bookmarkEnd w:id="1584"/>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585" w:name="_Ref531953145"/>
      <w:bookmarkEnd w:id="1585"/>
      <w:r>
        <w:rPr>
          <w:rFonts w:hint="eastAsia" w:ascii="宋体" w:hAnsi="宋体" w:cs="宋体"/>
          <w:szCs w:val="21"/>
          <w:lang w:bidi="ar"/>
        </w:rPr>
        <w:t>5</w:t>
      </w:r>
      <w:r>
        <w:rPr>
          <w:rFonts w:ascii="宋体" w:hAnsi="宋体" w:cs="宋体"/>
          <w:szCs w:val="21"/>
          <w:lang w:bidi="ar"/>
        </w:rPr>
        <w:t>.5.1</w:t>
      </w:r>
      <w:r>
        <w:rPr>
          <w:rFonts w:hint="eastAsia" w:ascii="宋体" w:hAnsi="宋体" w:cs="宋体"/>
          <w:szCs w:val="21"/>
          <w:lang w:bidi="ar"/>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w:t>
      </w:r>
      <w:r>
        <w:rPr>
          <w:rFonts w:ascii="宋体" w:hAnsi="宋体" w:cs="宋体"/>
          <w:szCs w:val="21"/>
          <w:lang w:bidi="ar"/>
        </w:rPr>
        <w:t>.5.2</w:t>
      </w:r>
      <w:r>
        <w:rPr>
          <w:rFonts w:hint="eastAsia" w:ascii="宋体" w:hAnsi="宋体" w:cs="宋体"/>
          <w:szCs w:val="21"/>
          <w:lang w:bidi="ar"/>
        </w:rPr>
        <w:t>工程师收到承包人提交的文件后，应依据第5.2款[承包人文件审查]的约定对操作和维修手册进行审查，竣工试验工程中，承包人应为任何因操作和维修手册错误或遗漏引起的风险或损失承担责任。</w:t>
      </w:r>
    </w:p>
    <w:p>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w:t>
      </w:r>
      <w:r>
        <w:rPr>
          <w:rFonts w:ascii="宋体" w:hAnsi="宋体" w:cs="宋体"/>
          <w:szCs w:val="21"/>
          <w:lang w:bidi="ar"/>
        </w:rPr>
        <w:t>.5.3</w:t>
      </w:r>
      <w:r>
        <w:rPr>
          <w:rFonts w:hint="eastAsia" w:ascii="宋体" w:hAnsi="宋体" w:cs="宋体"/>
          <w:szCs w:val="21"/>
          <w:lang w:bidi="ar"/>
        </w:rPr>
        <w:t>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pPr>
        <w:widowControl/>
        <w:wordWrap w:val="0"/>
        <w:topLinePunct/>
        <w:adjustRightInd w:val="0"/>
        <w:snapToGrid w:val="0"/>
        <w:spacing w:after="163" w:afterLines="50" w:line="360" w:lineRule="auto"/>
        <w:outlineLvl w:val="2"/>
        <w:rPr>
          <w:rFonts w:ascii="宋体" w:hAnsi="宋体" w:cs="宋体"/>
        </w:rPr>
      </w:pPr>
      <w:bookmarkStart w:id="1586" w:name="_Toc20171768"/>
      <w:bookmarkEnd w:id="1586"/>
      <w:bookmarkStart w:id="1587" w:name="_Toc7276"/>
      <w:bookmarkStart w:id="1588" w:name="_Toc22894"/>
      <w:bookmarkStart w:id="1589" w:name="_Toc51766620"/>
      <w:bookmarkStart w:id="1590" w:name="_Toc58860207"/>
      <w:bookmarkStart w:id="1591" w:name="_Toc84930757"/>
      <w:bookmarkStart w:id="1592" w:name="_Toc4269"/>
      <w:bookmarkStart w:id="1593" w:name="_Toc18460"/>
      <w:bookmarkStart w:id="1594" w:name="_Toc21217"/>
      <w:bookmarkStart w:id="1595" w:name="_Toc26666"/>
      <w:r>
        <w:rPr>
          <w:rFonts w:hint="eastAsia" w:ascii="宋体" w:hAnsi="宋体" w:cs="宋体"/>
          <w:szCs w:val="21"/>
          <w:lang w:bidi="ar"/>
        </w:rPr>
        <w:t>5.6  承包人文件错误</w:t>
      </w:r>
      <w:bookmarkEnd w:id="1587"/>
      <w:bookmarkEnd w:id="1588"/>
      <w:bookmarkEnd w:id="1589"/>
      <w:bookmarkEnd w:id="1590"/>
      <w:bookmarkEnd w:id="1591"/>
      <w:bookmarkEnd w:id="1592"/>
      <w:bookmarkEnd w:id="1593"/>
      <w:bookmarkEnd w:id="1594"/>
      <w:bookmarkEnd w:id="1595"/>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pPr>
        <w:widowControl/>
        <w:wordWrap w:val="0"/>
        <w:topLinePunct/>
        <w:adjustRightInd w:val="0"/>
        <w:snapToGrid w:val="0"/>
        <w:spacing w:after="163" w:afterLines="50" w:line="360" w:lineRule="auto"/>
        <w:outlineLvl w:val="1"/>
        <w:rPr>
          <w:rFonts w:ascii="宋体" w:hAnsi="宋体" w:cs="宋体"/>
          <w:kern w:val="0"/>
        </w:rPr>
      </w:pPr>
      <w:bookmarkStart w:id="1596" w:name="_Toc20171769"/>
      <w:bookmarkEnd w:id="1596"/>
      <w:bookmarkStart w:id="1597" w:name="_Ref531953765"/>
      <w:bookmarkEnd w:id="1597"/>
      <w:bookmarkStart w:id="1598" w:name="_Ref531953761"/>
      <w:bookmarkStart w:id="1599" w:name="_Toc16804"/>
      <w:bookmarkStart w:id="1600" w:name="_Toc24232"/>
      <w:bookmarkStart w:id="1601" w:name="_Toc23510"/>
      <w:bookmarkStart w:id="1602" w:name="_Toc29653"/>
      <w:r>
        <w:rPr>
          <w:rFonts w:hint="eastAsia" w:ascii="宋体" w:hAnsi="宋体" w:cs="宋体"/>
          <w:kern w:val="0"/>
          <w:szCs w:val="21"/>
          <w:lang w:bidi="ar"/>
        </w:rPr>
        <w:t xml:space="preserve">第6条 </w:t>
      </w:r>
      <w:bookmarkEnd w:id="1598"/>
      <w:r>
        <w:rPr>
          <w:rFonts w:hint="eastAsia" w:ascii="宋体" w:hAnsi="宋体" w:cs="宋体"/>
          <w:kern w:val="0"/>
          <w:szCs w:val="21"/>
          <w:lang w:bidi="ar"/>
        </w:rPr>
        <w:t xml:space="preserve"> 材料、工程设备</w:t>
      </w:r>
      <w:bookmarkEnd w:id="1599"/>
      <w:bookmarkEnd w:id="1600"/>
      <w:bookmarkEnd w:id="1601"/>
      <w:bookmarkEnd w:id="1602"/>
    </w:p>
    <w:p>
      <w:pPr>
        <w:widowControl/>
        <w:wordWrap w:val="0"/>
        <w:topLinePunct/>
        <w:adjustRightInd w:val="0"/>
        <w:snapToGrid w:val="0"/>
        <w:spacing w:after="163" w:afterLines="50" w:line="360" w:lineRule="auto"/>
        <w:outlineLvl w:val="2"/>
        <w:rPr>
          <w:rFonts w:ascii="宋体" w:hAnsi="宋体" w:cs="宋体"/>
        </w:rPr>
      </w:pPr>
      <w:bookmarkStart w:id="1603" w:name="_Toc20171770"/>
      <w:bookmarkEnd w:id="1603"/>
      <w:bookmarkStart w:id="1604" w:name="_Ref531953832"/>
      <w:bookmarkEnd w:id="1604"/>
      <w:bookmarkStart w:id="1605" w:name="_Ref531953828"/>
      <w:bookmarkStart w:id="1606" w:name="_Toc84930759"/>
      <w:bookmarkStart w:id="1607" w:name="_Toc23003"/>
      <w:bookmarkStart w:id="1608" w:name="_Toc58860209"/>
      <w:bookmarkStart w:id="1609" w:name="_Toc2393"/>
      <w:bookmarkStart w:id="1610" w:name="_Toc51766622"/>
      <w:bookmarkStart w:id="1611" w:name="_Toc15468"/>
      <w:bookmarkStart w:id="1612" w:name="_Toc10480"/>
      <w:bookmarkStart w:id="1613" w:name="_Toc16221"/>
      <w:bookmarkStart w:id="1614" w:name="_Toc27497"/>
      <w:r>
        <w:rPr>
          <w:rFonts w:hint="eastAsia" w:ascii="宋体" w:hAnsi="宋体" w:cs="宋体"/>
          <w:szCs w:val="21"/>
          <w:lang w:bidi="ar"/>
        </w:rPr>
        <w:t>6</w:t>
      </w:r>
      <w:bookmarkEnd w:id="1605"/>
      <w:r>
        <w:rPr>
          <w:rFonts w:hint="eastAsia" w:ascii="宋体" w:hAnsi="宋体" w:cs="宋体"/>
          <w:szCs w:val="21"/>
          <w:lang w:bidi="ar"/>
        </w:rPr>
        <w:t>.1  实施方法</w:t>
      </w:r>
      <w:bookmarkEnd w:id="1606"/>
      <w:bookmarkEnd w:id="1607"/>
      <w:bookmarkEnd w:id="1608"/>
      <w:bookmarkEnd w:id="1609"/>
      <w:bookmarkEnd w:id="1610"/>
      <w:bookmarkEnd w:id="1611"/>
      <w:bookmarkEnd w:id="1612"/>
      <w:bookmarkEnd w:id="1613"/>
      <w:bookmarkEnd w:id="1614"/>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承包人应按以下方法进行材料的加工、工程设备的采购、制造和安装、以及工程的所有其他实施作业：</w:t>
      </w:r>
    </w:p>
    <w:p>
      <w:pPr>
        <w:widowControl/>
        <w:adjustRightInd w:val="0"/>
        <w:snapToGrid w:val="0"/>
        <w:spacing w:after="163" w:afterLines="50" w:line="360" w:lineRule="auto"/>
        <w:ind w:firstLine="420" w:firstLineChars="200"/>
        <w:rPr>
          <w:rFonts w:ascii="宋体" w:hAnsi="宋体" w:cs="宋体"/>
          <w:kern w:val="0"/>
        </w:rPr>
      </w:pPr>
      <w:bookmarkStart w:id="1615" w:name="_Ref531953847"/>
      <w:bookmarkEnd w:id="1615"/>
      <w:r>
        <w:rPr>
          <w:rFonts w:hint="eastAsia" w:ascii="宋体" w:hAnsi="宋体" w:cs="宋体"/>
          <w:kern w:val="0"/>
          <w:szCs w:val="21"/>
          <w:lang w:bidi="ar"/>
        </w:rPr>
        <w:t>（1）按照法律规定和合同约定的方法；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（2）按照公认的良好行业习惯，使用恰当、审慎、先进的方法；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（3）除专用合同条件另有规定外，应使用适当配备的实施方法、设备、设施和无危险的材料。</w:t>
      </w:r>
    </w:p>
    <w:p>
      <w:pPr>
        <w:widowControl/>
        <w:wordWrap w:val="0"/>
        <w:topLinePunct/>
        <w:adjustRightInd w:val="0"/>
        <w:snapToGrid w:val="0"/>
        <w:spacing w:after="163" w:afterLines="50" w:line="360" w:lineRule="auto"/>
        <w:outlineLvl w:val="2"/>
        <w:rPr>
          <w:rFonts w:ascii="宋体" w:hAnsi="宋体" w:cs="宋体"/>
        </w:rPr>
      </w:pPr>
      <w:bookmarkStart w:id="1616" w:name="_Toc20171771"/>
      <w:bookmarkEnd w:id="1616"/>
      <w:bookmarkStart w:id="1617" w:name="_Ref11926422"/>
      <w:bookmarkEnd w:id="1617"/>
      <w:bookmarkStart w:id="1618" w:name="_Ref4427594"/>
      <w:bookmarkStart w:id="1619" w:name="_Toc23364"/>
      <w:bookmarkStart w:id="1620" w:name="_Toc51766623"/>
      <w:bookmarkStart w:id="1621" w:name="_Toc1459"/>
      <w:bookmarkStart w:id="1622" w:name="_Toc58860210"/>
      <w:bookmarkStart w:id="1623" w:name="_Toc8924"/>
      <w:bookmarkStart w:id="1624" w:name="_Toc3334"/>
      <w:bookmarkStart w:id="1625" w:name="_Toc31282"/>
      <w:bookmarkStart w:id="1626" w:name="_Toc84930760"/>
      <w:bookmarkStart w:id="1627" w:name="_Toc30446"/>
      <w:r>
        <w:rPr>
          <w:rFonts w:hint="eastAsia" w:ascii="宋体" w:hAnsi="宋体" w:cs="宋体"/>
          <w:szCs w:val="21"/>
          <w:lang w:bidi="ar"/>
        </w:rPr>
        <w:t xml:space="preserve">6.2  </w:t>
      </w:r>
      <w:bookmarkEnd w:id="1618"/>
      <w:r>
        <w:rPr>
          <w:rFonts w:hint="eastAsia" w:ascii="宋体" w:hAnsi="宋体" w:cs="宋体"/>
          <w:szCs w:val="21"/>
          <w:lang w:bidi="ar"/>
        </w:rPr>
        <w:t>材料和工程设备</w:t>
      </w:r>
      <w:bookmarkEnd w:id="1619"/>
      <w:bookmarkEnd w:id="1620"/>
      <w:bookmarkEnd w:id="1621"/>
      <w:bookmarkEnd w:id="1622"/>
      <w:bookmarkEnd w:id="1623"/>
      <w:bookmarkEnd w:id="1624"/>
      <w:bookmarkEnd w:id="1625"/>
      <w:bookmarkEnd w:id="1626"/>
      <w:bookmarkEnd w:id="1627"/>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628" w:name="_Ref11960295"/>
      <w:bookmarkEnd w:id="1628"/>
      <w:r>
        <w:rPr>
          <w:rFonts w:hint="eastAsia" w:ascii="宋体" w:hAnsi="宋体" w:cs="宋体"/>
          <w:szCs w:val="21"/>
          <w:lang w:bidi="ar"/>
        </w:rPr>
        <w:t>6.2.1发包人提供的材料和工程设备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发包人自行供应材料、工程设备的，应在订立合同时在专用合同条件的附件2《发包人供应材料设备一览表》中明确材料、工程设备的品种、规格、型号、主要参数、数量、单价、质量等级和交接地点等。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发包人提供的材料和工程设备的规格、数量或质量不符合合同要求，或由于发包人原因发生交货日期延误及交货地点变更等情况的，发包人应承担由此增加的费用和（或）工期延误，并向承包人支付合理利润。</w:t>
      </w:r>
    </w:p>
    <w:p>
      <w:pPr>
        <w:widowControl/>
        <w:adjustRightInd w:val="0"/>
        <w:snapToGrid w:val="0"/>
        <w:spacing w:after="163" w:afterLines="50" w:line="360" w:lineRule="auto"/>
        <w:ind w:firstLine="420" w:firstLineChars="200"/>
        <w:rPr>
          <w:rFonts w:ascii="宋体" w:hAnsi="宋体" w:cs="宋体"/>
        </w:rPr>
      </w:pPr>
      <w:bookmarkStart w:id="1629" w:name="_Ref531953918"/>
      <w:bookmarkEnd w:id="1629"/>
      <w:r>
        <w:rPr>
          <w:rFonts w:hint="eastAsia" w:ascii="宋体" w:hAnsi="宋体" w:cs="宋体"/>
          <w:szCs w:val="21"/>
          <w:lang w:bidi="ar"/>
        </w:rPr>
        <w:t>6.2.2承包人提供的材料和工程设备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630" w:name="_Ref531953991"/>
      <w:bookmarkEnd w:id="1630"/>
      <w:bookmarkStart w:id="1631" w:name="_Ref531953999"/>
      <w:r>
        <w:rPr>
          <w:rFonts w:hint="eastAsia" w:ascii="宋体" w:hAnsi="宋体" w:cs="宋体"/>
          <w:szCs w:val="21"/>
          <w:lang w:bidi="ar"/>
        </w:rPr>
        <w:t>6</w:t>
      </w:r>
      <w:bookmarkEnd w:id="1631"/>
      <w:r>
        <w:rPr>
          <w:rFonts w:hint="eastAsia" w:ascii="宋体" w:hAnsi="宋体" w:cs="宋体"/>
          <w:szCs w:val="21"/>
          <w:lang w:bidi="ar"/>
        </w:rPr>
        <w:t xml:space="preserve">.2.3材料和工程设备的保管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（1）发包人供应材料与工程设备的保管与使用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发包人供应的材料和工程设备，承包人清点并接收后由承包人妥善保管，保管费用由承包人承担，但专用合同条件另有约定除外。因承包人原因发生丢失毁损的，由承包人负责赔偿。</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发包人供应的材料和工程设备使用前，由承包人负责必要的检验，检验费用由发包人承担，不合格的不得使用。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（2）承包人采购材料与工程设备的保管与使用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工程师发现承包人使用不符合设计或有关标准要求的材料和工程设备时，有权要求承包人进行修复、拆除或重新采购，由此增加的费用和（或）延误的工期，由承包人承担。</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6.2.4材料和工程设备的所有权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按第</w:t>
      </w:r>
      <w:r>
        <w:rPr>
          <w:rFonts w:ascii="宋体" w:hAnsi="宋体" w:cs="宋体"/>
          <w:kern w:val="0"/>
          <w:szCs w:val="21"/>
          <w:lang w:bidi="ar"/>
        </w:rPr>
        <w:t>6.2.2项提供的材料和工程设备</w:t>
      </w:r>
      <w:r>
        <w:rPr>
          <w:rFonts w:hint="eastAsia" w:ascii="宋体" w:hAnsi="宋体" w:cs="宋体"/>
          <w:kern w:val="0"/>
          <w:szCs w:val="21"/>
          <w:lang w:bidi="ar"/>
        </w:rPr>
        <w:t>，承包人应确保发包人取得无权利负担的材料及工程设备所有权，因承包人与第三人的物权争议导致的增加的费用和（或）延误的工期，由承包人承担。</w:t>
      </w:r>
    </w:p>
    <w:p>
      <w:pPr>
        <w:widowControl/>
        <w:wordWrap w:val="0"/>
        <w:topLinePunct/>
        <w:adjustRightInd w:val="0"/>
        <w:snapToGrid w:val="0"/>
        <w:spacing w:after="163" w:afterLines="50" w:line="360" w:lineRule="auto"/>
        <w:outlineLvl w:val="2"/>
        <w:rPr>
          <w:rFonts w:ascii="宋体" w:hAnsi="宋体" w:cs="宋体"/>
        </w:rPr>
      </w:pPr>
      <w:bookmarkStart w:id="1632" w:name="_Ref4428239"/>
      <w:bookmarkEnd w:id="1632"/>
      <w:bookmarkStart w:id="1633" w:name="_Toc351203565"/>
      <w:bookmarkEnd w:id="1633"/>
      <w:bookmarkStart w:id="1634" w:name="_Toc20171772"/>
      <w:bookmarkEnd w:id="1634"/>
      <w:bookmarkStart w:id="1635" w:name="_Toc337558785"/>
      <w:bookmarkStart w:id="1636" w:name="_Toc14032"/>
      <w:bookmarkStart w:id="1637" w:name="_Toc84930761"/>
      <w:bookmarkStart w:id="1638" w:name="_Toc15400"/>
      <w:bookmarkStart w:id="1639" w:name="_Toc58860211"/>
      <w:bookmarkStart w:id="1640" w:name="_Toc51766624"/>
      <w:bookmarkStart w:id="1641" w:name="_Toc15629"/>
      <w:bookmarkStart w:id="1642" w:name="_Toc22013"/>
      <w:bookmarkStart w:id="1643" w:name="_Toc23538"/>
      <w:bookmarkStart w:id="1644" w:name="_Toc30612"/>
      <w:r>
        <w:rPr>
          <w:rFonts w:hint="eastAsia" w:ascii="宋体" w:hAnsi="宋体" w:cs="宋体"/>
          <w:szCs w:val="21"/>
          <w:lang w:bidi="ar"/>
        </w:rPr>
        <w:t>6</w:t>
      </w:r>
      <w:bookmarkEnd w:id="1635"/>
      <w:r>
        <w:rPr>
          <w:rFonts w:hint="eastAsia" w:ascii="宋体" w:hAnsi="宋体" w:cs="宋体"/>
          <w:szCs w:val="21"/>
          <w:lang w:bidi="ar"/>
        </w:rPr>
        <w:t>.3  样品</w:t>
      </w:r>
      <w:bookmarkEnd w:id="1636"/>
      <w:bookmarkEnd w:id="1637"/>
      <w:bookmarkEnd w:id="1638"/>
      <w:bookmarkEnd w:id="1639"/>
      <w:bookmarkEnd w:id="1640"/>
      <w:bookmarkEnd w:id="1641"/>
      <w:bookmarkEnd w:id="1642"/>
      <w:bookmarkEnd w:id="1643"/>
      <w:bookmarkEnd w:id="1644"/>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6.3.1样品的报送与封存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需要承包人报送样品的材料或工程设备，样品的种类、名称、规格、数量等要求均应在专用合同条件中约定。样品的报送程序如下：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在计划采购前28天向工程师报送样品。承包人报送的样品均应来自供应材料的实际生产地，且提供的样品的规格、数量足以表明材料或工程设备的质量、型号、颜色、表面处理、质地、误差和其他要求的特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（3）经工程师审批确认的样品应按约定的方法封样，封存的样品作为检验工程相关部分的标准之一。承包人在施工过程中不得使用与样品不符的材料或工程设备。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6.3.2样品的保管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经批准的样品应由工程师负责封存于现场，承包人应在现场为保存样品提供适当和固定的场所并保持适当和良好的存储环境条件。</w:t>
      </w:r>
    </w:p>
    <w:p>
      <w:pPr>
        <w:widowControl/>
        <w:wordWrap w:val="0"/>
        <w:topLinePunct/>
        <w:adjustRightInd w:val="0"/>
        <w:snapToGrid w:val="0"/>
        <w:spacing w:after="163" w:afterLines="50" w:line="360" w:lineRule="auto"/>
        <w:outlineLvl w:val="2"/>
        <w:rPr>
          <w:rFonts w:ascii="宋体" w:hAnsi="宋体" w:cs="宋体"/>
        </w:rPr>
      </w:pPr>
      <w:bookmarkStart w:id="1645" w:name="_Ref11959204"/>
      <w:bookmarkEnd w:id="1645"/>
      <w:bookmarkStart w:id="1646" w:name="_Ref11959210"/>
      <w:bookmarkEnd w:id="1646"/>
      <w:bookmarkStart w:id="1647" w:name="_Toc20171773"/>
      <w:bookmarkStart w:id="1648" w:name="_Toc22225"/>
      <w:bookmarkStart w:id="1649" w:name="_Toc8566"/>
      <w:bookmarkStart w:id="1650" w:name="_Toc51766625"/>
      <w:bookmarkStart w:id="1651" w:name="_Toc9282"/>
      <w:bookmarkStart w:id="1652" w:name="_Toc30424"/>
      <w:bookmarkStart w:id="1653" w:name="_Toc84930762"/>
      <w:bookmarkStart w:id="1654" w:name="_Toc58860212"/>
      <w:bookmarkStart w:id="1655" w:name="_Toc31351"/>
      <w:bookmarkStart w:id="1656" w:name="_Toc4851"/>
      <w:r>
        <w:rPr>
          <w:rFonts w:hint="eastAsia" w:ascii="宋体" w:hAnsi="宋体" w:cs="宋体"/>
          <w:szCs w:val="21"/>
          <w:lang w:bidi="ar"/>
        </w:rPr>
        <w:t>6</w:t>
      </w:r>
      <w:bookmarkEnd w:id="1647"/>
      <w:r>
        <w:rPr>
          <w:rFonts w:hint="eastAsia" w:ascii="宋体" w:hAnsi="宋体" w:cs="宋体"/>
          <w:szCs w:val="21"/>
          <w:lang w:bidi="ar"/>
        </w:rPr>
        <w:t>.4  质量检查</w:t>
      </w:r>
      <w:bookmarkEnd w:id="1648"/>
      <w:bookmarkEnd w:id="1649"/>
      <w:bookmarkEnd w:id="1650"/>
      <w:bookmarkEnd w:id="1651"/>
      <w:bookmarkEnd w:id="1652"/>
      <w:bookmarkEnd w:id="1653"/>
      <w:bookmarkEnd w:id="1654"/>
      <w:bookmarkEnd w:id="1655"/>
      <w:bookmarkEnd w:id="1656"/>
    </w:p>
    <w:p>
      <w:pPr>
        <w:widowControl/>
        <w:wordWrap w:val="0"/>
        <w:topLinePunct/>
        <w:adjustRightInd w:val="0"/>
        <w:snapToGrid w:val="0"/>
        <w:spacing w:after="163" w:afterLines="50" w:line="360" w:lineRule="auto"/>
        <w:ind w:left="480"/>
        <w:outlineLvl w:val="3"/>
        <w:rPr>
          <w:rFonts w:ascii="宋体" w:hAnsi="宋体" w:cs="宋体"/>
        </w:rPr>
      </w:pPr>
      <w:bookmarkStart w:id="1657" w:name="_Ref18990699"/>
      <w:bookmarkEnd w:id="1657"/>
      <w:r>
        <w:rPr>
          <w:rFonts w:hint="eastAsia" w:ascii="宋体" w:hAnsi="宋体" w:cs="宋体"/>
          <w:szCs w:val="21"/>
          <w:lang w:bidi="ar"/>
        </w:rPr>
        <w:t>6.4.1工程质量要求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工程质量标准必须符合现行国家有关工程施工质量验收规范和标准的要求。有关工程质量的特殊标准或要求由合同当事人在专用合同条件中约定。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pPr>
        <w:widowControl/>
        <w:wordWrap w:val="0"/>
        <w:topLinePunct/>
        <w:adjustRightInd w:val="0"/>
        <w:snapToGrid w:val="0"/>
        <w:spacing w:after="163" w:afterLines="50" w:line="360" w:lineRule="auto"/>
        <w:ind w:left="480"/>
        <w:outlineLvl w:val="3"/>
        <w:rPr>
          <w:rFonts w:ascii="宋体" w:hAnsi="宋体" w:cs="宋体"/>
        </w:rPr>
      </w:pPr>
      <w:bookmarkStart w:id="1658" w:name="_Ref18990717"/>
      <w:bookmarkEnd w:id="1658"/>
      <w:r>
        <w:rPr>
          <w:rFonts w:hint="eastAsia" w:ascii="宋体" w:hAnsi="宋体" w:cs="宋体"/>
          <w:szCs w:val="21"/>
          <w:lang w:bidi="ar"/>
        </w:rPr>
        <w:t>6.4.2质量检查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pPr>
        <w:widowControl/>
        <w:wordWrap w:val="0"/>
        <w:topLinePunct/>
        <w:adjustRightInd w:val="0"/>
        <w:snapToGrid w:val="0"/>
        <w:spacing w:after="163" w:afterLines="50" w:line="360" w:lineRule="auto"/>
        <w:ind w:left="480"/>
        <w:outlineLvl w:val="3"/>
        <w:rPr>
          <w:rFonts w:ascii="宋体" w:hAnsi="宋体" w:cs="宋体"/>
        </w:rPr>
      </w:pPr>
      <w:bookmarkStart w:id="1659" w:name="_Ref11959222"/>
      <w:bookmarkEnd w:id="1659"/>
      <w:r>
        <w:rPr>
          <w:rFonts w:hint="eastAsia" w:ascii="宋体" w:hAnsi="宋体" w:cs="宋体"/>
          <w:szCs w:val="21"/>
          <w:lang w:bidi="ar"/>
        </w:rPr>
        <w:t>6.4.3隐蔽工程检查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应按时到场并对隐蔽工程及其施工工艺、材料和工程设备进行检查。经工程师检查确认质量符合隐蔽要求，并在验收记录上签名后，承包人才能进行覆盖。经工程师检查质量不合格的，承包人应在工程师指示的时间内完成修复，并由工程师重新检查，由此增加的费用和（或）延误的工期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除专用合同条件另有约定外，工程师不能按时进行检查的，应提前向承包人提交书面延期要求，顺延时间不得超过</w:t>
      </w:r>
      <w:r>
        <w:rPr>
          <w:rFonts w:ascii="宋体" w:hAnsi="宋体" w:cs="宋体"/>
          <w:kern w:val="0"/>
          <w:szCs w:val="21"/>
          <w:lang w:bidi="ar"/>
        </w:rPr>
        <w:t>48小时，</w:t>
      </w:r>
      <w:r>
        <w:rPr>
          <w:rFonts w:hint="eastAsia" w:ascii="宋体" w:hAnsi="宋体" w:cs="宋体"/>
          <w:kern w:val="0"/>
          <w:szCs w:val="21"/>
          <w:lang w:bidi="ar"/>
        </w:rPr>
        <w:t>由此导致工期延误的，工期应予以顺延；顺延超过</w:t>
      </w:r>
      <w:r>
        <w:rPr>
          <w:rFonts w:ascii="宋体" w:hAnsi="宋体" w:cs="宋体"/>
          <w:kern w:val="0"/>
          <w:szCs w:val="21"/>
          <w:lang w:bidi="ar"/>
        </w:rPr>
        <w:t>48小时的，由此导致的工期延误及费用增加由发包人承担</w:t>
      </w:r>
      <w:r>
        <w:rPr>
          <w:rFonts w:hint="eastAsia" w:ascii="宋体" w:hAnsi="宋体" w:cs="宋体"/>
          <w:kern w:val="0"/>
          <w:szCs w:val="21"/>
          <w:lang w:bidi="ar"/>
        </w:rPr>
        <w:t>。工程师未按时进行检查，也未提出延期要求的，视为隐蔽工程检查合格，承包人可自行完成覆盖工作，并作相应记录报送工程师，工程师应签名确认。工程师事后对检查记录有疑问的，可按下列约定重新检查。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承包人未通知工程师到场检查，私自将工程隐蔽部位覆盖的，工程师有权指示承包人钻孔探测或揭开检查，无论工程隐蔽部位质量是否合格，由此增加的费用和（或）延误的工期均由承包人承担。</w:t>
      </w:r>
    </w:p>
    <w:p>
      <w:pPr>
        <w:widowControl/>
        <w:wordWrap w:val="0"/>
        <w:topLinePunct/>
        <w:adjustRightInd w:val="0"/>
        <w:snapToGrid w:val="0"/>
        <w:spacing w:after="163" w:afterLines="50" w:line="360" w:lineRule="auto"/>
        <w:outlineLvl w:val="2"/>
        <w:rPr>
          <w:rFonts w:ascii="宋体" w:hAnsi="宋体" w:cs="宋体"/>
        </w:rPr>
      </w:pPr>
      <w:bookmarkStart w:id="1660" w:name="_Ref11927389"/>
      <w:bookmarkEnd w:id="1660"/>
      <w:bookmarkStart w:id="1661" w:name="_Ref11959175"/>
      <w:bookmarkEnd w:id="1661"/>
      <w:bookmarkStart w:id="1662" w:name="_Ref11927403"/>
      <w:bookmarkEnd w:id="1662"/>
      <w:bookmarkStart w:id="1663" w:name="_Ref11927398"/>
      <w:bookmarkEnd w:id="1663"/>
      <w:bookmarkStart w:id="1664" w:name="_Toc20171774"/>
      <w:bookmarkEnd w:id="1664"/>
      <w:bookmarkStart w:id="1665" w:name="_Ref11959158"/>
      <w:bookmarkStart w:id="1666" w:name="_Toc84930763"/>
      <w:bookmarkStart w:id="1667" w:name="_Toc3211"/>
      <w:bookmarkStart w:id="1668" w:name="_Toc51766626"/>
      <w:bookmarkStart w:id="1669" w:name="_Toc20327"/>
      <w:bookmarkStart w:id="1670" w:name="_Toc25319"/>
      <w:bookmarkStart w:id="1671" w:name="_Toc58860213"/>
      <w:bookmarkStart w:id="1672" w:name="_Toc2017"/>
      <w:bookmarkStart w:id="1673" w:name="_Toc32071"/>
      <w:bookmarkStart w:id="1674" w:name="_Toc5140"/>
      <w:r>
        <w:rPr>
          <w:rFonts w:hint="eastAsia" w:ascii="宋体" w:hAnsi="宋体" w:cs="宋体"/>
          <w:szCs w:val="21"/>
          <w:lang w:bidi="ar"/>
        </w:rPr>
        <w:t xml:space="preserve">6.5  </w:t>
      </w:r>
      <w:bookmarkEnd w:id="1665"/>
      <w:r>
        <w:rPr>
          <w:rFonts w:hint="eastAsia" w:ascii="宋体" w:hAnsi="宋体" w:cs="宋体"/>
          <w:szCs w:val="21"/>
          <w:lang w:bidi="ar"/>
        </w:rPr>
        <w:t>由承包人试验和检验</w:t>
      </w:r>
      <w:bookmarkEnd w:id="1666"/>
      <w:bookmarkEnd w:id="1667"/>
      <w:bookmarkEnd w:id="1668"/>
      <w:bookmarkEnd w:id="1669"/>
      <w:bookmarkEnd w:id="1670"/>
      <w:bookmarkEnd w:id="1671"/>
      <w:bookmarkEnd w:id="1672"/>
      <w:bookmarkEnd w:id="1673"/>
      <w:bookmarkEnd w:id="1674"/>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6.5.1试验设备与试验人员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（2）承包人应按专用合同条件约定的试验内容、时间和地点提供试验设备、取样装置、试验场所和试验条件，并向工程师提交相应进场计划表。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承包人配置的试验设备要符合相应试验规程的要求并经过具有资质的检测单位检测，且在正式使用该试验设备前，需要经过工程师与承包人共同校定。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（3）承包人应向工程师提交试验人员的名单及其岗位、资格等证明资料，试验人员必须能够熟练进行相应的检测试验，承包人对试验人员的试验程序和试验结果的正确性负责。</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6.5.2取样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试验属于自检性质的，承包人可以单独取样。试验属于工程师抽检性质的，可由工程师取样，也可由承包人的试验人员在工程师的监督下取样。</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6.5.3材料、工程设备和工程的试验和检验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widowControl/>
        <w:wordWrap w:val="0"/>
        <w:topLinePunct/>
        <w:adjustRightInd w:val="0"/>
        <w:snapToGrid w:val="0"/>
        <w:spacing w:after="163" w:afterLines="50" w:line="360" w:lineRule="auto"/>
        <w:ind w:left="480"/>
        <w:outlineLvl w:val="3"/>
        <w:rPr>
          <w:rFonts w:ascii="宋体" w:hAnsi="宋体" w:cs="宋体"/>
        </w:rPr>
      </w:pPr>
      <w:bookmarkStart w:id="1675" w:name="_Toc351203566"/>
      <w:bookmarkEnd w:id="1675"/>
      <w:bookmarkStart w:id="1676" w:name="_Toc337558786"/>
      <w:r>
        <w:rPr>
          <w:rFonts w:hint="eastAsia" w:ascii="宋体" w:hAnsi="宋体" w:cs="宋体"/>
          <w:szCs w:val="21"/>
          <w:lang w:bidi="ar"/>
        </w:rPr>
        <w:t>6</w:t>
      </w:r>
      <w:bookmarkEnd w:id="1676"/>
      <w:r>
        <w:rPr>
          <w:rFonts w:hint="eastAsia" w:ascii="宋体" w:hAnsi="宋体" w:cs="宋体"/>
          <w:szCs w:val="21"/>
          <w:lang w:bidi="ar"/>
        </w:rPr>
        <w:t>.5.4现场工艺试验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承包人应按合同约定进行现场工艺试验。对大型的现场工艺试验，发包人认为必要时，承包人应根据发包人提出的工艺试验要求，编制工艺试验措施计划，报送发包人审查。</w:t>
      </w:r>
    </w:p>
    <w:p>
      <w:pPr>
        <w:widowControl/>
        <w:wordWrap w:val="0"/>
        <w:topLinePunct/>
        <w:adjustRightInd w:val="0"/>
        <w:snapToGrid w:val="0"/>
        <w:spacing w:after="163" w:afterLines="50" w:line="360" w:lineRule="auto"/>
        <w:outlineLvl w:val="2"/>
        <w:rPr>
          <w:rFonts w:ascii="宋体" w:hAnsi="宋体" w:cs="宋体"/>
        </w:rPr>
      </w:pPr>
      <w:bookmarkStart w:id="1677" w:name="_Ref532592784"/>
      <w:bookmarkEnd w:id="1677"/>
      <w:bookmarkStart w:id="1678" w:name="_Ref532592787"/>
      <w:bookmarkEnd w:id="1678"/>
      <w:bookmarkStart w:id="1679" w:name="_Toc20171775"/>
      <w:bookmarkStart w:id="1680" w:name="_Toc14746"/>
      <w:bookmarkStart w:id="1681" w:name="_Toc23243"/>
      <w:bookmarkStart w:id="1682" w:name="_Toc22620"/>
      <w:bookmarkStart w:id="1683" w:name="_Toc84930764"/>
      <w:bookmarkStart w:id="1684" w:name="_Toc58860214"/>
      <w:bookmarkStart w:id="1685" w:name="_Toc1616"/>
      <w:bookmarkStart w:id="1686" w:name="_Toc51766627"/>
      <w:bookmarkStart w:id="1687" w:name="_Toc24044"/>
      <w:bookmarkStart w:id="1688" w:name="_Toc21866"/>
      <w:r>
        <w:rPr>
          <w:rFonts w:hint="eastAsia" w:ascii="宋体" w:hAnsi="宋体" w:cs="宋体"/>
          <w:szCs w:val="21"/>
          <w:lang w:bidi="ar"/>
        </w:rPr>
        <w:t>6</w:t>
      </w:r>
      <w:bookmarkEnd w:id="1679"/>
      <w:r>
        <w:rPr>
          <w:rFonts w:hint="eastAsia" w:ascii="宋体" w:hAnsi="宋体" w:cs="宋体"/>
          <w:szCs w:val="21"/>
          <w:lang w:bidi="ar"/>
        </w:rPr>
        <w:t>.6  缺陷和修补</w:t>
      </w:r>
      <w:bookmarkEnd w:id="1680"/>
      <w:bookmarkEnd w:id="1681"/>
      <w:bookmarkEnd w:id="1682"/>
      <w:bookmarkEnd w:id="1683"/>
      <w:bookmarkEnd w:id="1684"/>
      <w:bookmarkEnd w:id="1685"/>
      <w:bookmarkEnd w:id="1686"/>
      <w:bookmarkEnd w:id="1687"/>
      <w:bookmarkEnd w:id="1688"/>
    </w:p>
    <w:p>
      <w:pPr>
        <w:widowControl/>
        <w:wordWrap w:val="0"/>
        <w:topLinePunct/>
        <w:adjustRightInd w:val="0"/>
        <w:snapToGrid w:val="0"/>
        <w:spacing w:after="163" w:afterLines="50" w:line="360" w:lineRule="auto"/>
        <w:ind w:left="480"/>
        <w:outlineLvl w:val="3"/>
        <w:rPr>
          <w:rFonts w:ascii="宋体" w:hAnsi="宋体" w:cs="宋体"/>
        </w:rPr>
      </w:pPr>
      <w:bookmarkStart w:id="1689" w:name="_Ref16875551"/>
      <w:bookmarkEnd w:id="1689"/>
      <w:r>
        <w:rPr>
          <w:rFonts w:hint="eastAsia" w:ascii="宋体" w:hAnsi="宋体" w:cs="宋体"/>
          <w:szCs w:val="21"/>
          <w:lang w:bidi="ar"/>
        </w:rPr>
        <w:t>6.6.1发包人可在颁发接收证书前随时指示承包人：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（1）对不符合合同要求的任何工程设备或材料进行修补，或者将其移出现场并进行更换；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（2）对不符合合同的其他工作进行修补，或者将其去除并重新实施； </w:t>
      </w:r>
    </w:p>
    <w:p>
      <w:pPr>
        <w:widowControl/>
        <w:adjustRightInd w:val="0"/>
        <w:snapToGrid w:val="0"/>
        <w:spacing w:after="163" w:afterLines="50" w:line="360" w:lineRule="auto"/>
        <w:ind w:firstLine="420" w:firstLineChars="200"/>
        <w:rPr>
          <w:rFonts w:ascii="宋体" w:hAnsi="宋体" w:cs="宋体"/>
          <w:kern w:val="0"/>
        </w:rPr>
      </w:pPr>
      <w:bookmarkStart w:id="1690" w:name="_Ref4708991"/>
      <w:bookmarkEnd w:id="1690"/>
      <w:r>
        <w:rPr>
          <w:rFonts w:hint="eastAsia" w:ascii="宋体" w:hAnsi="宋体" w:cs="宋体"/>
          <w:kern w:val="0"/>
          <w:szCs w:val="21"/>
          <w:lang w:bidi="ar"/>
        </w:rPr>
        <w:t>（3）实施因意外、不可预见的事件或其他原因引起的、为工程的安全迫切需要的任何修补工作。</w:t>
      </w:r>
    </w:p>
    <w:p>
      <w:pPr>
        <w:widowControl/>
        <w:adjustRightInd w:val="0"/>
        <w:snapToGrid w:val="0"/>
        <w:spacing w:after="163" w:afterLines="50" w:line="360" w:lineRule="auto"/>
        <w:ind w:firstLine="420" w:firstLineChars="200"/>
        <w:rPr>
          <w:rFonts w:ascii="宋体" w:hAnsi="宋体" w:cs="宋体"/>
        </w:rPr>
      </w:pPr>
      <w:bookmarkStart w:id="1691" w:name="_Ref11956964"/>
      <w:bookmarkEnd w:id="1691"/>
      <w:r>
        <w:rPr>
          <w:rFonts w:hint="eastAsia" w:ascii="宋体" w:hAnsi="宋体" w:cs="宋体"/>
          <w:szCs w:val="21"/>
          <w:lang w:bidi="ar"/>
        </w:rPr>
        <w:t>6.6.2承包人应遵守第6.6.1项下指示，并在合理可行的情况下，根据上述指示中规定的时间完成修补工作。除因下列原因引起的第6.6.1项第（3）目下的情形外，承包人应承担所有修补工作的费用：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（1）因发包人或其人员的任何行为导致的情形，且在此情况下发包人应承担因此引起的工期延误和承包人费用损失，并向承包人支付合理的利润。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（2）第17.4款[不可抗力后果的承担]中适用的不可抗力事件的情形。</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6.6.3如果承包人未能遵守发包人的指示，发包人可以自行决定请第三方完成上述修补工作，并有权要求承包人支付因未履行指示而产生的所有费用，但承包人根据第6.6.2项有权就修补工作获得支付的情况除外。</w:t>
      </w:r>
    </w:p>
    <w:p>
      <w:pPr>
        <w:widowControl/>
        <w:wordWrap w:val="0"/>
        <w:topLinePunct/>
        <w:adjustRightInd w:val="0"/>
        <w:snapToGrid w:val="0"/>
        <w:spacing w:after="163" w:afterLines="50" w:line="360" w:lineRule="auto"/>
        <w:outlineLvl w:val="1"/>
        <w:rPr>
          <w:rFonts w:ascii="宋体" w:hAnsi="宋体" w:cs="宋体"/>
          <w:kern w:val="0"/>
        </w:rPr>
      </w:pPr>
      <w:bookmarkStart w:id="1692" w:name="_Ref531954214"/>
      <w:bookmarkEnd w:id="1692"/>
      <w:bookmarkStart w:id="1693" w:name="_Toc20171776"/>
      <w:bookmarkStart w:id="1694" w:name="_Toc22996"/>
      <w:bookmarkStart w:id="1695" w:name="_Toc4451"/>
      <w:bookmarkStart w:id="1696" w:name="_Toc22588"/>
      <w:bookmarkStart w:id="1697" w:name="_Toc18412"/>
      <w:r>
        <w:rPr>
          <w:rFonts w:hint="eastAsia" w:ascii="宋体" w:hAnsi="宋体" w:cs="宋体"/>
          <w:kern w:val="0"/>
          <w:szCs w:val="21"/>
          <w:lang w:bidi="ar"/>
        </w:rPr>
        <w:t xml:space="preserve">第7条 </w:t>
      </w:r>
      <w:bookmarkEnd w:id="1693"/>
      <w:r>
        <w:rPr>
          <w:rFonts w:hint="eastAsia" w:ascii="宋体" w:hAnsi="宋体" w:cs="宋体"/>
          <w:kern w:val="0"/>
          <w:szCs w:val="21"/>
          <w:lang w:bidi="ar"/>
        </w:rPr>
        <w:t xml:space="preserve"> 施工</w:t>
      </w:r>
      <w:bookmarkEnd w:id="1694"/>
      <w:bookmarkEnd w:id="1695"/>
      <w:bookmarkEnd w:id="1696"/>
      <w:bookmarkEnd w:id="1697"/>
    </w:p>
    <w:p>
      <w:pPr>
        <w:widowControl/>
        <w:wordWrap w:val="0"/>
        <w:topLinePunct/>
        <w:adjustRightInd w:val="0"/>
        <w:snapToGrid w:val="0"/>
        <w:spacing w:after="163" w:afterLines="50" w:line="360" w:lineRule="auto"/>
        <w:outlineLvl w:val="2"/>
        <w:rPr>
          <w:rFonts w:ascii="宋体" w:hAnsi="宋体" w:cs="宋体"/>
        </w:rPr>
      </w:pPr>
      <w:bookmarkStart w:id="1698" w:name="_Ref531954272"/>
      <w:bookmarkEnd w:id="1698"/>
      <w:bookmarkStart w:id="1699" w:name="_Toc20171777"/>
      <w:bookmarkEnd w:id="1699"/>
      <w:bookmarkStart w:id="1700" w:name="_Ref531954276"/>
      <w:bookmarkEnd w:id="1700"/>
      <w:bookmarkStart w:id="1701" w:name="_Ref531954246"/>
      <w:bookmarkEnd w:id="1701"/>
      <w:bookmarkStart w:id="1702" w:name="_Ref531954260"/>
      <w:bookmarkStart w:id="1703" w:name="_Toc6801"/>
      <w:bookmarkStart w:id="1704" w:name="_Toc58860216"/>
      <w:bookmarkStart w:id="1705" w:name="_Toc26213"/>
      <w:bookmarkStart w:id="1706" w:name="_Toc12864"/>
      <w:bookmarkStart w:id="1707" w:name="_Toc24451"/>
      <w:bookmarkStart w:id="1708" w:name="_Toc19130"/>
      <w:bookmarkStart w:id="1709" w:name="_Toc51766629"/>
      <w:bookmarkStart w:id="1710" w:name="_Toc84930766"/>
      <w:bookmarkStart w:id="1711" w:name="_Toc32459"/>
      <w:r>
        <w:rPr>
          <w:rFonts w:hint="eastAsia" w:ascii="宋体" w:hAnsi="宋体" w:cs="宋体"/>
          <w:szCs w:val="21"/>
          <w:lang w:bidi="ar"/>
        </w:rPr>
        <w:t>7</w:t>
      </w:r>
      <w:bookmarkEnd w:id="1702"/>
      <w:r>
        <w:rPr>
          <w:rFonts w:hint="eastAsia" w:ascii="宋体" w:hAnsi="宋体" w:cs="宋体"/>
          <w:szCs w:val="21"/>
          <w:lang w:bidi="ar"/>
        </w:rPr>
        <w:t>.1  交通运输</w:t>
      </w:r>
      <w:bookmarkEnd w:id="1703"/>
      <w:bookmarkEnd w:id="1704"/>
      <w:bookmarkEnd w:id="1705"/>
      <w:bookmarkEnd w:id="1706"/>
      <w:bookmarkEnd w:id="1707"/>
      <w:bookmarkEnd w:id="1708"/>
      <w:bookmarkEnd w:id="1709"/>
      <w:bookmarkEnd w:id="1710"/>
      <w:bookmarkEnd w:id="1711"/>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left="480"/>
        <w:outlineLvl w:val="3"/>
        <w:rPr>
          <w:rFonts w:ascii="宋体" w:hAnsi="宋体" w:cs="宋体"/>
        </w:rPr>
      </w:pPr>
      <w:bookmarkStart w:id="1712" w:name="_Ref4422645"/>
      <w:bookmarkEnd w:id="1712"/>
      <w:r>
        <w:rPr>
          <w:rFonts w:hint="eastAsia" w:ascii="宋体" w:hAnsi="宋体" w:cs="宋体"/>
          <w:szCs w:val="21"/>
          <w:lang w:bidi="ar"/>
        </w:rPr>
        <w:t>7.1.1出入现场的权利</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pPr>
        <w:widowControl/>
        <w:wordWrap w:val="0"/>
        <w:topLinePunct/>
        <w:adjustRightInd w:val="0"/>
        <w:snapToGrid w:val="0"/>
        <w:spacing w:after="163" w:afterLines="50" w:line="360" w:lineRule="auto"/>
        <w:ind w:left="480"/>
        <w:outlineLvl w:val="3"/>
        <w:rPr>
          <w:rFonts w:ascii="宋体" w:hAnsi="宋体" w:cs="宋体"/>
        </w:rPr>
      </w:pPr>
      <w:bookmarkStart w:id="1713" w:name="_Ref18957045"/>
      <w:bookmarkEnd w:id="1713"/>
      <w:r>
        <w:rPr>
          <w:rFonts w:hint="eastAsia" w:ascii="宋体" w:hAnsi="宋体" w:cs="宋体"/>
          <w:szCs w:val="21"/>
          <w:lang w:bidi="ar"/>
        </w:rPr>
        <w:t>7.1.2场外交通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pPr>
        <w:widowControl/>
        <w:wordWrap w:val="0"/>
        <w:topLinePunct/>
        <w:adjustRightInd w:val="0"/>
        <w:snapToGrid w:val="0"/>
        <w:spacing w:after="163" w:afterLines="50" w:line="360" w:lineRule="auto"/>
        <w:ind w:left="480"/>
        <w:outlineLvl w:val="3"/>
        <w:rPr>
          <w:rFonts w:ascii="宋体" w:hAnsi="宋体" w:cs="宋体"/>
        </w:rPr>
      </w:pPr>
      <w:bookmarkStart w:id="1714" w:name="_Ref4622358"/>
      <w:bookmarkEnd w:id="1714"/>
      <w:r>
        <w:rPr>
          <w:rFonts w:hint="eastAsia" w:ascii="宋体" w:hAnsi="宋体" w:cs="宋体"/>
          <w:szCs w:val="21"/>
          <w:lang w:bidi="ar"/>
        </w:rPr>
        <w:t>7.1.3场内交通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pPr>
        <w:widowControl/>
        <w:wordWrap w:val="0"/>
        <w:topLinePunct/>
        <w:adjustRightInd w:val="0"/>
        <w:snapToGrid w:val="0"/>
        <w:spacing w:after="163" w:afterLines="50" w:line="360" w:lineRule="auto"/>
        <w:ind w:left="480"/>
        <w:outlineLvl w:val="3"/>
        <w:rPr>
          <w:rFonts w:ascii="宋体" w:hAnsi="宋体" w:cs="宋体"/>
        </w:rPr>
      </w:pPr>
      <w:bookmarkStart w:id="1715" w:name="_Ref4622376"/>
      <w:bookmarkEnd w:id="1715"/>
      <w:r>
        <w:rPr>
          <w:rFonts w:hint="eastAsia" w:ascii="宋体" w:hAnsi="宋体" w:cs="宋体"/>
          <w:szCs w:val="21"/>
          <w:lang w:bidi="ar"/>
        </w:rPr>
        <w:t>7.1.4超大件和超重件的运输</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7.1.5道路和桥梁的损坏责任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因承包人运输造成施工现场内外公共道路和桥梁损坏的，由承包人承担修复损坏的全部费用和可能引起的赔偿。</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7.1.6水路和航空运输</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本条上述各款的内容适用于水路运输和航空运输，其中“道路”一词的涵义包括河道、航线、船闸、机场、码头、堤防以及水路或航空运输中其他相似结构物；“车辆”一词的涵义包括船舶和飞机等。</w:t>
      </w:r>
    </w:p>
    <w:p>
      <w:pPr>
        <w:widowControl/>
        <w:wordWrap w:val="0"/>
        <w:topLinePunct/>
        <w:adjustRightInd w:val="0"/>
        <w:snapToGrid w:val="0"/>
        <w:spacing w:after="163" w:afterLines="50" w:line="360" w:lineRule="auto"/>
        <w:outlineLvl w:val="2"/>
        <w:rPr>
          <w:rFonts w:ascii="宋体" w:hAnsi="宋体" w:cs="宋体"/>
        </w:rPr>
      </w:pPr>
      <w:bookmarkStart w:id="1716" w:name="_Ref11919459"/>
      <w:bookmarkEnd w:id="1716"/>
      <w:bookmarkStart w:id="1717" w:name="_Ref11919294"/>
      <w:bookmarkEnd w:id="1717"/>
      <w:bookmarkStart w:id="1718" w:name="_Toc20171778"/>
      <w:bookmarkStart w:id="1719" w:name="_Toc58860217"/>
      <w:bookmarkStart w:id="1720" w:name="_Toc51766630"/>
      <w:bookmarkStart w:id="1721" w:name="_Toc1520"/>
      <w:bookmarkStart w:id="1722" w:name="_Toc84930767"/>
      <w:bookmarkStart w:id="1723" w:name="_Toc32414"/>
      <w:bookmarkStart w:id="1724" w:name="_Toc25790"/>
      <w:bookmarkStart w:id="1725" w:name="_Toc5926"/>
      <w:bookmarkStart w:id="1726" w:name="_Toc10605"/>
      <w:bookmarkStart w:id="1727" w:name="_Toc22831"/>
      <w:r>
        <w:rPr>
          <w:rFonts w:hint="eastAsia" w:ascii="宋体" w:hAnsi="宋体" w:cs="宋体"/>
          <w:szCs w:val="21"/>
          <w:lang w:bidi="ar"/>
        </w:rPr>
        <w:t>7</w:t>
      </w:r>
      <w:bookmarkEnd w:id="1718"/>
      <w:r>
        <w:rPr>
          <w:rFonts w:hint="eastAsia" w:ascii="宋体" w:hAnsi="宋体" w:cs="宋体"/>
          <w:szCs w:val="21"/>
          <w:lang w:bidi="ar"/>
        </w:rPr>
        <w:t>.2  施工设备和临时设施</w:t>
      </w:r>
      <w:bookmarkEnd w:id="1719"/>
      <w:bookmarkEnd w:id="1720"/>
      <w:bookmarkEnd w:id="1721"/>
      <w:bookmarkEnd w:id="1722"/>
      <w:bookmarkEnd w:id="1723"/>
      <w:bookmarkEnd w:id="1724"/>
      <w:bookmarkEnd w:id="1725"/>
      <w:bookmarkEnd w:id="1726"/>
      <w:bookmarkEnd w:id="1727"/>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left="480"/>
        <w:outlineLvl w:val="3"/>
        <w:rPr>
          <w:rFonts w:ascii="宋体" w:hAnsi="宋体" w:cs="宋体"/>
        </w:rPr>
      </w:pPr>
      <w:bookmarkStart w:id="1728" w:name="_Ref18990767"/>
      <w:bookmarkEnd w:id="1728"/>
      <w:bookmarkStart w:id="1729" w:name="_Ref509043186"/>
      <w:r>
        <w:rPr>
          <w:rFonts w:hint="eastAsia" w:ascii="宋体" w:hAnsi="宋体" w:cs="宋体"/>
          <w:szCs w:val="21"/>
          <w:lang w:bidi="ar"/>
        </w:rPr>
        <w:t>7</w:t>
      </w:r>
      <w:bookmarkEnd w:id="1729"/>
      <w:r>
        <w:rPr>
          <w:rFonts w:hint="eastAsia" w:ascii="宋体" w:hAnsi="宋体" w:cs="宋体"/>
          <w:szCs w:val="21"/>
          <w:lang w:bidi="ar"/>
        </w:rPr>
        <w:t>.2.1承包人提供的施工设备和临时设施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自行承担修建临时设施的费用，需要临时占地的，应由发包人办理申请手续并承担相应费用。承包人应在专用合同条件第7.2款约定的时间内向发包人提交临时占地资料，因承包人未能按时提交资料，导致工期延误的，由此增加的费用和（或）竣工日期延误，由承包人负责。</w:t>
      </w:r>
    </w:p>
    <w:p>
      <w:pPr>
        <w:widowControl/>
        <w:wordWrap w:val="0"/>
        <w:topLinePunct/>
        <w:adjustRightInd w:val="0"/>
        <w:snapToGrid w:val="0"/>
        <w:spacing w:after="163" w:afterLines="50" w:line="360" w:lineRule="auto"/>
        <w:ind w:left="480"/>
        <w:outlineLvl w:val="3"/>
        <w:rPr>
          <w:rFonts w:ascii="宋体" w:hAnsi="宋体" w:cs="宋体"/>
        </w:rPr>
      </w:pPr>
      <w:bookmarkStart w:id="1730" w:name="_Ref18990784"/>
      <w:bookmarkEnd w:id="1730"/>
      <w:r>
        <w:rPr>
          <w:rFonts w:hint="eastAsia" w:ascii="宋体" w:hAnsi="宋体" w:cs="宋体"/>
          <w:szCs w:val="21"/>
          <w:lang w:bidi="ar"/>
        </w:rPr>
        <w:t>7.2.2发包人提供的施工设备和临时设施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发包人提供的施工设备或临时设施在专用合同条件中约定。</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7.2.3要求承包人增加或更换施工设备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承包人使用的施工设备不能满足项目进度计划和（或）质量要求时，工程师有权要求承包人增加或更换施工设备，承包人应及时增加或更换，由此增加的费用和（或）延误的工期由承包人承担。</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7.2.4施工设备和临时设施专用于合同工程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pPr>
        <w:widowControl/>
        <w:wordWrap w:val="0"/>
        <w:topLinePunct/>
        <w:adjustRightInd w:val="0"/>
        <w:snapToGrid w:val="0"/>
        <w:spacing w:after="163" w:afterLines="50" w:line="360" w:lineRule="auto"/>
        <w:outlineLvl w:val="2"/>
        <w:rPr>
          <w:rFonts w:ascii="宋体" w:hAnsi="宋体" w:cs="宋体"/>
        </w:rPr>
      </w:pPr>
      <w:bookmarkStart w:id="1731" w:name="_Toc20171779"/>
      <w:bookmarkEnd w:id="1731"/>
      <w:bookmarkStart w:id="1732" w:name="_Ref11874352"/>
      <w:bookmarkStart w:id="1733" w:name="_Toc84930768"/>
      <w:bookmarkStart w:id="1734" w:name="_Toc31175"/>
      <w:bookmarkStart w:id="1735" w:name="_Toc9528"/>
      <w:bookmarkStart w:id="1736" w:name="_Toc51766631"/>
      <w:bookmarkStart w:id="1737" w:name="_Toc58860218"/>
      <w:bookmarkStart w:id="1738" w:name="_Toc31322"/>
      <w:bookmarkStart w:id="1739" w:name="_Toc11063"/>
      <w:bookmarkStart w:id="1740" w:name="_Toc9460"/>
      <w:bookmarkStart w:id="1741" w:name="_Toc3694"/>
      <w:r>
        <w:rPr>
          <w:rFonts w:hint="eastAsia" w:ascii="宋体" w:hAnsi="宋体" w:cs="宋体"/>
          <w:szCs w:val="21"/>
          <w:lang w:bidi="ar"/>
        </w:rPr>
        <w:t>7</w:t>
      </w:r>
      <w:bookmarkEnd w:id="1732"/>
      <w:r>
        <w:rPr>
          <w:rFonts w:hint="eastAsia" w:ascii="宋体" w:hAnsi="宋体" w:cs="宋体"/>
          <w:szCs w:val="21"/>
          <w:lang w:bidi="ar"/>
        </w:rPr>
        <w:t>.3  现场合作</w:t>
      </w:r>
      <w:bookmarkEnd w:id="1733"/>
      <w:bookmarkEnd w:id="1734"/>
      <w:bookmarkEnd w:id="1735"/>
      <w:bookmarkEnd w:id="1736"/>
      <w:bookmarkEnd w:id="1737"/>
      <w:bookmarkEnd w:id="1738"/>
      <w:bookmarkEnd w:id="1739"/>
      <w:bookmarkEnd w:id="1740"/>
      <w:bookmarkEnd w:id="1741"/>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承包人应按合同约定或发包人的指示，与发包人人员、发包人的其他承包人等人员就在现场或附近实施与工程有关的各项工作进行合作并提供适当条件，包括使用承包人设备、临时工程或进入现场等。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承包人应对其在现场的施工活动负责，并应尽合理努力按合同约定或发包人的指示，协调自身与发包人人员、发包人的其他承包人等人员的活动。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pPr>
        <w:widowControl/>
        <w:wordWrap w:val="0"/>
        <w:topLinePunct/>
        <w:adjustRightInd w:val="0"/>
        <w:snapToGrid w:val="0"/>
        <w:spacing w:after="163" w:afterLines="50" w:line="360" w:lineRule="auto"/>
        <w:outlineLvl w:val="2"/>
        <w:rPr>
          <w:rFonts w:ascii="宋体" w:hAnsi="宋体" w:cs="宋体"/>
        </w:rPr>
      </w:pPr>
      <w:bookmarkStart w:id="1742" w:name="_Ref531954285"/>
      <w:bookmarkEnd w:id="1742"/>
      <w:bookmarkStart w:id="1743" w:name="_Toc20171780"/>
      <w:bookmarkEnd w:id="1743"/>
      <w:bookmarkStart w:id="1744" w:name="_Ref531954287"/>
      <w:bookmarkStart w:id="1745" w:name="_Toc23624"/>
      <w:bookmarkStart w:id="1746" w:name="_Toc11505"/>
      <w:bookmarkStart w:id="1747" w:name="_Toc9712"/>
      <w:bookmarkStart w:id="1748" w:name="_Toc31252"/>
      <w:bookmarkStart w:id="1749" w:name="_Toc6876"/>
      <w:bookmarkStart w:id="1750" w:name="_Toc84930769"/>
      <w:bookmarkStart w:id="1751" w:name="_Toc58860219"/>
      <w:bookmarkStart w:id="1752" w:name="_Toc51766632"/>
      <w:bookmarkStart w:id="1753" w:name="_Toc7454"/>
      <w:r>
        <w:rPr>
          <w:rFonts w:hint="eastAsia" w:ascii="宋体" w:hAnsi="宋体" w:cs="宋体"/>
          <w:szCs w:val="21"/>
          <w:lang w:bidi="ar"/>
        </w:rPr>
        <w:t>7</w:t>
      </w:r>
      <w:bookmarkEnd w:id="1744"/>
      <w:r>
        <w:rPr>
          <w:rFonts w:hint="eastAsia" w:ascii="宋体" w:hAnsi="宋体" w:cs="宋体"/>
          <w:szCs w:val="21"/>
          <w:lang w:bidi="ar"/>
        </w:rPr>
        <w:t>.4  测量放线</w:t>
      </w:r>
      <w:bookmarkEnd w:id="1745"/>
      <w:bookmarkEnd w:id="1746"/>
      <w:bookmarkEnd w:id="1747"/>
      <w:bookmarkEnd w:id="1748"/>
      <w:bookmarkEnd w:id="1749"/>
      <w:bookmarkEnd w:id="1750"/>
      <w:bookmarkEnd w:id="1751"/>
      <w:bookmarkEnd w:id="1752"/>
      <w:bookmarkEnd w:id="1753"/>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7.4.1除专用合同条件另有约定外，承包人应根据国家测绘基准、测绘系统和工程测量技术规范，按基准点（线）以及合同工程精度要求，测设施工控制网，并在专用合同条件约定的期限内，将施工控制网资料报送工程师。</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7.4.2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7.4.3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pPr>
        <w:widowControl/>
        <w:wordWrap w:val="0"/>
        <w:topLinePunct/>
        <w:adjustRightInd w:val="0"/>
        <w:snapToGrid w:val="0"/>
        <w:spacing w:after="163" w:afterLines="50" w:line="360" w:lineRule="auto"/>
        <w:outlineLvl w:val="2"/>
        <w:rPr>
          <w:rFonts w:ascii="宋体" w:hAnsi="宋体" w:cs="宋体"/>
        </w:rPr>
      </w:pPr>
      <w:bookmarkStart w:id="1754" w:name="_Ref531954329"/>
      <w:bookmarkEnd w:id="1754"/>
      <w:bookmarkStart w:id="1755" w:name="_Ref531954323"/>
      <w:bookmarkEnd w:id="1755"/>
      <w:bookmarkStart w:id="1756" w:name="_Toc20171781"/>
      <w:bookmarkEnd w:id="1756"/>
      <w:bookmarkStart w:id="1757" w:name="_Ref4770992"/>
      <w:bookmarkStart w:id="1758" w:name="_Toc84930770"/>
      <w:bookmarkStart w:id="1759" w:name="_Toc51766633"/>
      <w:bookmarkStart w:id="1760" w:name="_Toc7209"/>
      <w:bookmarkStart w:id="1761" w:name="_Toc3085"/>
      <w:bookmarkStart w:id="1762" w:name="_Toc1396"/>
      <w:bookmarkStart w:id="1763" w:name="_Toc12135"/>
      <w:bookmarkStart w:id="1764" w:name="_Toc12850"/>
      <w:bookmarkStart w:id="1765" w:name="_Toc58860220"/>
      <w:bookmarkStart w:id="1766" w:name="_Toc12978"/>
      <w:r>
        <w:rPr>
          <w:rFonts w:hint="eastAsia" w:ascii="宋体" w:hAnsi="宋体" w:cs="宋体"/>
          <w:szCs w:val="21"/>
          <w:lang w:bidi="ar"/>
        </w:rPr>
        <w:t>7</w:t>
      </w:r>
      <w:bookmarkEnd w:id="1757"/>
      <w:r>
        <w:rPr>
          <w:rFonts w:hint="eastAsia" w:ascii="宋体" w:hAnsi="宋体" w:cs="宋体"/>
          <w:szCs w:val="21"/>
          <w:lang w:bidi="ar"/>
        </w:rPr>
        <w:t>.5  现场劳动用工</w:t>
      </w:r>
      <w:bookmarkEnd w:id="1758"/>
      <w:bookmarkEnd w:id="1759"/>
      <w:bookmarkEnd w:id="1760"/>
      <w:bookmarkEnd w:id="1761"/>
      <w:bookmarkEnd w:id="1762"/>
      <w:bookmarkEnd w:id="1763"/>
      <w:bookmarkEnd w:id="1764"/>
      <w:bookmarkEnd w:id="1765"/>
      <w:bookmarkEnd w:id="176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7.5.1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7.5.2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7.5.3承包人应当按照相关法律法规的要求，进行劳动用工管理和建筑工人工资支付。</w:t>
      </w:r>
    </w:p>
    <w:p>
      <w:pPr>
        <w:widowControl/>
        <w:wordWrap w:val="0"/>
        <w:topLinePunct/>
        <w:adjustRightInd w:val="0"/>
        <w:snapToGrid w:val="0"/>
        <w:spacing w:after="163" w:afterLines="50" w:line="360" w:lineRule="auto"/>
        <w:outlineLvl w:val="2"/>
        <w:rPr>
          <w:rFonts w:ascii="宋体" w:hAnsi="宋体" w:cs="宋体"/>
        </w:rPr>
      </w:pPr>
      <w:bookmarkStart w:id="1767" w:name="_Ref41554059"/>
      <w:bookmarkEnd w:id="1767"/>
      <w:bookmarkStart w:id="1768" w:name="_Toc18453"/>
      <w:bookmarkStart w:id="1769" w:name="_Toc22197"/>
      <w:bookmarkStart w:id="1770" w:name="_Toc1592"/>
      <w:bookmarkStart w:id="1771" w:name="_Toc26651"/>
      <w:bookmarkStart w:id="1772" w:name="_Toc27702"/>
      <w:bookmarkStart w:id="1773" w:name="_Toc58860221"/>
      <w:bookmarkStart w:id="1774" w:name="_Toc51766634"/>
      <w:bookmarkStart w:id="1775" w:name="_Toc84930771"/>
      <w:bookmarkStart w:id="1776" w:name="_Toc29607"/>
      <w:r>
        <w:rPr>
          <w:rFonts w:hint="eastAsia" w:ascii="宋体" w:hAnsi="宋体" w:cs="宋体"/>
          <w:szCs w:val="21"/>
          <w:lang w:bidi="ar"/>
        </w:rPr>
        <w:t>7.6  安全文明施工</w:t>
      </w:r>
      <w:bookmarkEnd w:id="1768"/>
      <w:bookmarkEnd w:id="1769"/>
      <w:bookmarkEnd w:id="1770"/>
      <w:bookmarkEnd w:id="1771"/>
      <w:bookmarkEnd w:id="1772"/>
      <w:bookmarkEnd w:id="1773"/>
      <w:bookmarkEnd w:id="1774"/>
      <w:bookmarkEnd w:id="1775"/>
      <w:bookmarkEnd w:id="1776"/>
    </w:p>
    <w:p>
      <w:pPr>
        <w:widowControl/>
        <w:wordWrap w:val="0"/>
        <w:topLinePunct/>
        <w:adjustRightInd w:val="0"/>
        <w:snapToGrid w:val="0"/>
        <w:spacing w:after="163" w:afterLines="50" w:line="360" w:lineRule="auto"/>
        <w:ind w:left="480"/>
        <w:outlineLvl w:val="3"/>
        <w:rPr>
          <w:rFonts w:ascii="宋体" w:hAnsi="宋体" w:cs="宋体"/>
        </w:rPr>
      </w:pPr>
      <w:bookmarkStart w:id="1777" w:name="_Ref18990822"/>
      <w:bookmarkEnd w:id="1777"/>
      <w:r>
        <w:rPr>
          <w:rFonts w:hint="eastAsia" w:ascii="宋体" w:hAnsi="宋体" w:cs="宋体"/>
          <w:szCs w:val="21"/>
          <w:lang w:bidi="ar"/>
        </w:rPr>
        <w:t>7.6.1安全生产要求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因安全生产需要暂停施工的，按照第8.9款[暂停工作]的约定执行。</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7.6.2安全生产保证措施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pPr>
        <w:widowControl/>
        <w:wordWrap w:val="0"/>
        <w:topLinePunct/>
        <w:adjustRightInd w:val="0"/>
        <w:snapToGrid w:val="0"/>
        <w:spacing w:after="163" w:afterLines="50" w:line="360" w:lineRule="auto"/>
        <w:ind w:left="480"/>
        <w:outlineLvl w:val="3"/>
        <w:rPr>
          <w:rFonts w:ascii="宋体" w:hAnsi="宋体" w:cs="宋体"/>
        </w:rPr>
      </w:pPr>
      <w:bookmarkStart w:id="1778" w:name="_Ref18990840"/>
      <w:bookmarkEnd w:id="1778"/>
      <w:r>
        <w:rPr>
          <w:rFonts w:hint="eastAsia" w:ascii="宋体" w:hAnsi="宋体" w:cs="宋体"/>
          <w:szCs w:val="21"/>
          <w:lang w:bidi="ar"/>
        </w:rPr>
        <w:t>7.6.3文明施工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承包人在工程施工期间，应当采取措施保持施工现场平整，物料堆放整齐。工程所在地有关政府行政管理部门有特殊要求的，按照其要求执行。合同当事人对文明施工有其他要求的，可以在专用合同条件中明确。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7.6.4事故处理</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7.6.5安全生产责任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发包人应负责赔偿以下各种情况造成的损失：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（1）工程或工程的任何部分对土地的占用所造成的第三者财产损失；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（2）由于发包人原因在施工现场及其毗邻地带、履行合同工作中造成的第三者人身伤亡和财产损失；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（3）由于发包人原因对发包人自身、承包人、工程师造成的人身伤害和财产损失。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承包人应负责赔偿由于承包人原因在施工现场及其毗邻地带、履行合同工作中造成的第三者人身伤亡和财产损失。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如果上述损失是由于发包人和承包人共同原因导致的，则双方应根据过错情况按比例承担。</w:t>
      </w:r>
    </w:p>
    <w:p>
      <w:pPr>
        <w:widowControl/>
        <w:wordWrap w:val="0"/>
        <w:topLinePunct/>
        <w:adjustRightInd w:val="0"/>
        <w:snapToGrid w:val="0"/>
        <w:spacing w:after="163" w:afterLines="50" w:line="360" w:lineRule="auto"/>
        <w:outlineLvl w:val="2"/>
        <w:rPr>
          <w:rFonts w:ascii="宋体" w:hAnsi="宋体" w:cs="宋体"/>
        </w:rPr>
      </w:pPr>
      <w:bookmarkStart w:id="1779" w:name="_Ref11874562"/>
      <w:bookmarkEnd w:id="1779"/>
      <w:bookmarkStart w:id="1780" w:name="_Toc20171782"/>
      <w:bookmarkEnd w:id="1780"/>
      <w:bookmarkStart w:id="1781" w:name="_Ref41554069"/>
      <w:bookmarkStart w:id="1782" w:name="_Toc58860222"/>
      <w:bookmarkStart w:id="1783" w:name="_Toc84930772"/>
      <w:bookmarkStart w:id="1784" w:name="_Toc508"/>
      <w:bookmarkStart w:id="1785" w:name="_Toc10762"/>
      <w:bookmarkStart w:id="1786" w:name="_Toc5946"/>
      <w:bookmarkStart w:id="1787" w:name="_Toc19174"/>
      <w:bookmarkStart w:id="1788" w:name="_Toc2587"/>
      <w:bookmarkStart w:id="1789" w:name="_Toc51766635"/>
      <w:bookmarkStart w:id="1790" w:name="_Toc847"/>
      <w:r>
        <w:rPr>
          <w:rFonts w:hint="eastAsia" w:ascii="宋体" w:hAnsi="宋体" w:cs="宋体"/>
          <w:szCs w:val="21"/>
          <w:lang w:bidi="ar"/>
        </w:rPr>
        <w:t xml:space="preserve">7.7  </w:t>
      </w:r>
      <w:bookmarkEnd w:id="1781"/>
      <w:r>
        <w:rPr>
          <w:rFonts w:hint="eastAsia" w:ascii="宋体" w:hAnsi="宋体" w:cs="宋体"/>
          <w:szCs w:val="21"/>
          <w:lang w:bidi="ar"/>
        </w:rPr>
        <w:t>职业健康</w:t>
      </w:r>
      <w:bookmarkEnd w:id="1782"/>
      <w:bookmarkEnd w:id="1783"/>
      <w:bookmarkEnd w:id="1784"/>
      <w:bookmarkEnd w:id="1785"/>
      <w:bookmarkEnd w:id="1786"/>
      <w:bookmarkEnd w:id="1787"/>
      <w:bookmarkEnd w:id="1788"/>
      <w:bookmarkEnd w:id="1789"/>
      <w:bookmarkEnd w:id="1790"/>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承包人应遵守适用的职业健康的法律和合同约定（包括对雇用、职业健康、安全、福利等方面的规定），负责现场实施过程中其人员的职业健康和保护，包括：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pPr>
        <w:widowControl/>
        <w:wordWrap w:val="0"/>
        <w:topLinePunct/>
        <w:adjustRightInd w:val="0"/>
        <w:snapToGrid w:val="0"/>
        <w:spacing w:after="163" w:afterLines="50" w:line="360" w:lineRule="auto"/>
        <w:outlineLvl w:val="2"/>
        <w:rPr>
          <w:rFonts w:ascii="宋体" w:hAnsi="宋体" w:cs="宋体"/>
        </w:rPr>
      </w:pPr>
      <w:bookmarkStart w:id="1791" w:name="_Toc20171783"/>
      <w:bookmarkEnd w:id="1791"/>
      <w:bookmarkStart w:id="1792" w:name="_Ref11874570"/>
      <w:bookmarkStart w:id="1793" w:name="_Toc8767"/>
      <w:bookmarkStart w:id="1794" w:name="_Toc24057"/>
      <w:bookmarkStart w:id="1795" w:name="_Toc6609"/>
      <w:bookmarkStart w:id="1796" w:name="_Toc11795"/>
      <w:bookmarkStart w:id="1797" w:name="_Toc51766636"/>
      <w:bookmarkStart w:id="1798" w:name="_Toc58860223"/>
      <w:bookmarkStart w:id="1799" w:name="_Toc10977"/>
      <w:bookmarkStart w:id="1800" w:name="_Toc84930773"/>
      <w:bookmarkStart w:id="1801" w:name="_Toc18369"/>
      <w:r>
        <w:rPr>
          <w:rFonts w:hint="eastAsia" w:ascii="宋体" w:hAnsi="宋体" w:cs="宋体"/>
          <w:szCs w:val="21"/>
          <w:lang w:bidi="ar"/>
        </w:rPr>
        <w:t>7</w:t>
      </w:r>
      <w:bookmarkEnd w:id="1792"/>
      <w:r>
        <w:rPr>
          <w:rFonts w:hint="eastAsia" w:ascii="宋体" w:hAnsi="宋体" w:cs="宋体"/>
          <w:szCs w:val="21"/>
          <w:lang w:bidi="ar"/>
        </w:rPr>
        <w:t>.8  环境保护</w:t>
      </w:r>
      <w:bookmarkEnd w:id="1793"/>
      <w:bookmarkEnd w:id="1794"/>
      <w:bookmarkEnd w:id="1795"/>
      <w:bookmarkEnd w:id="1796"/>
      <w:bookmarkEnd w:id="1797"/>
      <w:bookmarkEnd w:id="1798"/>
      <w:bookmarkEnd w:id="1799"/>
      <w:bookmarkEnd w:id="1800"/>
      <w:bookmarkEnd w:id="1801"/>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7.8.1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7.8.2承包人应采取措施，并负责控制和（或）处理现场的粉尘、废气、废水、固体废物和噪声对环境的污染和危害。因此发生的伤害、赔偿、罚款等费用增加，和（或）竣工日期延误，由承包人负责。</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7.8.3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pPr>
        <w:widowControl/>
        <w:wordWrap w:val="0"/>
        <w:topLinePunct/>
        <w:adjustRightInd w:val="0"/>
        <w:snapToGrid w:val="0"/>
        <w:spacing w:after="163" w:afterLines="50" w:line="360" w:lineRule="auto"/>
        <w:outlineLvl w:val="2"/>
        <w:rPr>
          <w:rFonts w:ascii="宋体" w:hAnsi="宋体" w:cs="宋体"/>
        </w:rPr>
      </w:pPr>
      <w:bookmarkStart w:id="1802" w:name="_Ref531954344"/>
      <w:bookmarkEnd w:id="1802"/>
      <w:bookmarkStart w:id="1803" w:name="_Ref531954340"/>
      <w:bookmarkEnd w:id="1803"/>
      <w:bookmarkStart w:id="1804" w:name="_Toc20171784"/>
      <w:bookmarkEnd w:id="1804"/>
      <w:bookmarkStart w:id="1805" w:name="_Ref4771116"/>
      <w:bookmarkStart w:id="1806" w:name="_Toc84930774"/>
      <w:bookmarkStart w:id="1807" w:name="_Toc11643"/>
      <w:bookmarkStart w:id="1808" w:name="_Toc3129"/>
      <w:bookmarkStart w:id="1809" w:name="_Toc25125"/>
      <w:bookmarkStart w:id="1810" w:name="_Toc9742"/>
      <w:bookmarkStart w:id="1811" w:name="_Toc58860224"/>
      <w:bookmarkStart w:id="1812" w:name="_Toc51766637"/>
      <w:bookmarkStart w:id="1813" w:name="_Toc19868"/>
      <w:bookmarkStart w:id="1814" w:name="_Toc7996"/>
      <w:r>
        <w:rPr>
          <w:rFonts w:hint="eastAsia" w:ascii="宋体" w:hAnsi="宋体" w:cs="宋体"/>
          <w:szCs w:val="21"/>
          <w:lang w:bidi="ar"/>
        </w:rPr>
        <w:t>7</w:t>
      </w:r>
      <w:bookmarkEnd w:id="1805"/>
      <w:r>
        <w:rPr>
          <w:rFonts w:hint="eastAsia" w:ascii="宋体" w:hAnsi="宋体" w:cs="宋体"/>
          <w:szCs w:val="21"/>
          <w:lang w:bidi="ar"/>
        </w:rPr>
        <w:t>.9  临时性公用设施</w:t>
      </w:r>
      <w:bookmarkEnd w:id="1806"/>
      <w:bookmarkEnd w:id="1807"/>
      <w:bookmarkEnd w:id="1808"/>
      <w:bookmarkEnd w:id="1809"/>
      <w:bookmarkEnd w:id="1810"/>
      <w:bookmarkEnd w:id="1811"/>
      <w:bookmarkEnd w:id="1812"/>
      <w:bookmarkEnd w:id="1813"/>
      <w:bookmarkEnd w:id="1814"/>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7.9.1提供临时用水、用电等和节点铺设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7.9.2临时用水、用电等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因承包人未能按合同约定提交上述资料，造成发包人费用增加和竣工日期延误时，由承包人负责。</w:t>
      </w:r>
      <w:bookmarkStart w:id="1815" w:name="_Ref508893743"/>
      <w:bookmarkEnd w:id="1815"/>
    </w:p>
    <w:p>
      <w:pPr>
        <w:widowControl/>
        <w:wordWrap w:val="0"/>
        <w:topLinePunct/>
        <w:adjustRightInd w:val="0"/>
        <w:snapToGrid w:val="0"/>
        <w:spacing w:after="163" w:afterLines="50" w:line="360" w:lineRule="auto"/>
        <w:outlineLvl w:val="2"/>
        <w:rPr>
          <w:rFonts w:ascii="宋体" w:hAnsi="宋体" w:cs="宋体"/>
        </w:rPr>
      </w:pPr>
      <w:bookmarkStart w:id="1816" w:name="_Ref531952248"/>
      <w:bookmarkEnd w:id="1816"/>
      <w:bookmarkStart w:id="1817" w:name="_Ref531952239"/>
      <w:bookmarkEnd w:id="1817"/>
      <w:bookmarkStart w:id="1818" w:name="_Toc20171785"/>
      <w:bookmarkStart w:id="1819" w:name="_Toc51766638"/>
      <w:bookmarkStart w:id="1820" w:name="_Toc58860225"/>
      <w:bookmarkStart w:id="1821" w:name="_Toc12305"/>
      <w:bookmarkStart w:id="1822" w:name="_Toc1222"/>
      <w:bookmarkStart w:id="1823" w:name="_Toc84930775"/>
      <w:bookmarkStart w:id="1824" w:name="_Toc32634"/>
      <w:bookmarkStart w:id="1825" w:name="_Toc21204"/>
      <w:bookmarkStart w:id="1826" w:name="_Toc32074"/>
      <w:bookmarkStart w:id="1827" w:name="_Toc25224"/>
      <w:r>
        <w:rPr>
          <w:rFonts w:hint="eastAsia" w:ascii="宋体" w:hAnsi="宋体" w:cs="宋体"/>
          <w:szCs w:val="21"/>
          <w:lang w:bidi="ar"/>
        </w:rPr>
        <w:t>7</w:t>
      </w:r>
      <w:bookmarkEnd w:id="1818"/>
      <w:r>
        <w:rPr>
          <w:rFonts w:hint="eastAsia" w:ascii="宋体" w:hAnsi="宋体" w:cs="宋体"/>
          <w:szCs w:val="21"/>
          <w:lang w:bidi="ar"/>
        </w:rPr>
        <w:t>.10  现场安保</w:t>
      </w:r>
      <w:bookmarkEnd w:id="1819"/>
      <w:bookmarkEnd w:id="1820"/>
      <w:bookmarkEnd w:id="1821"/>
      <w:bookmarkEnd w:id="1822"/>
      <w:bookmarkEnd w:id="1823"/>
      <w:bookmarkEnd w:id="1824"/>
      <w:bookmarkEnd w:id="1825"/>
      <w:bookmarkEnd w:id="1826"/>
      <w:bookmarkEnd w:id="182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承包人应将其作业限制在现场区域、合同约定的区域或为履行合同所需的区域内。承包人应采取一切必要的预防措施，以保持承包人的设备和人员处于现场区域内，避免其进入邻近地区。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承包人为履行合同义务而占用的其他场所（如预制加工场所、办公及生活营区） 的安保适用本款前述关于现场安保的规定。</w:t>
      </w:r>
    </w:p>
    <w:p>
      <w:pPr>
        <w:widowControl/>
        <w:wordWrap w:val="0"/>
        <w:topLinePunct/>
        <w:adjustRightInd w:val="0"/>
        <w:snapToGrid w:val="0"/>
        <w:spacing w:after="163" w:afterLines="50" w:line="360" w:lineRule="auto"/>
        <w:outlineLvl w:val="2"/>
        <w:rPr>
          <w:rFonts w:ascii="宋体" w:hAnsi="宋体" w:cs="宋体"/>
        </w:rPr>
      </w:pPr>
      <w:bookmarkStart w:id="1828" w:name="_Toc20171786"/>
      <w:bookmarkEnd w:id="1828"/>
      <w:bookmarkStart w:id="1829" w:name="_Toc23374"/>
      <w:bookmarkStart w:id="1830" w:name="_Toc5695"/>
      <w:bookmarkStart w:id="1831" w:name="_Toc58860226"/>
      <w:bookmarkStart w:id="1832" w:name="_Toc583"/>
      <w:bookmarkStart w:id="1833" w:name="_Toc23509"/>
      <w:bookmarkStart w:id="1834" w:name="_Toc51766639"/>
      <w:bookmarkStart w:id="1835" w:name="_Toc1951"/>
      <w:bookmarkStart w:id="1836" w:name="_Toc84930776"/>
      <w:bookmarkStart w:id="1837" w:name="_Toc21208"/>
      <w:r>
        <w:rPr>
          <w:rFonts w:hint="eastAsia" w:ascii="宋体" w:hAnsi="宋体" w:cs="宋体"/>
          <w:szCs w:val="21"/>
          <w:lang w:bidi="ar"/>
        </w:rPr>
        <w:t>7.11  工程照管</w:t>
      </w:r>
      <w:bookmarkEnd w:id="1829"/>
      <w:bookmarkEnd w:id="1830"/>
      <w:bookmarkEnd w:id="1831"/>
      <w:bookmarkEnd w:id="1832"/>
      <w:bookmarkEnd w:id="1833"/>
      <w:bookmarkEnd w:id="1834"/>
      <w:bookmarkEnd w:id="1835"/>
      <w:bookmarkEnd w:id="1836"/>
      <w:bookmarkEnd w:id="183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自开始现场施工日期起至发包人应当接收工程之日止，承包人应承担工程现场、材料、设备及承包人文件的照管和维护工作。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如部分工程于竣工验收前提前交付发包人的，则自交付之日起，该部分工程照管及维护职责由发包人承担。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如发包人及承包人进行竣工验收时尚有部分未竣工工程的，承包人应负责该未竣工工程的照管和维护工作，直至竣工后移交给发包人。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如合同解除或终止的，承包人自合同解除或终止之日起不再对工程承担照管和维护义务。</w:t>
      </w:r>
    </w:p>
    <w:p>
      <w:pPr>
        <w:widowControl/>
        <w:wordWrap w:val="0"/>
        <w:topLinePunct/>
        <w:adjustRightInd w:val="0"/>
        <w:snapToGrid w:val="0"/>
        <w:spacing w:after="163" w:afterLines="50" w:line="360" w:lineRule="auto"/>
        <w:outlineLvl w:val="1"/>
        <w:rPr>
          <w:rFonts w:ascii="宋体" w:hAnsi="宋体" w:cs="宋体"/>
          <w:kern w:val="0"/>
        </w:rPr>
      </w:pPr>
      <w:bookmarkStart w:id="1838" w:name="_Ref531954518"/>
      <w:bookmarkEnd w:id="1838"/>
      <w:bookmarkStart w:id="1839" w:name="_Toc20171787"/>
      <w:bookmarkEnd w:id="1839"/>
      <w:bookmarkStart w:id="1840" w:name="_Ref508998009"/>
      <w:bookmarkEnd w:id="1840"/>
      <w:bookmarkStart w:id="1841" w:name="_Ref531954505"/>
      <w:bookmarkStart w:id="1842" w:name="_Toc30677"/>
      <w:bookmarkStart w:id="1843" w:name="_Toc5871"/>
      <w:bookmarkStart w:id="1844" w:name="_Toc6502"/>
      <w:bookmarkStart w:id="1845" w:name="_Toc19713"/>
      <w:r>
        <w:rPr>
          <w:rFonts w:hint="eastAsia" w:ascii="宋体" w:hAnsi="宋体" w:cs="宋体"/>
          <w:kern w:val="0"/>
          <w:szCs w:val="21"/>
          <w:lang w:bidi="ar"/>
        </w:rPr>
        <w:t>第</w:t>
      </w:r>
      <w:bookmarkEnd w:id="1841"/>
      <w:r>
        <w:rPr>
          <w:rFonts w:hint="eastAsia" w:ascii="宋体" w:hAnsi="宋体" w:cs="宋体"/>
          <w:kern w:val="0"/>
          <w:szCs w:val="21"/>
          <w:lang w:bidi="ar"/>
        </w:rPr>
        <w:t>8条  工期和进度</w:t>
      </w:r>
      <w:bookmarkEnd w:id="1842"/>
      <w:bookmarkEnd w:id="1843"/>
      <w:bookmarkEnd w:id="1844"/>
      <w:bookmarkEnd w:id="1845"/>
    </w:p>
    <w:p>
      <w:pPr>
        <w:widowControl/>
        <w:wordWrap w:val="0"/>
        <w:topLinePunct/>
        <w:adjustRightInd w:val="0"/>
        <w:snapToGrid w:val="0"/>
        <w:spacing w:after="163" w:afterLines="50" w:line="360" w:lineRule="auto"/>
        <w:outlineLvl w:val="2"/>
        <w:rPr>
          <w:rFonts w:ascii="宋体" w:hAnsi="宋体" w:cs="宋体"/>
        </w:rPr>
      </w:pPr>
      <w:bookmarkStart w:id="1846" w:name="_Ref532362072"/>
      <w:bookmarkEnd w:id="1846"/>
      <w:bookmarkStart w:id="1847" w:name="_Ref532362777"/>
      <w:bookmarkEnd w:id="1847"/>
      <w:bookmarkStart w:id="1848" w:name="_Ref532362075"/>
      <w:bookmarkEnd w:id="1848"/>
      <w:bookmarkStart w:id="1849" w:name="_Ref532362774"/>
      <w:bookmarkEnd w:id="1849"/>
      <w:bookmarkStart w:id="1850" w:name="_Toc20171788"/>
      <w:bookmarkStart w:id="1851" w:name="_Toc4852"/>
      <w:bookmarkStart w:id="1852" w:name="_Toc30888"/>
      <w:bookmarkStart w:id="1853" w:name="_Toc8291"/>
      <w:bookmarkStart w:id="1854" w:name="_Toc84930778"/>
      <w:bookmarkStart w:id="1855" w:name="_Toc51766641"/>
      <w:bookmarkStart w:id="1856" w:name="_Toc58860228"/>
      <w:bookmarkStart w:id="1857" w:name="_Toc14217"/>
      <w:bookmarkStart w:id="1858" w:name="_Toc29003"/>
      <w:bookmarkStart w:id="1859" w:name="_Toc20525"/>
      <w:r>
        <w:rPr>
          <w:rFonts w:hint="eastAsia" w:ascii="宋体" w:hAnsi="宋体" w:cs="宋体"/>
          <w:szCs w:val="21"/>
          <w:lang w:bidi="ar"/>
        </w:rPr>
        <w:t>8</w:t>
      </w:r>
      <w:bookmarkEnd w:id="1850"/>
      <w:r>
        <w:rPr>
          <w:rFonts w:hint="eastAsia" w:ascii="宋体" w:hAnsi="宋体" w:cs="宋体"/>
          <w:szCs w:val="21"/>
          <w:lang w:bidi="ar"/>
        </w:rPr>
        <w:t>.1  开始工作</w:t>
      </w:r>
      <w:bookmarkEnd w:id="1851"/>
      <w:bookmarkEnd w:id="1852"/>
      <w:bookmarkEnd w:id="1853"/>
      <w:bookmarkEnd w:id="1854"/>
      <w:bookmarkEnd w:id="1855"/>
      <w:bookmarkEnd w:id="1856"/>
      <w:bookmarkEnd w:id="1857"/>
      <w:bookmarkEnd w:id="1858"/>
      <w:bookmarkEnd w:id="1859"/>
    </w:p>
    <w:p>
      <w:pPr>
        <w:widowControl/>
        <w:wordWrap w:val="0"/>
        <w:topLinePunct/>
        <w:adjustRightInd w:val="0"/>
        <w:snapToGrid w:val="0"/>
        <w:spacing w:after="163" w:afterLines="50" w:line="360" w:lineRule="auto"/>
        <w:ind w:left="480"/>
        <w:outlineLvl w:val="3"/>
        <w:rPr>
          <w:rFonts w:ascii="宋体" w:hAnsi="宋体" w:cs="宋体"/>
        </w:rPr>
      </w:pPr>
      <w:bookmarkStart w:id="1860" w:name="_Ref4428890"/>
      <w:bookmarkEnd w:id="1860"/>
      <w:r>
        <w:rPr>
          <w:rFonts w:hint="eastAsia" w:ascii="宋体" w:hAnsi="宋体" w:cs="宋体"/>
          <w:szCs w:val="21"/>
          <w:lang w:bidi="ar"/>
        </w:rPr>
        <w:t>8.1.1开始工作准备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合同当事人应按专用合同条件约定完成开始工作准备工作。</w:t>
      </w:r>
    </w:p>
    <w:p>
      <w:pPr>
        <w:widowControl/>
        <w:wordWrap w:val="0"/>
        <w:topLinePunct/>
        <w:adjustRightInd w:val="0"/>
        <w:snapToGrid w:val="0"/>
        <w:spacing w:after="163" w:afterLines="50" w:line="360" w:lineRule="auto"/>
        <w:ind w:left="480"/>
        <w:outlineLvl w:val="3"/>
        <w:rPr>
          <w:rFonts w:ascii="宋体" w:hAnsi="宋体" w:cs="宋体"/>
        </w:rPr>
      </w:pPr>
      <w:bookmarkStart w:id="1861" w:name="_Ref536790534"/>
      <w:bookmarkEnd w:id="1861"/>
      <w:r>
        <w:rPr>
          <w:rFonts w:hint="eastAsia" w:ascii="宋体" w:hAnsi="宋体" w:cs="宋体"/>
          <w:szCs w:val="21"/>
          <w:lang w:bidi="ar"/>
        </w:rPr>
        <w:t>8.1.2开始工作通知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经发包人同意后，工程师应提前7天向承包人发出经发包人签认的开始工作通知，工期自开始工作通知中载明的开始工作日期起算。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因发包人原因造成实际开始现场施工日期迟于计划开始现场施工日期后第84天的，承包人有权提出价格调整要求，或者解除合同。发包人应当承担由此增加的费用和（或）延误的工期，并向承包人支付合理利润。</w:t>
      </w:r>
    </w:p>
    <w:p>
      <w:pPr>
        <w:widowControl/>
        <w:wordWrap w:val="0"/>
        <w:topLinePunct/>
        <w:adjustRightInd w:val="0"/>
        <w:snapToGrid w:val="0"/>
        <w:spacing w:after="163" w:afterLines="50" w:line="360" w:lineRule="auto"/>
        <w:outlineLvl w:val="2"/>
        <w:rPr>
          <w:rFonts w:ascii="宋体" w:hAnsi="宋体" w:cs="宋体"/>
        </w:rPr>
      </w:pPr>
      <w:bookmarkStart w:id="1862" w:name="_Toc20171789"/>
      <w:bookmarkEnd w:id="1862"/>
      <w:bookmarkStart w:id="1863" w:name="_Ref532362124"/>
      <w:bookmarkStart w:id="1864" w:name="_Toc1717"/>
      <w:bookmarkStart w:id="1865" w:name="_Toc51766642"/>
      <w:bookmarkStart w:id="1866" w:name="_Toc30444"/>
      <w:bookmarkStart w:id="1867" w:name="_Toc84930779"/>
      <w:bookmarkStart w:id="1868" w:name="_Toc58860229"/>
      <w:bookmarkStart w:id="1869" w:name="_Toc14196"/>
      <w:bookmarkStart w:id="1870" w:name="_Toc16878"/>
      <w:bookmarkStart w:id="1871" w:name="_Toc25430"/>
      <w:bookmarkStart w:id="1872" w:name="_Toc14561"/>
      <w:r>
        <w:rPr>
          <w:rFonts w:hint="eastAsia" w:ascii="宋体" w:hAnsi="宋体" w:cs="宋体"/>
          <w:szCs w:val="21"/>
          <w:lang w:bidi="ar"/>
        </w:rPr>
        <w:t>8</w:t>
      </w:r>
      <w:bookmarkEnd w:id="1863"/>
      <w:r>
        <w:rPr>
          <w:rFonts w:hint="eastAsia" w:ascii="宋体" w:hAnsi="宋体" w:cs="宋体"/>
          <w:szCs w:val="21"/>
          <w:lang w:bidi="ar"/>
        </w:rPr>
        <w:t>.2  竣工日期</w:t>
      </w:r>
      <w:bookmarkEnd w:id="1864"/>
      <w:bookmarkEnd w:id="1865"/>
      <w:bookmarkEnd w:id="1866"/>
      <w:bookmarkEnd w:id="1867"/>
      <w:bookmarkEnd w:id="1868"/>
      <w:bookmarkEnd w:id="1869"/>
      <w:bookmarkEnd w:id="1870"/>
      <w:bookmarkEnd w:id="1871"/>
      <w:bookmarkEnd w:id="1872"/>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承包人应在合同协议书约定的工期内完成合同工作。除专用合同条件另有约定外，工程的竣工日期以第10.1条[竣工验收]的约定为准，并在工程接收证书中写明。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因发包人原因，在工程师收到承包人竣工验收申请报告42天后未进行验收的，视为验收合格，实际竣工日期以提交竣工验收申请报告的日期为准，但发包人由于不可抗力不能进行验收的除外。</w:t>
      </w:r>
    </w:p>
    <w:p>
      <w:pPr>
        <w:widowControl/>
        <w:wordWrap w:val="0"/>
        <w:topLinePunct/>
        <w:adjustRightInd w:val="0"/>
        <w:snapToGrid w:val="0"/>
        <w:spacing w:after="163" w:afterLines="50" w:line="360" w:lineRule="auto"/>
        <w:outlineLvl w:val="2"/>
        <w:rPr>
          <w:rFonts w:ascii="宋体" w:hAnsi="宋体" w:cs="宋体"/>
        </w:rPr>
      </w:pPr>
      <w:bookmarkStart w:id="1873" w:name="_Ref532352853"/>
      <w:bookmarkEnd w:id="1873"/>
      <w:bookmarkStart w:id="1874" w:name="_Ref532352856"/>
      <w:bookmarkEnd w:id="1874"/>
      <w:bookmarkStart w:id="1875" w:name="_Ref11863334"/>
      <w:bookmarkEnd w:id="1875"/>
      <w:bookmarkStart w:id="1876" w:name="_Ref532362204"/>
      <w:bookmarkEnd w:id="1876"/>
      <w:bookmarkStart w:id="1877" w:name="_Toc20171790"/>
      <w:bookmarkEnd w:id="1877"/>
      <w:bookmarkStart w:id="1878" w:name="_Ref532362207"/>
      <w:bookmarkStart w:id="1879" w:name="_Toc7164"/>
      <w:bookmarkStart w:id="1880" w:name="_Toc84930780"/>
      <w:bookmarkStart w:id="1881" w:name="_Toc30412"/>
      <w:bookmarkStart w:id="1882" w:name="_Toc32669"/>
      <w:bookmarkStart w:id="1883" w:name="_Toc58860230"/>
      <w:bookmarkStart w:id="1884" w:name="_Toc10701"/>
      <w:bookmarkStart w:id="1885" w:name="_Toc28372"/>
      <w:bookmarkStart w:id="1886" w:name="_Toc51766643"/>
      <w:bookmarkStart w:id="1887" w:name="_Toc4750"/>
      <w:r>
        <w:rPr>
          <w:rFonts w:hint="eastAsia" w:ascii="宋体" w:hAnsi="宋体" w:cs="宋体"/>
          <w:szCs w:val="21"/>
          <w:lang w:bidi="ar"/>
        </w:rPr>
        <w:t>8</w:t>
      </w:r>
      <w:bookmarkEnd w:id="1878"/>
      <w:r>
        <w:rPr>
          <w:rFonts w:hint="eastAsia" w:ascii="宋体" w:hAnsi="宋体" w:cs="宋体"/>
          <w:szCs w:val="21"/>
          <w:lang w:bidi="ar"/>
        </w:rPr>
        <w:t>.3  项目实施计划</w:t>
      </w:r>
      <w:bookmarkEnd w:id="1879"/>
      <w:bookmarkEnd w:id="1880"/>
      <w:bookmarkEnd w:id="1881"/>
      <w:bookmarkEnd w:id="1882"/>
      <w:bookmarkEnd w:id="1883"/>
      <w:bookmarkEnd w:id="1884"/>
      <w:bookmarkEnd w:id="1885"/>
      <w:bookmarkEnd w:id="1886"/>
      <w:bookmarkEnd w:id="1887"/>
    </w:p>
    <w:p>
      <w:pPr>
        <w:widowControl/>
        <w:wordWrap w:val="0"/>
        <w:topLinePunct/>
        <w:adjustRightInd w:val="0"/>
        <w:snapToGrid w:val="0"/>
        <w:spacing w:after="163" w:afterLines="50" w:line="360" w:lineRule="auto"/>
        <w:ind w:left="480"/>
        <w:outlineLvl w:val="3"/>
        <w:rPr>
          <w:rFonts w:ascii="宋体" w:hAnsi="宋体" w:cs="宋体"/>
        </w:rPr>
      </w:pPr>
      <w:bookmarkStart w:id="1888" w:name="_Ref18990904"/>
      <w:bookmarkEnd w:id="1888"/>
      <w:r>
        <w:rPr>
          <w:rFonts w:hint="eastAsia" w:ascii="宋体" w:hAnsi="宋体" w:cs="宋体"/>
          <w:szCs w:val="21"/>
          <w:lang w:bidi="ar"/>
        </w:rPr>
        <w:t>8.3.1项目实施计划的内容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pPr>
        <w:widowControl/>
        <w:wordWrap w:val="0"/>
        <w:topLinePunct/>
        <w:adjustRightInd w:val="0"/>
        <w:snapToGrid w:val="0"/>
        <w:spacing w:after="163" w:afterLines="50" w:line="360" w:lineRule="auto"/>
        <w:ind w:left="480"/>
        <w:outlineLvl w:val="3"/>
        <w:rPr>
          <w:rFonts w:ascii="宋体" w:hAnsi="宋体" w:cs="宋体"/>
        </w:rPr>
      </w:pPr>
      <w:bookmarkStart w:id="1889" w:name="_Ref18990921"/>
      <w:bookmarkEnd w:id="1889"/>
      <w:r>
        <w:rPr>
          <w:rFonts w:hint="eastAsia" w:ascii="宋体" w:hAnsi="宋体" w:cs="宋体"/>
          <w:szCs w:val="21"/>
          <w:lang w:bidi="ar"/>
        </w:rPr>
        <w:t>8.3.2项目实施计划的提交和修改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项目进度计划的编制和修改按照第8.4款[项目进度计划]执行。</w:t>
      </w:r>
    </w:p>
    <w:p>
      <w:pPr>
        <w:widowControl/>
        <w:wordWrap w:val="0"/>
        <w:topLinePunct/>
        <w:adjustRightInd w:val="0"/>
        <w:snapToGrid w:val="0"/>
        <w:spacing w:after="163" w:afterLines="50" w:line="360" w:lineRule="auto"/>
        <w:outlineLvl w:val="2"/>
        <w:rPr>
          <w:rFonts w:ascii="宋体" w:hAnsi="宋体" w:cs="宋体"/>
        </w:rPr>
      </w:pPr>
      <w:bookmarkStart w:id="1890" w:name="_Toc20171791"/>
      <w:bookmarkEnd w:id="1890"/>
      <w:bookmarkStart w:id="1891" w:name="_Ref11865507"/>
      <w:bookmarkStart w:id="1892" w:name="_Toc2789"/>
      <w:bookmarkStart w:id="1893" w:name="_Toc21008"/>
      <w:bookmarkStart w:id="1894" w:name="_Toc51766644"/>
      <w:bookmarkStart w:id="1895" w:name="_Toc84930781"/>
      <w:bookmarkStart w:id="1896" w:name="_Toc23351"/>
      <w:bookmarkStart w:id="1897" w:name="_Toc12274"/>
      <w:bookmarkStart w:id="1898" w:name="_Toc6806"/>
      <w:bookmarkStart w:id="1899" w:name="_Toc58860231"/>
      <w:bookmarkStart w:id="1900" w:name="_Toc19164"/>
      <w:r>
        <w:rPr>
          <w:rFonts w:hint="eastAsia" w:ascii="宋体" w:hAnsi="宋体" w:cs="宋体"/>
          <w:szCs w:val="21"/>
          <w:lang w:bidi="ar"/>
        </w:rPr>
        <w:t>8</w:t>
      </w:r>
      <w:bookmarkEnd w:id="1891"/>
      <w:r>
        <w:rPr>
          <w:rFonts w:hint="eastAsia" w:ascii="宋体" w:hAnsi="宋体" w:cs="宋体"/>
          <w:szCs w:val="21"/>
          <w:lang w:bidi="ar"/>
        </w:rPr>
        <w:t>.4  项目进度计划</w:t>
      </w:r>
      <w:bookmarkEnd w:id="1892"/>
      <w:bookmarkEnd w:id="1893"/>
      <w:bookmarkEnd w:id="1894"/>
      <w:bookmarkEnd w:id="1895"/>
      <w:bookmarkEnd w:id="1896"/>
      <w:bookmarkEnd w:id="1897"/>
      <w:bookmarkEnd w:id="1898"/>
      <w:bookmarkEnd w:id="1899"/>
      <w:bookmarkEnd w:id="1900"/>
    </w:p>
    <w:p>
      <w:pPr>
        <w:widowControl/>
        <w:wordWrap w:val="0"/>
        <w:topLinePunct/>
        <w:adjustRightInd w:val="0"/>
        <w:snapToGrid w:val="0"/>
        <w:spacing w:after="163" w:afterLines="50" w:line="360" w:lineRule="auto"/>
        <w:ind w:left="480"/>
        <w:outlineLvl w:val="3"/>
        <w:rPr>
          <w:rFonts w:ascii="宋体" w:hAnsi="宋体" w:cs="宋体"/>
        </w:rPr>
      </w:pPr>
      <w:bookmarkStart w:id="1901" w:name="_Ref4681217"/>
      <w:bookmarkEnd w:id="1901"/>
      <w:r>
        <w:rPr>
          <w:rFonts w:hint="eastAsia" w:ascii="宋体" w:hAnsi="宋体" w:cs="宋体"/>
          <w:szCs w:val="21"/>
          <w:lang w:bidi="ar"/>
        </w:rPr>
        <w:t>8.4.1项目进度计划的提交和修改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pPr>
        <w:widowControl/>
        <w:wordWrap w:val="0"/>
        <w:topLinePunct/>
        <w:adjustRightInd w:val="0"/>
        <w:snapToGrid w:val="0"/>
        <w:spacing w:after="163" w:afterLines="50" w:line="360" w:lineRule="auto"/>
        <w:ind w:left="480"/>
        <w:outlineLvl w:val="3"/>
        <w:rPr>
          <w:rFonts w:ascii="宋体" w:hAnsi="宋体" w:cs="宋体"/>
        </w:rPr>
      </w:pPr>
      <w:bookmarkStart w:id="1902" w:name="_Ref4429079"/>
      <w:bookmarkEnd w:id="1902"/>
      <w:r>
        <w:rPr>
          <w:rFonts w:hint="eastAsia" w:ascii="宋体" w:hAnsi="宋体" w:cs="宋体"/>
          <w:szCs w:val="21"/>
          <w:lang w:bidi="ar"/>
        </w:rPr>
        <w:t>8.4.2项目进度计划的内容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pPr>
        <w:widowControl/>
        <w:wordWrap w:val="0"/>
        <w:topLinePunct/>
        <w:adjustRightInd w:val="0"/>
        <w:snapToGrid w:val="0"/>
        <w:spacing w:after="163" w:afterLines="50" w:line="360" w:lineRule="auto"/>
        <w:ind w:left="480"/>
        <w:outlineLvl w:val="3"/>
        <w:rPr>
          <w:rFonts w:ascii="宋体" w:hAnsi="宋体" w:cs="宋体"/>
        </w:rPr>
      </w:pPr>
      <w:bookmarkStart w:id="1903" w:name="_Ref3848203"/>
      <w:bookmarkEnd w:id="1903"/>
      <w:r>
        <w:rPr>
          <w:rFonts w:hint="eastAsia" w:ascii="宋体" w:hAnsi="宋体" w:cs="宋体"/>
          <w:szCs w:val="21"/>
          <w:lang w:bidi="ar"/>
        </w:rPr>
        <w:t>8.4.3项目进度计划的修订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除合同当事人另有约定外，项目进度计划的修订并不能减轻或者免除双方按第8.7款[工期延误]、第8.8款[工期提前]、第8.9款[暂停工作]应承担的合同责任。</w:t>
      </w:r>
    </w:p>
    <w:p>
      <w:pPr>
        <w:widowControl/>
        <w:wordWrap w:val="0"/>
        <w:topLinePunct/>
        <w:adjustRightInd w:val="0"/>
        <w:snapToGrid w:val="0"/>
        <w:spacing w:after="163" w:afterLines="50" w:line="360" w:lineRule="auto"/>
        <w:outlineLvl w:val="2"/>
        <w:rPr>
          <w:rFonts w:ascii="宋体" w:hAnsi="宋体" w:cs="宋体"/>
        </w:rPr>
      </w:pPr>
      <w:bookmarkStart w:id="1904" w:name="_Ref532362278"/>
      <w:bookmarkEnd w:id="1904"/>
      <w:bookmarkStart w:id="1905" w:name="_Ref532362276"/>
      <w:bookmarkEnd w:id="1905"/>
      <w:bookmarkStart w:id="1906" w:name="_Toc20171792"/>
      <w:bookmarkStart w:id="1907" w:name="_Toc51766645"/>
      <w:bookmarkStart w:id="1908" w:name="_Toc18213"/>
      <w:bookmarkStart w:id="1909" w:name="_Toc18457"/>
      <w:bookmarkStart w:id="1910" w:name="_Toc23455"/>
      <w:bookmarkStart w:id="1911" w:name="_Toc58860232"/>
      <w:bookmarkStart w:id="1912" w:name="_Toc84930782"/>
      <w:bookmarkStart w:id="1913" w:name="_Toc31695"/>
      <w:bookmarkStart w:id="1914" w:name="_Toc12162"/>
      <w:bookmarkStart w:id="1915" w:name="_Toc4062"/>
      <w:r>
        <w:rPr>
          <w:rFonts w:hint="eastAsia" w:ascii="宋体" w:hAnsi="宋体" w:cs="宋体"/>
          <w:szCs w:val="21"/>
          <w:lang w:bidi="ar"/>
        </w:rPr>
        <w:t>8</w:t>
      </w:r>
      <w:bookmarkEnd w:id="1906"/>
      <w:r>
        <w:rPr>
          <w:rFonts w:hint="eastAsia" w:ascii="宋体" w:hAnsi="宋体" w:cs="宋体"/>
          <w:szCs w:val="21"/>
          <w:lang w:bidi="ar"/>
        </w:rPr>
        <w:t>.5  进度报告</w:t>
      </w:r>
      <w:bookmarkEnd w:id="1907"/>
      <w:bookmarkEnd w:id="1908"/>
      <w:bookmarkEnd w:id="1909"/>
      <w:bookmarkEnd w:id="1910"/>
      <w:bookmarkEnd w:id="1911"/>
      <w:bookmarkEnd w:id="1912"/>
      <w:bookmarkEnd w:id="1913"/>
      <w:bookmarkEnd w:id="1914"/>
      <w:bookmarkEnd w:id="191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项目实施过程中，承包人应进行实际进度记录，并根据工程师的要求编制月进度报告，并提交给工程师。进度报告应包含以下主要内容：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（1）工程设计、采购、施工等各个工作内容的进展报告；</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（2）工程施工方法的一般说明；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（3）当月工程实施介入的项目人员、设备和材料的预估明细报告；</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（4）当月实际进度与进度计划对比分析，以及提出未来可能引起工期延误的情形，同时提出应对措施；需要修订项目进度计划的，应对项目进度计划的修订部分进行说明；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（5）承包人对于解决工期延误所提出的建议；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（6）其他与工程有关的重大事项。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进度报告的具体要求等，在专用合同条件约定。</w:t>
      </w:r>
    </w:p>
    <w:p>
      <w:pPr>
        <w:widowControl/>
        <w:wordWrap w:val="0"/>
        <w:topLinePunct/>
        <w:adjustRightInd w:val="0"/>
        <w:snapToGrid w:val="0"/>
        <w:spacing w:after="163" w:afterLines="50" w:line="360" w:lineRule="auto"/>
        <w:outlineLvl w:val="2"/>
        <w:rPr>
          <w:rFonts w:ascii="宋体" w:hAnsi="宋体" w:cs="宋体"/>
        </w:rPr>
      </w:pPr>
      <w:bookmarkStart w:id="1916" w:name="_Toc20171793"/>
      <w:bookmarkEnd w:id="1916"/>
      <w:bookmarkStart w:id="1917" w:name="_Toc11825"/>
      <w:bookmarkStart w:id="1918" w:name="_Toc3544"/>
      <w:bookmarkStart w:id="1919" w:name="_Toc8681"/>
      <w:bookmarkStart w:id="1920" w:name="_Toc84930783"/>
      <w:bookmarkStart w:id="1921" w:name="_Toc51766646"/>
      <w:bookmarkStart w:id="1922" w:name="_Toc13112"/>
      <w:bookmarkStart w:id="1923" w:name="_Toc21507"/>
      <w:bookmarkStart w:id="1924" w:name="_Toc58860233"/>
      <w:bookmarkStart w:id="1925" w:name="_Toc32070"/>
      <w:r>
        <w:rPr>
          <w:rFonts w:hint="eastAsia" w:ascii="宋体" w:hAnsi="宋体" w:cs="宋体"/>
          <w:szCs w:val="21"/>
          <w:lang w:bidi="ar"/>
        </w:rPr>
        <w:t>8.6  提前预警</w:t>
      </w:r>
      <w:bookmarkEnd w:id="1917"/>
      <w:bookmarkEnd w:id="1918"/>
      <w:bookmarkEnd w:id="1919"/>
      <w:bookmarkEnd w:id="1920"/>
      <w:bookmarkEnd w:id="1921"/>
      <w:bookmarkEnd w:id="1922"/>
      <w:bookmarkEnd w:id="1923"/>
      <w:bookmarkEnd w:id="1924"/>
      <w:bookmarkEnd w:id="192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任何一方应当在下列情形发生时尽快书面通知另一方：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（1）该情形可能对合同的履行或实现合同目的产生不利影响；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（2）该情形可能对工程完成后的使用产生不利影响；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（3）该情形可能导致合同价款增加；</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（4）该情形可能导致整个工程或单位/区段工程的工期延长。</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发包人有权要求承包人根据第13.2款[承包人的合理化建议]的约定提交变更建议，采取措施尽量避免或最小化上述情形的发生或影响。</w:t>
      </w:r>
    </w:p>
    <w:p>
      <w:pPr>
        <w:widowControl/>
        <w:wordWrap w:val="0"/>
        <w:topLinePunct/>
        <w:adjustRightInd w:val="0"/>
        <w:snapToGrid w:val="0"/>
        <w:spacing w:after="163" w:afterLines="50" w:line="360" w:lineRule="auto"/>
        <w:outlineLvl w:val="2"/>
        <w:rPr>
          <w:rFonts w:ascii="宋体" w:hAnsi="宋体" w:cs="宋体"/>
        </w:rPr>
      </w:pPr>
      <w:bookmarkStart w:id="1926" w:name="_Toc4784156"/>
      <w:bookmarkEnd w:id="1926"/>
      <w:bookmarkStart w:id="1927" w:name="_Toc4784158"/>
      <w:bookmarkEnd w:id="1927"/>
      <w:bookmarkStart w:id="1928" w:name="_Toc4784172"/>
      <w:bookmarkEnd w:id="1928"/>
      <w:bookmarkStart w:id="1929" w:name="_Toc4784161"/>
      <w:bookmarkEnd w:id="1929"/>
      <w:bookmarkStart w:id="1930" w:name="_Toc4784165"/>
      <w:bookmarkEnd w:id="1930"/>
      <w:bookmarkStart w:id="1931" w:name="_Toc4784170"/>
      <w:bookmarkEnd w:id="1931"/>
      <w:bookmarkStart w:id="1932" w:name="_Toc4784171"/>
      <w:bookmarkEnd w:id="1932"/>
      <w:bookmarkStart w:id="1933" w:name="_Toc4784168"/>
      <w:bookmarkEnd w:id="1933"/>
      <w:bookmarkStart w:id="1934" w:name="_Toc4784175"/>
      <w:bookmarkEnd w:id="1934"/>
      <w:bookmarkStart w:id="1935" w:name="_Toc4784154"/>
      <w:bookmarkEnd w:id="1935"/>
      <w:bookmarkStart w:id="1936" w:name="_Toc4784173"/>
      <w:bookmarkEnd w:id="1936"/>
      <w:bookmarkStart w:id="1937" w:name="_Toc4784167"/>
      <w:bookmarkEnd w:id="1937"/>
      <w:bookmarkStart w:id="1938" w:name="_Toc4784162"/>
      <w:bookmarkEnd w:id="1938"/>
      <w:bookmarkStart w:id="1939" w:name="_Toc4784164"/>
      <w:bookmarkEnd w:id="1939"/>
      <w:bookmarkStart w:id="1940" w:name="_Ref532362359"/>
      <w:bookmarkEnd w:id="1940"/>
      <w:bookmarkStart w:id="1941" w:name="_Ref532362356"/>
      <w:bookmarkEnd w:id="1941"/>
      <w:bookmarkStart w:id="1942" w:name="_Toc4784160"/>
      <w:bookmarkEnd w:id="1942"/>
      <w:bookmarkStart w:id="1943" w:name="_Toc4784166"/>
      <w:bookmarkEnd w:id="1943"/>
      <w:bookmarkStart w:id="1944" w:name="_Toc4784163"/>
      <w:bookmarkEnd w:id="1944"/>
      <w:bookmarkStart w:id="1945" w:name="_Toc4784155"/>
      <w:bookmarkEnd w:id="1945"/>
      <w:bookmarkStart w:id="1946" w:name="_Toc4784159"/>
      <w:bookmarkEnd w:id="1946"/>
      <w:bookmarkStart w:id="1947" w:name="_Ref4770106"/>
      <w:bookmarkEnd w:id="1947"/>
      <w:bookmarkStart w:id="1948" w:name="_Toc20171794"/>
      <w:bookmarkEnd w:id="1948"/>
      <w:bookmarkStart w:id="1949" w:name="_Toc4784169"/>
      <w:bookmarkEnd w:id="1949"/>
      <w:bookmarkStart w:id="1950" w:name="_Toc4784174"/>
      <w:bookmarkEnd w:id="1950"/>
      <w:bookmarkStart w:id="1951" w:name="_Toc4784157"/>
      <w:bookmarkStart w:id="1952" w:name="_Toc58860234"/>
      <w:bookmarkStart w:id="1953" w:name="_Toc51766647"/>
      <w:bookmarkStart w:id="1954" w:name="_Toc14277"/>
      <w:bookmarkStart w:id="1955" w:name="_Toc9657"/>
      <w:bookmarkStart w:id="1956" w:name="_Toc8779"/>
      <w:bookmarkStart w:id="1957" w:name="_Toc17470"/>
      <w:bookmarkStart w:id="1958" w:name="_Toc84930784"/>
      <w:bookmarkStart w:id="1959" w:name="_Toc19733"/>
      <w:bookmarkStart w:id="1960" w:name="_Toc11576"/>
      <w:r>
        <w:rPr>
          <w:rFonts w:hint="eastAsia" w:ascii="宋体" w:hAnsi="宋体" w:cs="宋体"/>
          <w:szCs w:val="21"/>
          <w:lang w:bidi="ar"/>
        </w:rPr>
        <w:t>8</w:t>
      </w:r>
      <w:bookmarkEnd w:id="1951"/>
      <w:r>
        <w:rPr>
          <w:rFonts w:hint="eastAsia" w:ascii="宋体" w:hAnsi="宋体" w:cs="宋体"/>
          <w:szCs w:val="21"/>
          <w:lang w:bidi="ar"/>
        </w:rPr>
        <w:t>.7  工期延误</w:t>
      </w:r>
      <w:bookmarkEnd w:id="1952"/>
      <w:bookmarkEnd w:id="1953"/>
      <w:bookmarkEnd w:id="1954"/>
      <w:bookmarkEnd w:id="1955"/>
      <w:bookmarkEnd w:id="1956"/>
      <w:bookmarkEnd w:id="1957"/>
      <w:bookmarkEnd w:id="1958"/>
      <w:bookmarkEnd w:id="1959"/>
      <w:bookmarkEnd w:id="1960"/>
    </w:p>
    <w:p>
      <w:pPr>
        <w:widowControl/>
        <w:wordWrap w:val="0"/>
        <w:topLinePunct/>
        <w:adjustRightInd w:val="0"/>
        <w:snapToGrid w:val="0"/>
        <w:spacing w:after="163" w:afterLines="50" w:line="360" w:lineRule="auto"/>
        <w:ind w:left="480"/>
        <w:outlineLvl w:val="3"/>
        <w:rPr>
          <w:rFonts w:ascii="宋体" w:hAnsi="宋体" w:cs="宋体"/>
        </w:rPr>
      </w:pPr>
      <w:bookmarkStart w:id="1961" w:name="_Ref4796050"/>
      <w:bookmarkEnd w:id="1961"/>
      <w:r>
        <w:rPr>
          <w:rFonts w:hint="eastAsia" w:ascii="宋体" w:hAnsi="宋体" w:cs="宋体"/>
          <w:szCs w:val="21"/>
          <w:lang w:bidi="ar"/>
        </w:rPr>
        <w:t>8.7.1因发包人原因导致工期延误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在合同履行过程中，因下列情况导致工期延误和（或）费用增加的，由发包人承担由此延误的工期和（或）增加的费用，且发包人应支付承包人合理的利润：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（1）根据第13条[变更与调整]的约定构成一项变更的；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（2）发包人违反本合同约定，导致工期延误和（或）费用增加的；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（3）发包人、发包人代表、工程师或发包人聘请的任意第三方造成或引起的任何延误、妨碍和阻碍；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（4）发包人未能依据第6.2.1项[发包人提供的材料和工程设备]的约定提供材料和工程设备导致工期延误和（或）费用增加的；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（5）因发包人原因导致的暂停施工；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（6）发包人未及时履行相关合同义务，造成工期延误的其他原因。</w:t>
      </w:r>
    </w:p>
    <w:p>
      <w:pPr>
        <w:widowControl/>
        <w:wordWrap w:val="0"/>
        <w:topLinePunct/>
        <w:adjustRightInd w:val="0"/>
        <w:snapToGrid w:val="0"/>
        <w:spacing w:after="163" w:afterLines="50" w:line="360" w:lineRule="auto"/>
        <w:ind w:left="480"/>
        <w:outlineLvl w:val="3"/>
        <w:rPr>
          <w:rFonts w:ascii="宋体" w:hAnsi="宋体" w:cs="宋体"/>
        </w:rPr>
      </w:pPr>
      <w:bookmarkStart w:id="1962" w:name="_Ref4770209"/>
      <w:bookmarkEnd w:id="1962"/>
      <w:r>
        <w:rPr>
          <w:rFonts w:hint="eastAsia" w:ascii="宋体" w:hAnsi="宋体" w:cs="宋体"/>
          <w:szCs w:val="21"/>
          <w:lang w:bidi="ar"/>
        </w:rPr>
        <w:t>8.7.2因承包人原因导致工期延误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由于承包人的原因，未能按项目进度计划完成工作，承包人应采取措施加快进度，并承担加快进度所增加的费用。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pPr>
        <w:widowControl/>
        <w:wordWrap w:val="0"/>
        <w:topLinePunct/>
        <w:adjustRightInd w:val="0"/>
        <w:snapToGrid w:val="0"/>
        <w:spacing w:after="163" w:afterLines="50" w:line="360" w:lineRule="auto"/>
        <w:ind w:left="480"/>
        <w:outlineLvl w:val="3"/>
        <w:rPr>
          <w:rFonts w:ascii="宋体" w:hAnsi="宋体" w:cs="宋体"/>
        </w:rPr>
      </w:pPr>
      <w:bookmarkStart w:id="1963" w:name="_Ref4770872"/>
      <w:bookmarkEnd w:id="1963"/>
      <w:r>
        <w:rPr>
          <w:rFonts w:hint="eastAsia" w:ascii="宋体" w:hAnsi="宋体" w:cs="宋体"/>
          <w:szCs w:val="21"/>
          <w:lang w:bidi="ar"/>
        </w:rPr>
        <w:t xml:space="preserve">8.7.3行政审批迟延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pPr>
        <w:widowControl/>
        <w:wordWrap w:val="0"/>
        <w:topLinePunct/>
        <w:adjustRightInd w:val="0"/>
        <w:snapToGrid w:val="0"/>
        <w:spacing w:after="163" w:afterLines="50" w:line="360" w:lineRule="auto"/>
        <w:ind w:left="480"/>
        <w:outlineLvl w:val="3"/>
        <w:rPr>
          <w:rFonts w:ascii="宋体" w:hAnsi="宋体" w:cs="宋体"/>
        </w:rPr>
      </w:pPr>
      <w:bookmarkStart w:id="1964" w:name="_Ref4770933"/>
      <w:bookmarkEnd w:id="1964"/>
      <w:r>
        <w:rPr>
          <w:rFonts w:hint="eastAsia" w:ascii="宋体" w:hAnsi="宋体" w:cs="宋体"/>
          <w:szCs w:val="21"/>
          <w:lang w:bidi="ar"/>
        </w:rPr>
        <w:t>8.7.4异常恶劣的气候条件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pPr>
        <w:widowControl/>
        <w:wordWrap w:val="0"/>
        <w:topLinePunct/>
        <w:adjustRightInd w:val="0"/>
        <w:snapToGrid w:val="0"/>
        <w:spacing w:after="163" w:afterLines="50" w:line="360" w:lineRule="auto"/>
        <w:outlineLvl w:val="2"/>
        <w:rPr>
          <w:rFonts w:ascii="宋体" w:hAnsi="宋体" w:cs="宋体"/>
        </w:rPr>
      </w:pPr>
      <w:bookmarkStart w:id="1965" w:name="_Ref4781828"/>
      <w:bookmarkEnd w:id="1965"/>
      <w:bookmarkStart w:id="1966" w:name="_Toc20171795"/>
      <w:bookmarkStart w:id="1967" w:name="_Toc27794"/>
      <w:bookmarkStart w:id="1968" w:name="_Toc51766648"/>
      <w:bookmarkStart w:id="1969" w:name="_Toc1606"/>
      <w:bookmarkStart w:id="1970" w:name="_Toc58860235"/>
      <w:bookmarkStart w:id="1971" w:name="_Toc27529"/>
      <w:bookmarkStart w:id="1972" w:name="_Toc11271"/>
      <w:bookmarkStart w:id="1973" w:name="_Toc1728"/>
      <w:bookmarkStart w:id="1974" w:name="_Toc84930785"/>
      <w:bookmarkStart w:id="1975" w:name="_Toc15968"/>
      <w:r>
        <w:rPr>
          <w:rFonts w:hint="eastAsia" w:ascii="宋体" w:hAnsi="宋体" w:cs="宋体"/>
          <w:szCs w:val="21"/>
          <w:lang w:bidi="ar"/>
        </w:rPr>
        <w:t>8</w:t>
      </w:r>
      <w:bookmarkEnd w:id="1966"/>
      <w:r>
        <w:rPr>
          <w:rFonts w:hint="eastAsia" w:ascii="宋体" w:hAnsi="宋体" w:cs="宋体"/>
          <w:szCs w:val="21"/>
          <w:lang w:bidi="ar"/>
        </w:rPr>
        <w:t>.8  工期提前</w:t>
      </w:r>
      <w:bookmarkEnd w:id="1967"/>
      <w:bookmarkEnd w:id="1968"/>
      <w:bookmarkEnd w:id="1969"/>
      <w:bookmarkEnd w:id="1970"/>
      <w:bookmarkEnd w:id="1971"/>
      <w:bookmarkEnd w:id="1972"/>
      <w:bookmarkEnd w:id="1973"/>
      <w:bookmarkEnd w:id="1974"/>
      <w:bookmarkEnd w:id="1975"/>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8.8.1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pPr>
        <w:widowControl/>
        <w:adjustRightInd w:val="0"/>
        <w:snapToGrid w:val="0"/>
        <w:spacing w:after="163" w:afterLines="50" w:line="360" w:lineRule="auto"/>
        <w:ind w:firstLine="420" w:firstLineChars="200"/>
        <w:rPr>
          <w:rFonts w:ascii="宋体" w:hAnsi="宋体" w:cs="宋体"/>
        </w:rPr>
      </w:pPr>
      <w:bookmarkStart w:id="1976" w:name="_Ref4429347"/>
      <w:bookmarkEnd w:id="1976"/>
      <w:r>
        <w:rPr>
          <w:rFonts w:hint="eastAsia" w:ascii="宋体" w:hAnsi="宋体" w:cs="宋体"/>
          <w:szCs w:val="21"/>
          <w:lang w:bidi="ar"/>
        </w:rPr>
        <w:t>8.8.2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p>
    <w:p>
      <w:pPr>
        <w:widowControl/>
        <w:wordWrap w:val="0"/>
        <w:topLinePunct/>
        <w:adjustRightInd w:val="0"/>
        <w:snapToGrid w:val="0"/>
        <w:spacing w:after="163" w:afterLines="50" w:line="360" w:lineRule="auto"/>
        <w:outlineLvl w:val="2"/>
        <w:rPr>
          <w:rFonts w:ascii="宋体" w:hAnsi="宋体" w:cs="宋体"/>
        </w:rPr>
      </w:pPr>
      <w:bookmarkStart w:id="1977" w:name="_Ref4615040"/>
      <w:bookmarkEnd w:id="1977"/>
      <w:bookmarkStart w:id="1978" w:name="_Ref4615031"/>
      <w:bookmarkEnd w:id="1978"/>
      <w:bookmarkStart w:id="1979" w:name="_Toc20171796"/>
      <w:bookmarkStart w:id="1980" w:name="_Toc58860236"/>
      <w:bookmarkStart w:id="1981" w:name="_Toc9280"/>
      <w:bookmarkStart w:id="1982" w:name="_Toc9940"/>
      <w:bookmarkStart w:id="1983" w:name="_Toc84930786"/>
      <w:bookmarkStart w:id="1984" w:name="_Toc804"/>
      <w:bookmarkStart w:id="1985" w:name="_Toc23569"/>
      <w:bookmarkStart w:id="1986" w:name="_Toc51766649"/>
      <w:bookmarkStart w:id="1987" w:name="_Toc8410"/>
      <w:bookmarkStart w:id="1988" w:name="_Toc23010"/>
      <w:r>
        <w:rPr>
          <w:rFonts w:hint="eastAsia" w:ascii="宋体" w:hAnsi="宋体" w:cs="宋体"/>
          <w:szCs w:val="21"/>
          <w:lang w:bidi="ar"/>
        </w:rPr>
        <w:t>8</w:t>
      </w:r>
      <w:bookmarkEnd w:id="1979"/>
      <w:r>
        <w:rPr>
          <w:rFonts w:hint="eastAsia" w:ascii="宋体" w:hAnsi="宋体" w:cs="宋体"/>
          <w:szCs w:val="21"/>
          <w:lang w:bidi="ar"/>
        </w:rPr>
        <w:t>.9  暂停工作</w:t>
      </w:r>
      <w:bookmarkEnd w:id="1980"/>
      <w:bookmarkEnd w:id="1981"/>
      <w:bookmarkEnd w:id="1982"/>
      <w:bookmarkEnd w:id="1983"/>
      <w:bookmarkEnd w:id="1984"/>
      <w:bookmarkEnd w:id="1985"/>
      <w:bookmarkEnd w:id="1986"/>
      <w:bookmarkEnd w:id="1987"/>
      <w:bookmarkEnd w:id="1988"/>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left="480"/>
        <w:outlineLvl w:val="3"/>
        <w:rPr>
          <w:rFonts w:ascii="宋体" w:hAnsi="宋体" w:cs="宋体"/>
        </w:rPr>
      </w:pPr>
      <w:bookmarkStart w:id="1989" w:name="_Ref4709151"/>
      <w:bookmarkEnd w:id="1989"/>
      <w:r>
        <w:rPr>
          <w:rFonts w:hint="eastAsia" w:ascii="宋体" w:hAnsi="宋体" w:cs="宋体"/>
          <w:szCs w:val="21"/>
          <w:lang w:bidi="ar"/>
        </w:rPr>
        <w:t>8.9.1由发包人暂停工作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发包人认为必要时，可通过工程师向承包人发出经发包人签认的暂停工作通知，应列明暂停原因、暂停的日期及预计暂停的期限。承包人应按该通知暂停工作。</w:t>
      </w:r>
      <w:bookmarkStart w:id="1990" w:name="_Ref4709233"/>
      <w:bookmarkEnd w:id="1990"/>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承包人因执行暂停工作通知而造成费用的增加和（或）工期延误由发包人承担，并有权要求发包人支付合理利润，但由于承包人原因造成发包人暂停工作的除外。</w:t>
      </w:r>
    </w:p>
    <w:p>
      <w:pPr>
        <w:widowControl/>
        <w:wordWrap w:val="0"/>
        <w:topLinePunct/>
        <w:adjustRightInd w:val="0"/>
        <w:snapToGrid w:val="0"/>
        <w:spacing w:after="163" w:afterLines="50" w:line="360" w:lineRule="auto"/>
        <w:ind w:left="480"/>
        <w:outlineLvl w:val="3"/>
        <w:rPr>
          <w:rFonts w:ascii="宋体" w:hAnsi="宋体" w:cs="宋体"/>
        </w:rPr>
      </w:pPr>
      <w:bookmarkStart w:id="1991" w:name="_Ref18972173"/>
      <w:bookmarkEnd w:id="1991"/>
      <w:r>
        <w:rPr>
          <w:rFonts w:hint="eastAsia" w:ascii="宋体" w:hAnsi="宋体" w:cs="宋体"/>
          <w:szCs w:val="21"/>
          <w:lang w:bidi="ar"/>
        </w:rPr>
        <w:t xml:space="preserve">8.9.2由承包人暂停工作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pPr>
        <w:widowControl/>
        <w:adjustRightInd w:val="0"/>
        <w:snapToGrid w:val="0"/>
        <w:spacing w:after="163" w:afterLines="50" w:line="360" w:lineRule="auto"/>
        <w:ind w:firstLine="420" w:firstLineChars="200"/>
        <w:rPr>
          <w:rFonts w:ascii="宋体" w:hAnsi="宋体" w:cs="宋体"/>
          <w:kern w:val="0"/>
        </w:rPr>
      </w:pPr>
      <w:bookmarkStart w:id="1992" w:name="_Ref4709224"/>
      <w:bookmarkEnd w:id="1992"/>
      <w:r>
        <w:rPr>
          <w:rFonts w:hint="eastAsia" w:ascii="宋体" w:hAnsi="宋体" w:cs="宋体"/>
          <w:kern w:val="0"/>
          <w:szCs w:val="21"/>
          <w:lang w:bidi="ar"/>
        </w:rPr>
        <w:t>（1）发包人拖延、拒绝批准付款申请和支付证书，或未能按合同约定支付价款，导致付款延误的；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（2）发包人未按约定履行合同其他义务导致承包人无法继续履行合同的，或者发包人明确表示暂停或实质上已暂停履行合同的；</w:t>
      </w:r>
    </w:p>
    <w:p>
      <w:pPr>
        <w:widowControl/>
        <w:wordWrap w:val="0"/>
        <w:topLinePunct/>
        <w:adjustRightInd w:val="0"/>
        <w:snapToGrid w:val="0"/>
        <w:spacing w:after="163" w:afterLines="50" w:line="360" w:lineRule="auto"/>
        <w:ind w:left="480"/>
        <w:outlineLvl w:val="3"/>
        <w:rPr>
          <w:rFonts w:ascii="宋体" w:hAnsi="宋体" w:cs="宋体"/>
          <w:kern w:val="0"/>
        </w:rPr>
      </w:pPr>
      <w:r>
        <w:rPr>
          <w:rFonts w:hint="eastAsia" w:ascii="宋体" w:hAnsi="宋体" w:cs="宋体"/>
          <w:kern w:val="0"/>
          <w:szCs w:val="21"/>
          <w:lang w:bidi="ar"/>
        </w:rPr>
        <w:t>8</w:t>
      </w:r>
      <w:r>
        <w:rPr>
          <w:rFonts w:ascii="宋体" w:hAnsi="宋体" w:cs="宋体"/>
          <w:kern w:val="0"/>
          <w:szCs w:val="21"/>
          <w:lang w:bidi="ar"/>
        </w:rPr>
        <w:t>.9.3</w:t>
      </w:r>
      <w:r>
        <w:rPr>
          <w:rFonts w:hint="eastAsia" w:ascii="宋体" w:hAnsi="宋体" w:cs="宋体"/>
          <w:kern w:val="0"/>
          <w:szCs w:val="21"/>
          <w:lang w:bidi="ar"/>
        </w:rPr>
        <w:t>除上述原因以外的暂停工作，双方应遵守第17条[不可抗力]的相关约定。</w:t>
      </w:r>
    </w:p>
    <w:p>
      <w:pPr>
        <w:widowControl/>
        <w:wordWrap w:val="0"/>
        <w:topLinePunct/>
        <w:adjustRightInd w:val="0"/>
        <w:snapToGrid w:val="0"/>
        <w:spacing w:after="163" w:afterLines="50" w:line="360" w:lineRule="auto"/>
        <w:ind w:left="480"/>
        <w:outlineLvl w:val="3"/>
        <w:rPr>
          <w:rFonts w:ascii="宋体" w:hAnsi="宋体" w:cs="宋体"/>
        </w:rPr>
      </w:pPr>
      <w:bookmarkStart w:id="1993" w:name="_Ref4709158"/>
      <w:bookmarkEnd w:id="1993"/>
      <w:r>
        <w:rPr>
          <w:rFonts w:hint="eastAsia" w:ascii="宋体" w:hAnsi="宋体" w:cs="宋体"/>
          <w:szCs w:val="21"/>
          <w:lang w:bidi="ar"/>
        </w:rPr>
        <w:t>8.9.</w:t>
      </w:r>
      <w:r>
        <w:rPr>
          <w:rFonts w:ascii="宋体" w:hAnsi="宋体" w:cs="宋体"/>
          <w:szCs w:val="21"/>
          <w:lang w:bidi="ar"/>
        </w:rPr>
        <w:t>4</w:t>
      </w:r>
      <w:r>
        <w:rPr>
          <w:rFonts w:hint="eastAsia" w:ascii="宋体" w:hAnsi="宋体" w:cs="宋体"/>
          <w:szCs w:val="21"/>
          <w:lang w:bidi="ar"/>
        </w:rPr>
        <w:t xml:space="preserve">暂停工作期间的工程照管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因承包人未能尽到照管、保护的责任造成损失的，使发包人的费用增加，（或）竣工日期延误的，由承包人按本合同约定承担责任。</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8.9.</w:t>
      </w:r>
      <w:r>
        <w:rPr>
          <w:rFonts w:ascii="宋体" w:hAnsi="宋体" w:cs="宋体"/>
          <w:szCs w:val="21"/>
          <w:lang w:bidi="ar"/>
        </w:rPr>
        <w:t>5</w:t>
      </w:r>
      <w:r>
        <w:rPr>
          <w:rFonts w:hint="eastAsia" w:ascii="宋体" w:hAnsi="宋体" w:cs="宋体"/>
          <w:szCs w:val="21"/>
          <w:lang w:bidi="ar"/>
        </w:rPr>
        <w:t>拖长的暂停</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pPr>
        <w:widowControl/>
        <w:wordWrap w:val="0"/>
        <w:topLinePunct/>
        <w:adjustRightInd w:val="0"/>
        <w:snapToGrid w:val="0"/>
        <w:spacing w:after="163" w:afterLines="50" w:line="360" w:lineRule="auto"/>
        <w:outlineLvl w:val="2"/>
        <w:rPr>
          <w:rFonts w:ascii="宋体" w:hAnsi="宋体" w:cs="宋体"/>
        </w:rPr>
      </w:pPr>
      <w:bookmarkStart w:id="1994" w:name="_Toc20171797"/>
      <w:bookmarkEnd w:id="1994"/>
      <w:bookmarkStart w:id="1995" w:name="_Toc51766650"/>
      <w:bookmarkStart w:id="1996" w:name="_Toc84930787"/>
      <w:bookmarkStart w:id="1997" w:name="_Toc14895"/>
      <w:bookmarkStart w:id="1998" w:name="_Toc9890"/>
      <w:bookmarkStart w:id="1999" w:name="_Toc1060"/>
      <w:bookmarkStart w:id="2000" w:name="_Toc27315"/>
      <w:bookmarkStart w:id="2001" w:name="_Toc19900"/>
      <w:bookmarkStart w:id="2002" w:name="_Toc58860237"/>
      <w:bookmarkStart w:id="2003" w:name="_Toc1295"/>
      <w:r>
        <w:rPr>
          <w:rFonts w:hint="eastAsia" w:ascii="宋体" w:hAnsi="宋体" w:cs="宋体"/>
          <w:szCs w:val="21"/>
          <w:lang w:bidi="ar"/>
        </w:rPr>
        <w:t>8.10  复工</w:t>
      </w:r>
      <w:bookmarkEnd w:id="1995"/>
      <w:bookmarkEnd w:id="1996"/>
      <w:bookmarkEnd w:id="1997"/>
      <w:bookmarkEnd w:id="1998"/>
      <w:bookmarkEnd w:id="1999"/>
      <w:bookmarkEnd w:id="2000"/>
      <w:bookmarkEnd w:id="2001"/>
      <w:bookmarkEnd w:id="2002"/>
      <w:bookmarkEnd w:id="2003"/>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8.10.1收到发包人的复工通知后，承包人应按通知时间复工；发包人通知的复工时间应当给予承包人必要的准备复工时间。</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8.10.2不论由于何种原因引起暂停工作，双方均可要求对方一同对受暂停影响的工程、工程设备和工程物资进行检查，承包人应将检查结果及需要恢复、修复的内容和估算通知发包人。</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8.10.3除第17条[不可抗力]另有约定外，发生的恢复、修复价款及工期延误的后果由责任方承担。</w:t>
      </w:r>
    </w:p>
    <w:p>
      <w:pPr>
        <w:widowControl/>
        <w:wordWrap w:val="0"/>
        <w:topLinePunct/>
        <w:adjustRightInd w:val="0"/>
        <w:snapToGrid w:val="0"/>
        <w:spacing w:after="163" w:afterLines="50" w:line="360" w:lineRule="auto"/>
        <w:outlineLvl w:val="1"/>
        <w:rPr>
          <w:rFonts w:ascii="宋体" w:hAnsi="宋体" w:cs="宋体"/>
          <w:kern w:val="0"/>
        </w:rPr>
      </w:pPr>
      <w:bookmarkStart w:id="2004" w:name="_Ref4621029"/>
      <w:bookmarkEnd w:id="2004"/>
      <w:bookmarkStart w:id="2005" w:name="_Ref4621041"/>
      <w:bookmarkEnd w:id="2005"/>
      <w:bookmarkStart w:id="2006" w:name="_Toc20171798"/>
      <w:bookmarkStart w:id="2007" w:name="_Toc1932"/>
      <w:bookmarkStart w:id="2008" w:name="_Toc2956"/>
      <w:bookmarkStart w:id="2009" w:name="_Toc31682"/>
      <w:bookmarkStart w:id="2010" w:name="_Toc854"/>
      <w:r>
        <w:rPr>
          <w:rFonts w:hint="eastAsia" w:ascii="宋体" w:hAnsi="宋体" w:cs="宋体"/>
          <w:kern w:val="0"/>
          <w:szCs w:val="21"/>
          <w:lang w:bidi="ar"/>
        </w:rPr>
        <w:t xml:space="preserve">第9条 </w:t>
      </w:r>
      <w:bookmarkEnd w:id="2006"/>
      <w:r>
        <w:rPr>
          <w:rFonts w:hint="eastAsia" w:ascii="宋体" w:hAnsi="宋体" w:cs="宋体"/>
          <w:kern w:val="0"/>
          <w:szCs w:val="21"/>
          <w:lang w:bidi="ar"/>
        </w:rPr>
        <w:t xml:space="preserve"> 竣工试验</w:t>
      </w:r>
      <w:bookmarkEnd w:id="2007"/>
      <w:bookmarkEnd w:id="2008"/>
      <w:bookmarkEnd w:id="2009"/>
      <w:bookmarkEnd w:id="2010"/>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011" w:name="_Ref532586248"/>
      <w:bookmarkEnd w:id="2011"/>
      <w:bookmarkStart w:id="2012" w:name="_Toc20171799"/>
      <w:bookmarkEnd w:id="2012"/>
      <w:bookmarkStart w:id="2013" w:name="_Ref532586251"/>
      <w:bookmarkStart w:id="2014" w:name="_Toc19338"/>
      <w:bookmarkStart w:id="2015" w:name="_Toc21284"/>
      <w:bookmarkStart w:id="2016" w:name="_Toc84930789"/>
      <w:bookmarkStart w:id="2017" w:name="_Toc51766652"/>
      <w:bookmarkStart w:id="2018" w:name="_Toc24008"/>
      <w:bookmarkStart w:id="2019" w:name="_Toc14541"/>
      <w:bookmarkStart w:id="2020" w:name="_Toc5591"/>
      <w:bookmarkStart w:id="2021" w:name="_Toc58860239"/>
      <w:bookmarkStart w:id="2022" w:name="_Toc24808"/>
      <w:r>
        <w:rPr>
          <w:rFonts w:hint="eastAsia" w:ascii="宋体" w:hAnsi="宋体" w:cs="宋体"/>
          <w:szCs w:val="21"/>
          <w:lang w:bidi="ar"/>
        </w:rPr>
        <w:t>9</w:t>
      </w:r>
      <w:bookmarkEnd w:id="2013"/>
      <w:r>
        <w:rPr>
          <w:rFonts w:hint="eastAsia" w:ascii="宋体" w:hAnsi="宋体" w:cs="宋体"/>
          <w:szCs w:val="21"/>
          <w:lang w:bidi="ar"/>
        </w:rPr>
        <w:t>.1  竣工试验的义务</w:t>
      </w:r>
      <w:bookmarkEnd w:id="2014"/>
      <w:bookmarkEnd w:id="2015"/>
      <w:bookmarkEnd w:id="2016"/>
      <w:bookmarkEnd w:id="2017"/>
      <w:bookmarkEnd w:id="2018"/>
      <w:bookmarkEnd w:id="2019"/>
      <w:bookmarkEnd w:id="2020"/>
      <w:bookmarkEnd w:id="2021"/>
      <w:bookmarkEnd w:id="2022"/>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9.1.1承包人完成工程或区段工程进行竣工试验所需的作业，并根据第5.4款[竣工文件]和第5.5款[操作和维修手册]提交文件后，进行竣工试验。</w:t>
      </w:r>
      <w:bookmarkStart w:id="2023" w:name="_Ref532586608"/>
      <w:bookmarkEnd w:id="2023"/>
    </w:p>
    <w:p>
      <w:pPr>
        <w:widowControl/>
        <w:wordWrap w:val="0"/>
        <w:topLinePunct/>
        <w:adjustRightInd w:val="0"/>
        <w:snapToGrid w:val="0"/>
        <w:spacing w:after="163" w:afterLines="50" w:line="360" w:lineRule="auto"/>
        <w:ind w:firstLine="420" w:firstLineChars="200"/>
        <w:rPr>
          <w:rFonts w:ascii="宋体" w:hAnsi="宋体" w:cs="宋体"/>
        </w:rPr>
      </w:pPr>
      <w:bookmarkStart w:id="2024" w:name="_Ref11919920"/>
      <w:bookmarkEnd w:id="2024"/>
      <w:r>
        <w:rPr>
          <w:rFonts w:hint="eastAsia" w:ascii="宋体" w:hAnsi="宋体" w:cs="宋体"/>
          <w:szCs w:val="21"/>
          <w:lang w:bidi="ar"/>
        </w:rPr>
        <w:t>9.1.2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pPr>
        <w:widowControl/>
        <w:wordWrap w:val="0"/>
        <w:topLinePunct/>
        <w:adjustRightInd w:val="0"/>
        <w:snapToGrid w:val="0"/>
        <w:spacing w:after="163" w:afterLines="50" w:line="360" w:lineRule="auto"/>
        <w:ind w:firstLine="420" w:firstLineChars="200"/>
        <w:rPr>
          <w:rFonts w:ascii="宋体" w:hAnsi="宋体" w:cs="宋体"/>
        </w:rPr>
      </w:pPr>
      <w:bookmarkStart w:id="2025" w:name="_Ref532688147"/>
      <w:bookmarkEnd w:id="2025"/>
      <w:r>
        <w:rPr>
          <w:rFonts w:hint="eastAsia" w:ascii="宋体" w:hAnsi="宋体" w:cs="宋体"/>
          <w:szCs w:val="21"/>
          <w:lang w:bidi="ar"/>
        </w:rPr>
        <w:t>9.1.3承包人应根据经确认的竣工试验计划以及第6.5款[由承包人试验和</w:t>
      </w:r>
      <w:r>
        <w:rPr>
          <w:rFonts w:ascii="宋体" w:hAnsi="宋体" w:cs="宋体"/>
          <w:szCs w:val="21"/>
          <w:lang w:bidi="ar"/>
        </w:rPr>
        <w:t>检验</w:t>
      </w:r>
      <w:r>
        <w:rPr>
          <w:rFonts w:hint="eastAsia" w:ascii="宋体" w:hAnsi="宋体" w:cs="宋体"/>
          <w:szCs w:val="21"/>
          <w:lang w:bidi="ar"/>
        </w:rPr>
        <w:t>]进行竣工试验。除《发包人要求》中另有说明外，竣工试验应按以下顺序分阶段进行，即只有在工程或区段工程已通过上一阶段试验的情况下，才可进行下一阶段试验：</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（1）承包人进行启动前试验，包括适当的检查和功能性试验，以证明工程或区段工程的每一部分均能够安全地承受下一阶段试验；</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（2）承包人进行启动试验，以证明工程或区段工程能够在所有可利用的操作条件下安全运行，并按照专用合同条件和《发包人要求》中的规定操作；</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（3）承包人进行试运行试验。当工程或区段工程能稳定安全运行时，承包人应通知工程师，可以进行其他竣工试验，包括各种性能测试，以证明工程或区段工程符合《发包人要求》中列明的性能保证指标。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进行上述试验不应构成第10条[验收和工程接收]规定的接收，但试验所产生的任何产品或其他收益均应归属于发包人。</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9.1.4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pPr>
        <w:widowControl/>
        <w:wordWrap w:val="0"/>
        <w:topLinePunct/>
        <w:adjustRightInd w:val="0"/>
        <w:snapToGrid w:val="0"/>
        <w:spacing w:after="163" w:afterLines="50" w:line="360" w:lineRule="auto"/>
        <w:outlineLvl w:val="2"/>
        <w:rPr>
          <w:rFonts w:ascii="宋体" w:hAnsi="宋体" w:cs="宋体"/>
        </w:rPr>
      </w:pPr>
      <w:bookmarkStart w:id="2026" w:name="_Toc20171800"/>
      <w:bookmarkEnd w:id="2026"/>
      <w:bookmarkStart w:id="2027" w:name="_Toc58860240"/>
      <w:bookmarkStart w:id="2028" w:name="_Toc7847"/>
      <w:bookmarkStart w:id="2029" w:name="_Toc6329"/>
      <w:bookmarkStart w:id="2030" w:name="_Toc30512"/>
      <w:bookmarkStart w:id="2031" w:name="_Toc84930790"/>
      <w:bookmarkStart w:id="2032" w:name="_Toc2957"/>
      <w:bookmarkStart w:id="2033" w:name="_Toc51766653"/>
      <w:bookmarkStart w:id="2034" w:name="_Toc15651"/>
      <w:bookmarkStart w:id="2035" w:name="_Toc1340"/>
      <w:r>
        <w:rPr>
          <w:rFonts w:hint="eastAsia" w:ascii="宋体" w:hAnsi="宋体" w:cs="宋体"/>
          <w:szCs w:val="21"/>
          <w:lang w:bidi="ar"/>
        </w:rPr>
        <w:t>9.2  延误的试验</w:t>
      </w:r>
      <w:bookmarkEnd w:id="2027"/>
      <w:bookmarkEnd w:id="2028"/>
      <w:bookmarkEnd w:id="2029"/>
      <w:bookmarkEnd w:id="2030"/>
      <w:bookmarkEnd w:id="2031"/>
      <w:bookmarkEnd w:id="2032"/>
      <w:bookmarkEnd w:id="2033"/>
      <w:bookmarkEnd w:id="2034"/>
      <w:bookmarkEnd w:id="2035"/>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9.2.1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9.2.2承包人无正当理由延误进行竣工试验的，工程师可向其发出通知，要求其在收到通知后的21天内进行该项竣工试验。承包人应在该21天的期限内确定进行试验的日期，并至少提前7天通知工程师。</w:t>
      </w:r>
    </w:p>
    <w:p>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9.2.3如果承包人未在该期限内进行竣工试验，则发包人有权自行组织该项竣工试验，由此产生的合理费用由承包人承担。发包人应在试验完成后28天内向承包人发送试验结果。</w:t>
      </w:r>
    </w:p>
    <w:p>
      <w:pPr>
        <w:widowControl/>
        <w:wordWrap w:val="0"/>
        <w:topLinePunct/>
        <w:adjustRightInd w:val="0"/>
        <w:snapToGrid w:val="0"/>
        <w:spacing w:after="163" w:afterLines="50" w:line="360" w:lineRule="auto"/>
        <w:outlineLvl w:val="2"/>
        <w:rPr>
          <w:rFonts w:ascii="宋体" w:hAnsi="宋体" w:cs="宋体"/>
        </w:rPr>
      </w:pPr>
      <w:bookmarkStart w:id="2036" w:name="_Toc20171801"/>
      <w:bookmarkEnd w:id="2036"/>
      <w:bookmarkStart w:id="2037" w:name="_Ref532594588"/>
      <w:bookmarkEnd w:id="2037"/>
      <w:bookmarkStart w:id="2038" w:name="_Ref532594592"/>
      <w:bookmarkStart w:id="2039" w:name="_Toc8834"/>
      <w:bookmarkStart w:id="2040" w:name="_Toc15548"/>
      <w:bookmarkStart w:id="2041" w:name="_Toc10777"/>
      <w:bookmarkStart w:id="2042" w:name="_Toc84930791"/>
      <w:bookmarkStart w:id="2043" w:name="_Toc12323"/>
      <w:bookmarkStart w:id="2044" w:name="_Toc7717"/>
      <w:bookmarkStart w:id="2045" w:name="_Toc51766654"/>
      <w:bookmarkStart w:id="2046" w:name="_Toc58860241"/>
      <w:bookmarkStart w:id="2047" w:name="_Toc25747"/>
      <w:r>
        <w:rPr>
          <w:rFonts w:hint="eastAsia" w:ascii="宋体" w:hAnsi="宋体" w:cs="宋体"/>
          <w:szCs w:val="21"/>
          <w:lang w:bidi="ar"/>
        </w:rPr>
        <w:t>9</w:t>
      </w:r>
      <w:bookmarkEnd w:id="2038"/>
      <w:r>
        <w:rPr>
          <w:rFonts w:hint="eastAsia" w:ascii="宋体" w:hAnsi="宋体" w:cs="宋体"/>
          <w:szCs w:val="21"/>
          <w:lang w:bidi="ar"/>
        </w:rPr>
        <w:t>.3  重新试验</w:t>
      </w:r>
      <w:bookmarkEnd w:id="2039"/>
      <w:bookmarkEnd w:id="2040"/>
      <w:bookmarkEnd w:id="2041"/>
      <w:bookmarkEnd w:id="2042"/>
      <w:bookmarkEnd w:id="2043"/>
      <w:bookmarkEnd w:id="2044"/>
      <w:bookmarkEnd w:id="2045"/>
      <w:bookmarkEnd w:id="2046"/>
      <w:bookmarkEnd w:id="2047"/>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pPr>
        <w:widowControl/>
        <w:wordWrap w:val="0"/>
        <w:topLinePunct/>
        <w:adjustRightInd w:val="0"/>
        <w:snapToGrid w:val="0"/>
        <w:spacing w:after="163" w:afterLines="50" w:line="360" w:lineRule="auto"/>
        <w:outlineLvl w:val="2"/>
        <w:rPr>
          <w:rFonts w:ascii="宋体" w:hAnsi="宋体" w:cs="宋体"/>
        </w:rPr>
      </w:pPr>
      <w:bookmarkStart w:id="2048" w:name="_Ref532688226"/>
      <w:bookmarkEnd w:id="2048"/>
      <w:bookmarkStart w:id="2049" w:name="_Ref532688221"/>
      <w:bookmarkEnd w:id="2049"/>
      <w:bookmarkStart w:id="2050" w:name="_Toc20171802"/>
      <w:bookmarkStart w:id="2051" w:name="_Toc58860242"/>
      <w:bookmarkStart w:id="2052" w:name="_Toc84930792"/>
      <w:bookmarkStart w:id="2053" w:name="_Toc20473"/>
      <w:bookmarkStart w:id="2054" w:name="_Toc298"/>
      <w:bookmarkStart w:id="2055" w:name="_Toc10893"/>
      <w:bookmarkStart w:id="2056" w:name="_Toc51766655"/>
      <w:bookmarkStart w:id="2057" w:name="_Toc6741"/>
      <w:bookmarkStart w:id="2058" w:name="_Toc5444"/>
      <w:bookmarkStart w:id="2059" w:name="_Toc5962"/>
      <w:r>
        <w:rPr>
          <w:rFonts w:hint="eastAsia" w:ascii="宋体" w:hAnsi="宋体" w:cs="宋体"/>
          <w:szCs w:val="21"/>
          <w:lang w:bidi="ar"/>
        </w:rPr>
        <w:t>9</w:t>
      </w:r>
      <w:bookmarkEnd w:id="2050"/>
      <w:r>
        <w:rPr>
          <w:rFonts w:hint="eastAsia" w:ascii="宋体" w:hAnsi="宋体" w:cs="宋体"/>
          <w:szCs w:val="21"/>
          <w:lang w:bidi="ar"/>
        </w:rPr>
        <w:t>.4  未能通过竣工试验</w:t>
      </w:r>
      <w:bookmarkEnd w:id="2051"/>
      <w:bookmarkEnd w:id="2052"/>
      <w:bookmarkEnd w:id="2053"/>
      <w:bookmarkEnd w:id="2054"/>
      <w:bookmarkEnd w:id="2055"/>
      <w:bookmarkEnd w:id="2056"/>
      <w:bookmarkEnd w:id="2057"/>
      <w:bookmarkEnd w:id="2058"/>
      <w:bookmarkEnd w:id="2059"/>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9.4.1因发包人原因导致竣工试验未能通过的，承包人进行竣工试验的费用由发包人承担，竣工日期相应顺延。</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9.4.2如果工程或区段工程未能通过根据第9.3款[重新试验]重新进行的竣工试验的，则：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（1）发包人有权要求承包人根据第6.6款[缺陷和修补]继续进行修补和改正，并根据第9.3款[重新试验]再次进行竣工试验；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pPr>
        <w:widowControl/>
        <w:adjustRightInd w:val="0"/>
        <w:snapToGrid w:val="0"/>
        <w:spacing w:after="163" w:afterLines="50" w:line="360" w:lineRule="auto"/>
        <w:ind w:firstLine="420" w:firstLineChars="200"/>
        <w:rPr>
          <w:rFonts w:ascii="宋体" w:hAnsi="宋体" w:cs="宋体"/>
          <w:kern w:val="0"/>
        </w:rPr>
      </w:pPr>
      <w:bookmarkStart w:id="2060" w:name="_Ref4621461"/>
      <w:bookmarkEnd w:id="2060"/>
      <w:r>
        <w:rPr>
          <w:rFonts w:hint="eastAsia" w:ascii="宋体" w:hAnsi="宋体" w:cs="宋体"/>
          <w:kern w:val="0"/>
          <w:szCs w:val="21"/>
          <w:lang w:bidi="ar"/>
        </w:rPr>
        <w:t>（3）未能通过竣工试验，使工程或区段工程的任何主要部分丧失了生产、使用功能时，发包人有权指令承包人更换相关部分，承包人应承担因此增加的费用和误期损害赔偿责任，并赔偿发包人的相应损失；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pPr>
        <w:widowControl/>
        <w:wordWrap w:val="0"/>
        <w:topLinePunct/>
        <w:adjustRightInd w:val="0"/>
        <w:snapToGrid w:val="0"/>
        <w:spacing w:after="163" w:afterLines="50" w:line="360" w:lineRule="auto"/>
        <w:outlineLvl w:val="1"/>
        <w:rPr>
          <w:rFonts w:ascii="宋体" w:hAnsi="宋体" w:cs="宋体"/>
          <w:kern w:val="0"/>
        </w:rPr>
      </w:pPr>
      <w:bookmarkStart w:id="2061" w:name="_Ref4618338"/>
      <w:bookmarkEnd w:id="2061"/>
      <w:bookmarkStart w:id="2062" w:name="_Ref4624043"/>
      <w:bookmarkEnd w:id="2062"/>
      <w:bookmarkStart w:id="2063" w:name="_Toc20171803"/>
      <w:bookmarkEnd w:id="2063"/>
      <w:bookmarkStart w:id="2064" w:name="_Ref4618348"/>
      <w:bookmarkStart w:id="2065" w:name="_Toc14129"/>
      <w:bookmarkStart w:id="2066" w:name="_Toc294"/>
      <w:bookmarkStart w:id="2067" w:name="_Toc11235"/>
      <w:bookmarkStart w:id="2068" w:name="_Toc9212"/>
      <w:r>
        <w:rPr>
          <w:rFonts w:hint="eastAsia" w:ascii="宋体" w:hAnsi="宋体" w:cs="宋体"/>
          <w:kern w:val="0"/>
          <w:szCs w:val="21"/>
          <w:lang w:bidi="ar"/>
        </w:rPr>
        <w:t>第1</w:t>
      </w:r>
      <w:bookmarkEnd w:id="2064"/>
      <w:r>
        <w:rPr>
          <w:rFonts w:hint="eastAsia" w:ascii="宋体" w:hAnsi="宋体" w:cs="宋体"/>
          <w:kern w:val="0"/>
          <w:szCs w:val="21"/>
          <w:lang w:bidi="ar"/>
        </w:rPr>
        <w:t>0条  验收和工程接收</w:t>
      </w:r>
      <w:bookmarkEnd w:id="2065"/>
      <w:bookmarkEnd w:id="2066"/>
      <w:bookmarkEnd w:id="2067"/>
      <w:bookmarkEnd w:id="2068"/>
    </w:p>
    <w:p>
      <w:pPr>
        <w:widowControl/>
        <w:wordWrap w:val="0"/>
        <w:topLinePunct/>
        <w:adjustRightInd w:val="0"/>
        <w:snapToGrid w:val="0"/>
        <w:spacing w:after="163" w:afterLines="50" w:line="360" w:lineRule="auto"/>
        <w:outlineLvl w:val="2"/>
        <w:rPr>
          <w:rFonts w:ascii="宋体" w:hAnsi="宋体" w:cs="宋体"/>
        </w:rPr>
      </w:pPr>
      <w:bookmarkStart w:id="2069" w:name="_Ref532300804"/>
      <w:bookmarkEnd w:id="2069"/>
      <w:bookmarkStart w:id="2070" w:name="_Ref532301202"/>
      <w:bookmarkEnd w:id="2070"/>
      <w:bookmarkStart w:id="2071" w:name="_Ref532359143"/>
      <w:bookmarkEnd w:id="2071"/>
      <w:bookmarkStart w:id="2072" w:name="_Toc20171804"/>
      <w:bookmarkEnd w:id="2072"/>
      <w:bookmarkStart w:id="2073" w:name="_Ref532300801"/>
      <w:bookmarkEnd w:id="2073"/>
      <w:bookmarkStart w:id="2074" w:name="_Ref532359152"/>
      <w:bookmarkEnd w:id="2074"/>
      <w:bookmarkStart w:id="2075" w:name="_Ref532301199"/>
      <w:bookmarkStart w:id="2076" w:name="_Toc51766657"/>
      <w:bookmarkStart w:id="2077" w:name="_Toc58860244"/>
      <w:bookmarkStart w:id="2078" w:name="_Toc84930794"/>
      <w:bookmarkStart w:id="2079" w:name="_Toc22862"/>
      <w:bookmarkStart w:id="2080" w:name="_Toc365"/>
      <w:bookmarkStart w:id="2081" w:name="_Toc8870"/>
      <w:bookmarkStart w:id="2082" w:name="_Toc15796"/>
      <w:bookmarkStart w:id="2083" w:name="_Toc18977"/>
      <w:bookmarkStart w:id="2084" w:name="_Toc19210"/>
      <w:r>
        <w:rPr>
          <w:rFonts w:hint="eastAsia" w:ascii="宋体" w:hAnsi="宋体" w:cs="宋体"/>
          <w:szCs w:val="21"/>
          <w:lang w:bidi="ar"/>
        </w:rPr>
        <w:t>1</w:t>
      </w:r>
      <w:bookmarkEnd w:id="2075"/>
      <w:r>
        <w:rPr>
          <w:rFonts w:hint="eastAsia" w:ascii="宋体" w:hAnsi="宋体" w:cs="宋体"/>
          <w:szCs w:val="21"/>
          <w:lang w:bidi="ar"/>
        </w:rPr>
        <w:t>0.1  竣工验收</w:t>
      </w:r>
      <w:bookmarkEnd w:id="2076"/>
      <w:bookmarkEnd w:id="2077"/>
      <w:bookmarkEnd w:id="2078"/>
      <w:bookmarkEnd w:id="2079"/>
      <w:bookmarkEnd w:id="2080"/>
      <w:bookmarkEnd w:id="2081"/>
      <w:bookmarkEnd w:id="2082"/>
      <w:bookmarkEnd w:id="2083"/>
      <w:bookmarkEnd w:id="2084"/>
    </w:p>
    <w:p>
      <w:pPr>
        <w:widowControl/>
        <w:wordWrap w:val="0"/>
        <w:topLinePunct/>
        <w:adjustRightInd w:val="0"/>
        <w:snapToGrid w:val="0"/>
        <w:spacing w:after="163" w:afterLines="50" w:line="360" w:lineRule="auto"/>
        <w:ind w:left="480"/>
        <w:outlineLvl w:val="3"/>
        <w:rPr>
          <w:rFonts w:ascii="宋体" w:hAnsi="宋体" w:cs="宋体"/>
        </w:rPr>
      </w:pPr>
      <w:bookmarkStart w:id="2085" w:name="_Ref532628356"/>
      <w:bookmarkEnd w:id="2085"/>
      <w:r>
        <w:rPr>
          <w:rFonts w:hint="eastAsia" w:ascii="宋体" w:hAnsi="宋体" w:cs="宋体"/>
          <w:szCs w:val="21"/>
          <w:lang w:bidi="ar"/>
        </w:rPr>
        <w:t>10.1.1竣工验收条件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工程具备以下条件的，承包人可以申请竣工验收：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（2）已按合同约定编制了扫尾工作和缺陷修补工作清单以及相应实施计划；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（3）已按合同约定的内容和份数备齐竣工资料；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（4）合同约定要求在竣工验收前应完成的其他工作。</w:t>
      </w:r>
    </w:p>
    <w:p>
      <w:pPr>
        <w:widowControl/>
        <w:wordWrap w:val="0"/>
        <w:topLinePunct/>
        <w:adjustRightInd w:val="0"/>
        <w:snapToGrid w:val="0"/>
        <w:spacing w:after="163" w:afterLines="50" w:line="360" w:lineRule="auto"/>
        <w:ind w:left="480"/>
        <w:outlineLvl w:val="3"/>
        <w:rPr>
          <w:rFonts w:ascii="宋体" w:hAnsi="宋体" w:cs="宋体"/>
        </w:rPr>
      </w:pPr>
      <w:bookmarkStart w:id="2086" w:name="_Ref4429424"/>
      <w:bookmarkEnd w:id="2086"/>
      <w:r>
        <w:rPr>
          <w:rFonts w:hint="eastAsia" w:ascii="宋体" w:hAnsi="宋体" w:cs="宋体"/>
          <w:szCs w:val="21"/>
          <w:lang w:bidi="ar"/>
        </w:rPr>
        <w:t>10.1.2竣工验收程序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除专用合同条件另有约定外，承包人申请竣工验收的，应当按照以下程序进行：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（4）因发包人原因，未在工程师收到承包人竣工验收申请报告之日起</w:t>
      </w:r>
      <w:r>
        <w:rPr>
          <w:rFonts w:ascii="宋体" w:hAnsi="宋体" w:cs="宋体"/>
          <w:kern w:val="0"/>
          <w:szCs w:val="21"/>
          <w:lang w:bidi="ar"/>
        </w:rPr>
        <w:t>42</w:t>
      </w:r>
      <w:r>
        <w:rPr>
          <w:rFonts w:hint="eastAsia" w:ascii="宋体" w:hAnsi="宋体" w:cs="宋体"/>
          <w:kern w:val="0"/>
          <w:szCs w:val="21"/>
          <w:lang w:bidi="ar"/>
        </w:rPr>
        <w:t>天内完成竣工验收的，以承包人提交竣工验收申请报告之日作为工程实际竣工日期。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（5）工程未经竣工验收，发包人擅自使用的，以转移占有工程之日为实际竣工日期。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除专用合同条件另有约定外，发包人不按照本项和第</w:t>
      </w:r>
      <w:r>
        <w:rPr>
          <w:rFonts w:ascii="宋体" w:hAnsi="宋体" w:cs="宋体"/>
          <w:kern w:val="0"/>
          <w:szCs w:val="21"/>
          <w:lang w:bidi="ar"/>
        </w:rPr>
        <w:t>10.4</w:t>
      </w:r>
      <w:r>
        <w:rPr>
          <w:rFonts w:hint="eastAsia" w:ascii="宋体" w:hAnsi="宋体" w:cs="宋体"/>
          <w:kern w:val="0"/>
          <w:szCs w:val="21"/>
          <w:lang w:bidi="ar"/>
        </w:rPr>
        <w:t>款</w:t>
      </w:r>
      <w:r>
        <w:rPr>
          <w:rFonts w:ascii="宋体" w:hAnsi="宋体" w:cs="宋体"/>
          <w:kern w:val="0"/>
          <w:szCs w:val="21"/>
          <w:lang w:bidi="ar"/>
        </w:rPr>
        <w:t>[接收证书]</w:t>
      </w:r>
      <w:r>
        <w:rPr>
          <w:rFonts w:hint="eastAsia" w:ascii="宋体" w:hAnsi="宋体" w:cs="宋体"/>
          <w:kern w:val="0"/>
          <w:szCs w:val="21"/>
          <w:lang w:bidi="ar"/>
        </w:rPr>
        <w:t>约定组织竣工验收、颁发工程接收证书的，每逾期一天，应以签约合同价为基数，按照贷款市场报价利率（LPR）支付违约金。</w:t>
      </w:r>
    </w:p>
    <w:p>
      <w:pPr>
        <w:widowControl/>
        <w:wordWrap w:val="0"/>
        <w:topLinePunct/>
        <w:adjustRightInd w:val="0"/>
        <w:snapToGrid w:val="0"/>
        <w:spacing w:after="163" w:afterLines="50" w:line="360" w:lineRule="auto"/>
        <w:outlineLvl w:val="2"/>
        <w:rPr>
          <w:rFonts w:ascii="宋体" w:hAnsi="宋体" w:cs="宋体"/>
        </w:rPr>
      </w:pPr>
      <w:bookmarkStart w:id="2087" w:name="_Toc20171805"/>
      <w:bookmarkEnd w:id="2087"/>
      <w:bookmarkStart w:id="2088" w:name="_Ref532301213"/>
      <w:bookmarkEnd w:id="2088"/>
      <w:bookmarkStart w:id="2089" w:name="_Ref532301210"/>
      <w:bookmarkStart w:id="2090" w:name="_Toc27709"/>
      <w:bookmarkStart w:id="2091" w:name="_Toc28155"/>
      <w:bookmarkStart w:id="2092" w:name="_Toc607"/>
      <w:bookmarkStart w:id="2093" w:name="_Toc27931"/>
      <w:bookmarkStart w:id="2094" w:name="_Toc58860245"/>
      <w:bookmarkStart w:id="2095" w:name="_Toc12912"/>
      <w:bookmarkStart w:id="2096" w:name="_Toc84930795"/>
      <w:bookmarkStart w:id="2097" w:name="_Toc51766658"/>
      <w:bookmarkStart w:id="2098" w:name="_Toc27950"/>
      <w:r>
        <w:rPr>
          <w:rFonts w:hint="eastAsia" w:ascii="宋体" w:hAnsi="宋体" w:cs="宋体"/>
          <w:szCs w:val="21"/>
          <w:lang w:bidi="ar"/>
        </w:rPr>
        <w:t>1</w:t>
      </w:r>
      <w:bookmarkEnd w:id="2089"/>
      <w:r>
        <w:rPr>
          <w:rFonts w:hint="eastAsia" w:ascii="宋体" w:hAnsi="宋体" w:cs="宋体"/>
          <w:szCs w:val="21"/>
          <w:lang w:bidi="ar"/>
        </w:rPr>
        <w:t>0.2  单位/区段工程的验收</w:t>
      </w:r>
      <w:bookmarkEnd w:id="2090"/>
      <w:bookmarkEnd w:id="2091"/>
      <w:bookmarkEnd w:id="2092"/>
      <w:bookmarkEnd w:id="2093"/>
      <w:bookmarkEnd w:id="2094"/>
      <w:bookmarkEnd w:id="2095"/>
      <w:bookmarkEnd w:id="2096"/>
      <w:bookmarkEnd w:id="2097"/>
      <w:bookmarkEnd w:id="2098"/>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10.2.1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10.2.2发包人在全部工程竣工前，使用已接收的单位/区段工程导致承包人费用增加的，发包人应承担由此增加的费用和（或）工期延误，并支付承包人合理利润。</w:t>
      </w:r>
    </w:p>
    <w:p>
      <w:pPr>
        <w:widowControl/>
        <w:wordWrap w:val="0"/>
        <w:topLinePunct/>
        <w:adjustRightInd w:val="0"/>
        <w:snapToGrid w:val="0"/>
        <w:spacing w:after="163" w:afterLines="50" w:line="360" w:lineRule="auto"/>
        <w:outlineLvl w:val="2"/>
        <w:rPr>
          <w:rFonts w:ascii="宋体" w:hAnsi="宋体" w:cs="宋体"/>
        </w:rPr>
      </w:pPr>
      <w:bookmarkStart w:id="2099" w:name="_Toc20171806"/>
      <w:bookmarkEnd w:id="2099"/>
      <w:bookmarkStart w:id="2100" w:name="_Ref532688351"/>
      <w:bookmarkEnd w:id="2100"/>
      <w:bookmarkStart w:id="2101" w:name="_Ref4429473"/>
      <w:bookmarkEnd w:id="2101"/>
      <w:bookmarkStart w:id="2102" w:name="_Ref532688354"/>
      <w:bookmarkStart w:id="2103" w:name="_Toc22190"/>
      <w:bookmarkStart w:id="2104" w:name="_Toc58860246"/>
      <w:bookmarkStart w:id="2105" w:name="_Toc51766659"/>
      <w:bookmarkStart w:id="2106" w:name="_Toc21185"/>
      <w:bookmarkStart w:id="2107" w:name="_Toc23127"/>
      <w:bookmarkStart w:id="2108" w:name="_Toc84930796"/>
      <w:bookmarkStart w:id="2109" w:name="_Toc22523"/>
      <w:bookmarkStart w:id="2110" w:name="_Toc13831"/>
      <w:bookmarkStart w:id="2111" w:name="_Toc1194"/>
      <w:r>
        <w:rPr>
          <w:rFonts w:hint="eastAsia" w:ascii="宋体" w:hAnsi="宋体" w:cs="宋体"/>
          <w:szCs w:val="21"/>
          <w:lang w:bidi="ar"/>
        </w:rPr>
        <w:t>1</w:t>
      </w:r>
      <w:bookmarkEnd w:id="2102"/>
      <w:r>
        <w:rPr>
          <w:rFonts w:hint="eastAsia" w:ascii="宋体" w:hAnsi="宋体" w:cs="宋体"/>
          <w:szCs w:val="21"/>
          <w:lang w:bidi="ar"/>
        </w:rPr>
        <w:t>0.3  工程的接收</w:t>
      </w:r>
      <w:bookmarkEnd w:id="2103"/>
      <w:bookmarkEnd w:id="2104"/>
      <w:bookmarkEnd w:id="2105"/>
      <w:bookmarkEnd w:id="2106"/>
      <w:bookmarkEnd w:id="2107"/>
      <w:bookmarkEnd w:id="2108"/>
      <w:bookmarkEnd w:id="2109"/>
      <w:bookmarkEnd w:id="2110"/>
      <w:bookmarkEnd w:id="2111"/>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10.3.1根据工程项目的具体情况和特点，可按工程或单位/区段工程进行接收，并在专用合同条件约定接收的先后顺序、时间安排和其他要求。</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10.3.2除按本条约定已经提交的资料外，接收工程时承包人需提交竣工验收资料的类别、内容、份数和提交时间，在专用合同条件中约定。</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10.3.3发包人无正当理由不接收工程的，发包人自应当接收工程之日起，承担工程照管、成品保护、保管等与工程有关的各项费用，合同当事人可以在专用合同条件中另行约定发包人逾期接收工程的违约责任。</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10.3.4承包人无正当理由不移交工程的，承包人应承担工程照管、成品保护、保管等与工程有关的各项费用，合同当事人可以在专用合同条件中另行约定承包人无正当理由不移交工程的违约责任。</w:t>
      </w:r>
    </w:p>
    <w:p>
      <w:pPr>
        <w:widowControl/>
        <w:wordWrap w:val="0"/>
        <w:topLinePunct/>
        <w:adjustRightInd w:val="0"/>
        <w:snapToGrid w:val="0"/>
        <w:spacing w:after="163" w:afterLines="50" w:line="360" w:lineRule="auto"/>
        <w:outlineLvl w:val="2"/>
        <w:rPr>
          <w:rFonts w:ascii="宋体" w:hAnsi="宋体" w:cs="宋体"/>
        </w:rPr>
      </w:pPr>
      <w:bookmarkStart w:id="2112" w:name="_Toc27052"/>
      <w:bookmarkStart w:id="2113" w:name="_Toc12497"/>
      <w:bookmarkStart w:id="2114" w:name="_Toc25476"/>
      <w:bookmarkStart w:id="2115" w:name="_Toc84930797"/>
      <w:bookmarkStart w:id="2116" w:name="_Toc3110"/>
      <w:bookmarkStart w:id="2117" w:name="_Toc51766660"/>
      <w:bookmarkStart w:id="2118" w:name="_Toc21178"/>
      <w:bookmarkStart w:id="2119" w:name="_Toc58860247"/>
      <w:bookmarkStart w:id="2120" w:name="_Toc3689"/>
      <w:r>
        <w:rPr>
          <w:rFonts w:hint="eastAsia" w:ascii="宋体" w:hAnsi="宋体" w:cs="宋体"/>
          <w:szCs w:val="21"/>
          <w:lang w:bidi="ar"/>
        </w:rPr>
        <w:t>10.4  接收证书</w:t>
      </w:r>
      <w:bookmarkEnd w:id="2112"/>
      <w:bookmarkEnd w:id="2113"/>
      <w:bookmarkEnd w:id="2114"/>
      <w:bookmarkEnd w:id="2115"/>
      <w:bookmarkEnd w:id="2116"/>
      <w:bookmarkEnd w:id="2117"/>
      <w:bookmarkEnd w:id="2118"/>
      <w:bookmarkEnd w:id="2119"/>
      <w:bookmarkEnd w:id="2120"/>
    </w:p>
    <w:p>
      <w:pPr>
        <w:widowControl/>
        <w:adjustRightInd w:val="0"/>
        <w:snapToGrid w:val="0"/>
        <w:spacing w:after="163" w:afterLines="50" w:line="360" w:lineRule="auto"/>
        <w:ind w:firstLine="420" w:firstLineChars="200"/>
        <w:rPr>
          <w:rFonts w:ascii="宋体" w:hAnsi="宋体" w:cs="宋体"/>
        </w:rPr>
      </w:pPr>
      <w:bookmarkStart w:id="2121" w:name="_Ref4429542"/>
      <w:bookmarkEnd w:id="2121"/>
      <w:r>
        <w:rPr>
          <w:rFonts w:hint="eastAsia" w:ascii="宋体" w:hAnsi="宋体" w:cs="宋体"/>
          <w:szCs w:val="21"/>
          <w:lang w:bidi="ar"/>
        </w:rPr>
        <w:t>10.4.1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10.4.2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10.4.3竣工验收合格而发包人无正当理由逾期不颁发工程接收证书的，自验收合格后第15天起视为已颁发工程接收证书。</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10.4.4工程未经验收或验收不合格，发包人擅自使用的，应在转移占有工程后7天内向承包人颁发工程接收证书；发包人无正当理由逾期不颁发工程接收证书的，自转移占有后第15天起视为已颁发工程接收证书。</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10.4.5存在扫尾工作的，工程接收证书中应当将第14.5.3项[扫尾工作清单]中约定的扫尾工作清单作为工程接收证书附件。</w:t>
      </w:r>
    </w:p>
    <w:p>
      <w:pPr>
        <w:widowControl/>
        <w:wordWrap w:val="0"/>
        <w:topLinePunct/>
        <w:adjustRightInd w:val="0"/>
        <w:snapToGrid w:val="0"/>
        <w:spacing w:after="163" w:afterLines="50" w:line="360" w:lineRule="auto"/>
        <w:outlineLvl w:val="2"/>
        <w:rPr>
          <w:rFonts w:ascii="宋体" w:hAnsi="宋体" w:cs="宋体"/>
        </w:rPr>
      </w:pPr>
      <w:bookmarkStart w:id="2122" w:name="_Toc20171808"/>
      <w:bookmarkEnd w:id="2122"/>
      <w:bookmarkStart w:id="2123" w:name="_Ref4429932"/>
      <w:bookmarkEnd w:id="2123"/>
      <w:bookmarkStart w:id="2124" w:name="_Ref4429935"/>
      <w:bookmarkStart w:id="2125" w:name="_Toc51766661"/>
      <w:bookmarkStart w:id="2126" w:name="_Toc18623"/>
      <w:bookmarkStart w:id="2127" w:name="_Toc84930798"/>
      <w:bookmarkStart w:id="2128" w:name="_Toc30367"/>
      <w:bookmarkStart w:id="2129" w:name="_Toc17852"/>
      <w:bookmarkStart w:id="2130" w:name="_Toc58860248"/>
      <w:bookmarkStart w:id="2131" w:name="_Toc8964"/>
      <w:bookmarkStart w:id="2132" w:name="_Toc20349"/>
      <w:bookmarkStart w:id="2133" w:name="_Toc25284"/>
      <w:r>
        <w:rPr>
          <w:rFonts w:hint="eastAsia" w:ascii="宋体" w:hAnsi="宋体" w:cs="宋体"/>
          <w:szCs w:val="21"/>
          <w:lang w:bidi="ar"/>
        </w:rPr>
        <w:t>1</w:t>
      </w:r>
      <w:bookmarkEnd w:id="2124"/>
      <w:r>
        <w:rPr>
          <w:rFonts w:hint="eastAsia" w:ascii="宋体" w:hAnsi="宋体" w:cs="宋体"/>
          <w:szCs w:val="21"/>
          <w:lang w:bidi="ar"/>
        </w:rPr>
        <w:t>0.5  竣工退场</w:t>
      </w:r>
      <w:bookmarkEnd w:id="2125"/>
      <w:bookmarkEnd w:id="2126"/>
      <w:bookmarkEnd w:id="2127"/>
      <w:bookmarkEnd w:id="2128"/>
      <w:bookmarkEnd w:id="2129"/>
      <w:bookmarkEnd w:id="2130"/>
      <w:bookmarkEnd w:id="2131"/>
      <w:bookmarkEnd w:id="2132"/>
      <w:bookmarkEnd w:id="2133"/>
    </w:p>
    <w:p>
      <w:pPr>
        <w:widowControl/>
        <w:wordWrap w:val="0"/>
        <w:topLinePunct/>
        <w:adjustRightInd w:val="0"/>
        <w:snapToGrid w:val="0"/>
        <w:spacing w:after="163" w:afterLines="50" w:line="360" w:lineRule="auto"/>
        <w:ind w:left="480"/>
        <w:outlineLvl w:val="3"/>
        <w:rPr>
          <w:rFonts w:ascii="宋体" w:hAnsi="宋体" w:cs="宋体"/>
        </w:rPr>
      </w:pPr>
      <w:bookmarkStart w:id="2134" w:name="_Ref4429943"/>
      <w:bookmarkEnd w:id="2134"/>
      <w:r>
        <w:rPr>
          <w:rFonts w:hint="eastAsia" w:ascii="宋体" w:hAnsi="宋体" w:cs="宋体"/>
          <w:szCs w:val="21"/>
          <w:lang w:bidi="ar"/>
        </w:rPr>
        <w:t>10.5.1竣工退场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颁发工程接收证书后，承包人应对施工现场进行清理，并撤离相关人员，使得施工现场处于以下状态，直至工程师检验合格为止：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（1）施工现场内残留的垃圾已全部清除出场；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（2）临时工程已拆除，场地已按合同约定进行清理、平整或复原；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（3）按合同约定应撤离的人员、承包人提供的施工设备和剩余的材料，包括废弃的施工设备和材料，已按计划撤离施工现场；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（4）施工现场周边及其附近道路、河道的施工堆积物，已全部清理；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（5）施工现场其他竣工退场工作已全部完成。</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10.5.2地表还原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承包人应按合同约定和工程师的要求恢复临时占地及清理场地，否则发包人有权委托其他人恢复或清理，所发生的费用由承包人承担。</w:t>
      </w:r>
    </w:p>
    <w:p>
      <w:pPr>
        <w:widowControl/>
        <w:wordWrap w:val="0"/>
        <w:topLinePunct/>
        <w:adjustRightInd w:val="0"/>
        <w:snapToGrid w:val="0"/>
        <w:spacing w:after="163" w:afterLines="50" w:line="360" w:lineRule="auto"/>
        <w:ind w:left="480"/>
        <w:outlineLvl w:val="3"/>
        <w:rPr>
          <w:rFonts w:ascii="宋体" w:hAnsi="宋体" w:cs="宋体"/>
        </w:rPr>
      </w:pPr>
      <w:bookmarkStart w:id="2135" w:name="_Ref20159437"/>
      <w:bookmarkEnd w:id="2135"/>
      <w:r>
        <w:rPr>
          <w:rFonts w:hint="eastAsia" w:ascii="宋体" w:hAnsi="宋体" w:cs="宋体"/>
          <w:szCs w:val="21"/>
          <w:lang w:bidi="ar"/>
        </w:rPr>
        <w:t>10.5.3人员撤离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pPr>
        <w:widowControl/>
        <w:wordWrap w:val="0"/>
        <w:topLinePunct/>
        <w:adjustRightInd w:val="0"/>
        <w:snapToGrid w:val="0"/>
        <w:spacing w:after="163" w:afterLines="50" w:line="360" w:lineRule="auto"/>
        <w:outlineLvl w:val="1"/>
        <w:rPr>
          <w:rFonts w:ascii="宋体" w:hAnsi="宋体" w:cs="宋体"/>
          <w:kern w:val="0"/>
        </w:rPr>
      </w:pPr>
      <w:bookmarkStart w:id="2136" w:name="_Ref531955009"/>
      <w:bookmarkEnd w:id="2136"/>
      <w:bookmarkStart w:id="2137" w:name="_Toc20171809"/>
      <w:bookmarkEnd w:id="2137"/>
      <w:bookmarkStart w:id="2138" w:name="_Ref4796909"/>
      <w:bookmarkEnd w:id="2138"/>
      <w:bookmarkStart w:id="2139" w:name="_Ref4796906"/>
      <w:bookmarkStart w:id="2140" w:name="_Toc3363"/>
      <w:bookmarkStart w:id="2141" w:name="_Toc2982"/>
      <w:bookmarkStart w:id="2142" w:name="_Toc11337"/>
      <w:bookmarkStart w:id="2143" w:name="_Toc10845"/>
      <w:r>
        <w:rPr>
          <w:rFonts w:hint="eastAsia" w:ascii="宋体" w:hAnsi="宋体" w:cs="宋体"/>
          <w:kern w:val="0"/>
          <w:szCs w:val="21"/>
          <w:lang w:bidi="ar"/>
        </w:rPr>
        <w:t>第1</w:t>
      </w:r>
      <w:bookmarkEnd w:id="2139"/>
      <w:r>
        <w:rPr>
          <w:rFonts w:hint="eastAsia" w:ascii="宋体" w:hAnsi="宋体" w:cs="宋体"/>
          <w:kern w:val="0"/>
          <w:szCs w:val="21"/>
          <w:lang w:bidi="ar"/>
        </w:rPr>
        <w:t>1条  缺陷责任与保修</w:t>
      </w:r>
      <w:bookmarkEnd w:id="2140"/>
      <w:bookmarkEnd w:id="2141"/>
      <w:bookmarkEnd w:id="2142"/>
      <w:bookmarkEnd w:id="2143"/>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144" w:name="_Toc296346648"/>
      <w:bookmarkEnd w:id="2144"/>
      <w:bookmarkStart w:id="2145" w:name="_Toc337558841"/>
      <w:bookmarkEnd w:id="2145"/>
      <w:bookmarkStart w:id="2146" w:name="_Ref531955248"/>
      <w:bookmarkEnd w:id="2146"/>
      <w:bookmarkStart w:id="2147" w:name="_Ref531955245"/>
      <w:bookmarkEnd w:id="2147"/>
      <w:bookmarkStart w:id="2148" w:name="_Toc296503147"/>
      <w:bookmarkEnd w:id="2148"/>
      <w:bookmarkStart w:id="2149" w:name="_Ref532362928"/>
      <w:bookmarkEnd w:id="2149"/>
      <w:bookmarkStart w:id="2150" w:name="_Toc20171810"/>
      <w:bookmarkStart w:id="2151" w:name="_Toc15855"/>
      <w:bookmarkStart w:id="2152" w:name="_Toc51766663"/>
      <w:bookmarkStart w:id="2153" w:name="_Toc9966"/>
      <w:bookmarkStart w:id="2154" w:name="_Toc84930800"/>
      <w:bookmarkStart w:id="2155" w:name="_Toc24030"/>
      <w:bookmarkStart w:id="2156" w:name="_Toc32344"/>
      <w:bookmarkStart w:id="2157" w:name="_Toc8299"/>
      <w:bookmarkStart w:id="2158" w:name="_Toc58860250"/>
      <w:bookmarkStart w:id="2159" w:name="_Toc31047"/>
      <w:r>
        <w:rPr>
          <w:rFonts w:hint="eastAsia" w:ascii="宋体" w:hAnsi="宋体" w:cs="宋体"/>
          <w:szCs w:val="21"/>
          <w:lang w:bidi="ar"/>
        </w:rPr>
        <w:t xml:space="preserve">11.1  </w:t>
      </w:r>
      <w:bookmarkEnd w:id="2150"/>
      <w:r>
        <w:rPr>
          <w:rFonts w:hint="eastAsia" w:ascii="宋体" w:hAnsi="宋体" w:cs="宋体"/>
          <w:szCs w:val="21"/>
          <w:lang w:bidi="ar"/>
        </w:rPr>
        <w:t>工程保修的原则</w:t>
      </w:r>
      <w:bookmarkEnd w:id="2151"/>
      <w:bookmarkEnd w:id="2152"/>
      <w:bookmarkEnd w:id="2153"/>
      <w:bookmarkEnd w:id="2154"/>
      <w:bookmarkEnd w:id="2155"/>
      <w:bookmarkEnd w:id="2156"/>
      <w:bookmarkEnd w:id="2157"/>
      <w:bookmarkEnd w:id="2158"/>
      <w:bookmarkEnd w:id="215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在工程移交发包人后，因承包人原因产生的质量缺陷，承包人应承担质量缺陷责任和保修义务。缺陷责任期届满，承包人仍应按合同约定的工程各部位保修年限承担保修义务。</w:t>
      </w:r>
    </w:p>
    <w:p>
      <w:pPr>
        <w:widowControl/>
        <w:wordWrap w:val="0"/>
        <w:topLinePunct/>
        <w:adjustRightInd w:val="0"/>
        <w:snapToGrid w:val="0"/>
        <w:spacing w:after="163" w:afterLines="50" w:line="360" w:lineRule="auto"/>
        <w:outlineLvl w:val="2"/>
        <w:rPr>
          <w:rFonts w:ascii="宋体" w:hAnsi="宋体" w:cs="宋体"/>
        </w:rPr>
      </w:pPr>
      <w:bookmarkStart w:id="2160" w:name="_Toc20171811"/>
      <w:bookmarkEnd w:id="2160"/>
      <w:bookmarkStart w:id="2161" w:name="_Ref4430062"/>
      <w:bookmarkStart w:id="2162" w:name="_Toc25440"/>
      <w:bookmarkStart w:id="2163" w:name="_Toc51766664"/>
      <w:bookmarkStart w:id="2164" w:name="_Toc58860251"/>
      <w:bookmarkStart w:id="2165" w:name="_Toc12872"/>
      <w:bookmarkStart w:id="2166" w:name="_Toc6594"/>
      <w:bookmarkStart w:id="2167" w:name="_Toc84930801"/>
      <w:bookmarkStart w:id="2168" w:name="_Toc23546"/>
      <w:bookmarkStart w:id="2169" w:name="_Toc2728"/>
      <w:bookmarkStart w:id="2170" w:name="_Toc89"/>
      <w:r>
        <w:rPr>
          <w:rFonts w:hint="eastAsia" w:ascii="宋体" w:hAnsi="宋体" w:cs="宋体"/>
          <w:szCs w:val="21"/>
          <w:lang w:bidi="ar"/>
        </w:rPr>
        <w:t>1</w:t>
      </w:r>
      <w:bookmarkEnd w:id="2161"/>
      <w:r>
        <w:rPr>
          <w:rFonts w:hint="eastAsia" w:ascii="宋体" w:hAnsi="宋体" w:cs="宋体"/>
          <w:szCs w:val="21"/>
          <w:lang w:bidi="ar"/>
        </w:rPr>
        <w:t>1.2  缺陷责任期</w:t>
      </w:r>
      <w:bookmarkEnd w:id="2162"/>
      <w:bookmarkEnd w:id="2163"/>
      <w:bookmarkEnd w:id="2164"/>
      <w:bookmarkEnd w:id="2165"/>
      <w:bookmarkEnd w:id="2166"/>
      <w:bookmarkEnd w:id="2167"/>
      <w:bookmarkEnd w:id="2168"/>
      <w:bookmarkEnd w:id="2169"/>
      <w:bookmarkEnd w:id="2170"/>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缺陷责任期原则上从工程竣工验收合格之日起计算，合同当事人应在专用合同条件约定缺陷责任期的具体期限，但该期限最长不超过24个月。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pPr>
        <w:widowControl/>
        <w:wordWrap w:val="0"/>
        <w:topLinePunct/>
        <w:adjustRightInd w:val="0"/>
        <w:snapToGrid w:val="0"/>
        <w:spacing w:after="163" w:afterLines="50" w:line="360" w:lineRule="auto"/>
        <w:outlineLvl w:val="2"/>
        <w:rPr>
          <w:rFonts w:ascii="宋体" w:hAnsi="宋体" w:cs="宋体"/>
        </w:rPr>
      </w:pPr>
      <w:bookmarkStart w:id="2171" w:name="_Ref532662491"/>
      <w:bookmarkEnd w:id="2171"/>
      <w:bookmarkStart w:id="2172" w:name="_Toc20171812"/>
      <w:bookmarkEnd w:id="2172"/>
      <w:bookmarkStart w:id="2173" w:name="_Ref532662486"/>
      <w:bookmarkStart w:id="2174" w:name="_Toc29155"/>
      <w:bookmarkStart w:id="2175" w:name="_Toc51766665"/>
      <w:bookmarkStart w:id="2176" w:name="_Toc24642"/>
      <w:bookmarkStart w:id="2177" w:name="_Toc84930802"/>
      <w:bookmarkStart w:id="2178" w:name="_Toc21723"/>
      <w:bookmarkStart w:id="2179" w:name="_Toc58860252"/>
      <w:bookmarkStart w:id="2180" w:name="_Toc11726"/>
      <w:bookmarkStart w:id="2181" w:name="_Toc32069"/>
      <w:bookmarkStart w:id="2182" w:name="_Toc8412"/>
      <w:r>
        <w:rPr>
          <w:rFonts w:hint="eastAsia" w:ascii="宋体" w:hAnsi="宋体" w:cs="宋体"/>
          <w:szCs w:val="21"/>
          <w:lang w:bidi="ar"/>
        </w:rPr>
        <w:t>1</w:t>
      </w:r>
      <w:bookmarkEnd w:id="2173"/>
      <w:r>
        <w:rPr>
          <w:rFonts w:hint="eastAsia" w:ascii="宋体" w:hAnsi="宋体" w:cs="宋体"/>
          <w:szCs w:val="21"/>
          <w:lang w:bidi="ar"/>
        </w:rPr>
        <w:t>1.3  缺陷</w:t>
      </w:r>
      <w:bookmarkEnd w:id="2174"/>
      <w:bookmarkEnd w:id="2175"/>
      <w:r>
        <w:rPr>
          <w:rFonts w:hint="eastAsia" w:ascii="宋体" w:hAnsi="宋体" w:cs="宋体"/>
          <w:szCs w:val="21"/>
          <w:lang w:bidi="ar"/>
        </w:rPr>
        <w:t>调查</w:t>
      </w:r>
      <w:bookmarkEnd w:id="2176"/>
      <w:bookmarkEnd w:id="2177"/>
      <w:bookmarkEnd w:id="2178"/>
      <w:bookmarkEnd w:id="2179"/>
      <w:bookmarkEnd w:id="2180"/>
      <w:bookmarkEnd w:id="2181"/>
      <w:bookmarkEnd w:id="2182"/>
    </w:p>
    <w:p>
      <w:pPr>
        <w:widowControl/>
        <w:wordWrap w:val="0"/>
        <w:topLinePunct/>
        <w:adjustRightInd w:val="0"/>
        <w:snapToGrid w:val="0"/>
        <w:spacing w:after="163" w:afterLines="50" w:line="360" w:lineRule="auto"/>
        <w:ind w:left="480"/>
        <w:outlineLvl w:val="3"/>
        <w:rPr>
          <w:rFonts w:ascii="宋体" w:hAnsi="宋体" w:cs="宋体"/>
          <w:b/>
          <w:szCs w:val="21"/>
          <w:lang w:bidi="ar"/>
        </w:rPr>
      </w:pPr>
      <w:r>
        <w:rPr>
          <w:rFonts w:hint="eastAsia" w:ascii="宋体" w:hAnsi="宋体" w:cs="宋体"/>
          <w:szCs w:val="21"/>
          <w:lang w:bidi="ar"/>
        </w:rPr>
        <w:t>1</w:t>
      </w:r>
      <w:r>
        <w:rPr>
          <w:rFonts w:ascii="宋体" w:hAnsi="宋体" w:cs="宋体"/>
          <w:szCs w:val="21"/>
          <w:lang w:bidi="ar"/>
        </w:rPr>
        <w:t xml:space="preserve">1.3.1 </w:t>
      </w:r>
      <w:r>
        <w:rPr>
          <w:rFonts w:hint="eastAsia" w:ascii="宋体" w:hAnsi="宋体" w:cs="宋体"/>
          <w:szCs w:val="21"/>
          <w:lang w:bidi="ar"/>
        </w:rPr>
        <w:t>承包人缺陷调查</w:t>
      </w:r>
    </w:p>
    <w:p>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2</w:t>
      </w:r>
      <w:r>
        <w:rPr>
          <w:rFonts w:hint="eastAsia" w:ascii="宋体" w:hAnsi="宋体" w:cs="宋体"/>
          <w:szCs w:val="21"/>
          <w:lang w:bidi="ar"/>
        </w:rPr>
        <w:t>缺陷责任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3</w:t>
      </w:r>
      <w:r>
        <w:rPr>
          <w:rFonts w:hint="eastAsia" w:ascii="宋体" w:hAnsi="宋体" w:cs="宋体"/>
          <w:szCs w:val="21"/>
          <w:lang w:bidi="ar"/>
        </w:rPr>
        <w:t>修复费用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发包人和承包人应共同查清缺陷或损坏的原因。经查明属承包人原因造成的，应由承包人承担修复的费用。经查验非承包人原因造成的，发包人应承担修复的费用，并支付承包人合理利润。</w:t>
      </w:r>
    </w:p>
    <w:p>
      <w:pPr>
        <w:widowControl/>
        <w:wordWrap w:val="0"/>
        <w:topLinePunct/>
        <w:adjustRightInd w:val="0"/>
        <w:snapToGrid w:val="0"/>
        <w:spacing w:after="163" w:afterLines="50" w:line="360" w:lineRule="auto"/>
        <w:ind w:left="480"/>
        <w:outlineLvl w:val="3"/>
        <w:rPr>
          <w:rFonts w:ascii="宋体" w:hAnsi="宋体" w:cs="宋体"/>
        </w:rPr>
      </w:pPr>
      <w:bookmarkStart w:id="2183" w:name="_Ref531955041"/>
      <w:bookmarkEnd w:id="2183"/>
      <w:r>
        <w:rPr>
          <w:rFonts w:hint="eastAsia" w:ascii="宋体" w:hAnsi="宋体" w:cs="宋体"/>
          <w:szCs w:val="21"/>
          <w:lang w:bidi="ar"/>
        </w:rPr>
        <w:t>11.3.</w:t>
      </w:r>
      <w:r>
        <w:rPr>
          <w:rFonts w:ascii="宋体" w:hAnsi="宋体" w:cs="宋体"/>
          <w:szCs w:val="21"/>
          <w:lang w:bidi="ar"/>
        </w:rPr>
        <w:t>4</w:t>
      </w:r>
      <w:r>
        <w:rPr>
          <w:rFonts w:hint="eastAsia" w:ascii="宋体" w:hAnsi="宋体" w:cs="宋体"/>
          <w:szCs w:val="21"/>
          <w:lang w:bidi="ar"/>
        </w:rPr>
        <w:t>修复通知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5</w:t>
      </w:r>
      <w:r>
        <w:rPr>
          <w:rFonts w:hint="eastAsia" w:ascii="宋体" w:hAnsi="宋体" w:cs="宋体"/>
          <w:szCs w:val="21"/>
          <w:lang w:bidi="ar"/>
        </w:rPr>
        <w:t>在现场外修复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pPr>
        <w:widowControl/>
        <w:wordWrap w:val="0"/>
        <w:topLinePunct/>
        <w:adjustRightInd w:val="0"/>
        <w:snapToGrid w:val="0"/>
        <w:spacing w:after="163" w:afterLines="50" w:line="360" w:lineRule="auto"/>
        <w:ind w:left="480"/>
        <w:outlineLvl w:val="3"/>
        <w:rPr>
          <w:rFonts w:ascii="宋体" w:hAnsi="宋体" w:cs="宋体"/>
        </w:rPr>
      </w:pPr>
      <w:bookmarkStart w:id="2184" w:name="_Ref4534291"/>
      <w:bookmarkEnd w:id="2184"/>
      <w:r>
        <w:rPr>
          <w:rFonts w:hint="eastAsia" w:ascii="宋体" w:hAnsi="宋体" w:cs="宋体"/>
          <w:szCs w:val="21"/>
          <w:lang w:bidi="ar"/>
        </w:rPr>
        <w:t>11.3.</w:t>
      </w:r>
      <w:r>
        <w:rPr>
          <w:rFonts w:ascii="宋体" w:hAnsi="宋体" w:cs="宋体"/>
          <w:szCs w:val="21"/>
          <w:lang w:bidi="ar"/>
        </w:rPr>
        <w:t>6</w:t>
      </w:r>
      <w:r>
        <w:rPr>
          <w:rFonts w:hint="eastAsia" w:ascii="宋体" w:hAnsi="宋体" w:cs="宋体"/>
          <w:szCs w:val="21"/>
          <w:lang w:bidi="ar"/>
        </w:rPr>
        <w:t>未能修复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如果工程或工程设备的缺陷或损害使发包人实质上失去了工程的整体功能，发包人有权向承包人追回已支付的工程款项，并要求其赔偿发包人相应损失。</w:t>
      </w:r>
    </w:p>
    <w:p>
      <w:pPr>
        <w:widowControl/>
        <w:wordWrap w:val="0"/>
        <w:topLinePunct/>
        <w:adjustRightInd w:val="0"/>
        <w:snapToGrid w:val="0"/>
        <w:spacing w:after="163" w:afterLines="50" w:line="360" w:lineRule="auto"/>
        <w:outlineLvl w:val="2"/>
        <w:rPr>
          <w:rFonts w:ascii="宋体" w:hAnsi="宋体" w:cs="宋体"/>
        </w:rPr>
      </w:pPr>
      <w:bookmarkStart w:id="2185" w:name="_Ref532662552"/>
      <w:bookmarkEnd w:id="2185"/>
      <w:bookmarkStart w:id="2186" w:name="_Ref532662554"/>
      <w:bookmarkEnd w:id="2186"/>
      <w:bookmarkStart w:id="2187" w:name="_Toc20171813"/>
      <w:bookmarkEnd w:id="2187"/>
      <w:bookmarkStart w:id="2188" w:name="_Toc29755"/>
      <w:bookmarkStart w:id="2189" w:name="_Toc58860253"/>
      <w:bookmarkStart w:id="2190" w:name="_Toc51766666"/>
      <w:bookmarkStart w:id="2191" w:name="_Toc30896"/>
      <w:bookmarkStart w:id="2192" w:name="_Toc23187"/>
      <w:bookmarkStart w:id="2193" w:name="_Toc84930803"/>
      <w:bookmarkStart w:id="2194" w:name="_Toc23576"/>
      <w:bookmarkStart w:id="2195" w:name="_Toc7565"/>
      <w:bookmarkStart w:id="2196" w:name="_Toc10907"/>
      <w:r>
        <w:rPr>
          <w:rFonts w:hint="eastAsia" w:ascii="宋体" w:hAnsi="宋体" w:cs="宋体"/>
          <w:szCs w:val="21"/>
          <w:lang w:bidi="ar"/>
        </w:rPr>
        <w:t>11.4  缺陷修复后的进一步试验</w:t>
      </w:r>
      <w:bookmarkEnd w:id="2188"/>
      <w:bookmarkEnd w:id="2189"/>
      <w:bookmarkEnd w:id="2190"/>
      <w:bookmarkEnd w:id="2191"/>
      <w:bookmarkEnd w:id="2192"/>
      <w:bookmarkEnd w:id="2193"/>
      <w:bookmarkEnd w:id="2194"/>
      <w:bookmarkEnd w:id="2195"/>
      <w:bookmarkEnd w:id="219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所有的重复试验应按照适用于先前试验的条款进行，但应由责任方承担修补工作的成本和重新试验的风险和费用。</w:t>
      </w:r>
    </w:p>
    <w:p>
      <w:pPr>
        <w:widowControl/>
        <w:wordWrap w:val="0"/>
        <w:topLinePunct/>
        <w:adjustRightInd w:val="0"/>
        <w:snapToGrid w:val="0"/>
        <w:spacing w:after="163" w:afterLines="50" w:line="360" w:lineRule="auto"/>
        <w:outlineLvl w:val="2"/>
        <w:rPr>
          <w:rFonts w:ascii="宋体" w:hAnsi="宋体" w:cs="宋体"/>
        </w:rPr>
      </w:pPr>
      <w:bookmarkStart w:id="2197" w:name="_Toc20171814"/>
      <w:bookmarkEnd w:id="2197"/>
      <w:bookmarkStart w:id="2198" w:name="_Toc84930804"/>
      <w:bookmarkStart w:id="2199" w:name="_Toc756"/>
      <w:bookmarkStart w:id="2200" w:name="_Toc31304"/>
      <w:bookmarkStart w:id="2201" w:name="_Toc51766667"/>
      <w:bookmarkStart w:id="2202" w:name="_Toc58860254"/>
      <w:bookmarkStart w:id="2203" w:name="_Toc28139"/>
      <w:bookmarkStart w:id="2204" w:name="_Toc4632"/>
      <w:bookmarkStart w:id="2205" w:name="_Toc15540"/>
      <w:bookmarkStart w:id="2206" w:name="_Toc26168"/>
      <w:r>
        <w:rPr>
          <w:rFonts w:hint="eastAsia" w:ascii="宋体" w:hAnsi="宋体" w:cs="宋体"/>
          <w:szCs w:val="21"/>
          <w:lang w:bidi="ar"/>
        </w:rPr>
        <w:t>11.5  承包人出入权</w:t>
      </w:r>
      <w:bookmarkEnd w:id="2198"/>
      <w:bookmarkEnd w:id="2199"/>
      <w:bookmarkEnd w:id="2200"/>
      <w:bookmarkEnd w:id="2201"/>
      <w:bookmarkEnd w:id="2202"/>
      <w:bookmarkEnd w:id="2203"/>
      <w:bookmarkEnd w:id="2204"/>
      <w:bookmarkEnd w:id="2205"/>
      <w:bookmarkEnd w:id="220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pPr>
        <w:widowControl/>
        <w:wordWrap w:val="0"/>
        <w:topLinePunct/>
        <w:adjustRightInd w:val="0"/>
        <w:snapToGrid w:val="0"/>
        <w:spacing w:after="163" w:afterLines="50" w:line="360" w:lineRule="auto"/>
        <w:outlineLvl w:val="2"/>
        <w:rPr>
          <w:rFonts w:ascii="宋体" w:hAnsi="宋体" w:cs="宋体"/>
        </w:rPr>
      </w:pPr>
      <w:bookmarkStart w:id="2207" w:name="_Toc20171815"/>
      <w:bookmarkEnd w:id="2207"/>
      <w:bookmarkStart w:id="2208" w:name="_Toc58860255"/>
      <w:bookmarkStart w:id="2209" w:name="_Toc13169"/>
      <w:bookmarkStart w:id="2210" w:name="_Toc51766668"/>
      <w:bookmarkStart w:id="2211" w:name="_Toc21142"/>
      <w:bookmarkStart w:id="2212" w:name="_Toc21746"/>
      <w:bookmarkStart w:id="2213" w:name="_Toc25111"/>
      <w:bookmarkStart w:id="2214" w:name="_Toc29218"/>
      <w:bookmarkStart w:id="2215" w:name="_Toc84930805"/>
      <w:bookmarkStart w:id="2216" w:name="_Toc6337"/>
      <w:r>
        <w:rPr>
          <w:rFonts w:hint="eastAsia" w:ascii="宋体" w:hAnsi="宋体" w:cs="宋体"/>
          <w:szCs w:val="21"/>
          <w:lang w:bidi="ar"/>
        </w:rPr>
        <w:t>11.6</w:t>
      </w:r>
      <w:bookmarkEnd w:id="2208"/>
      <w:r>
        <w:rPr>
          <w:rFonts w:hint="eastAsia" w:ascii="宋体" w:hAnsi="宋体" w:cs="宋体"/>
          <w:szCs w:val="21"/>
          <w:lang w:bidi="ar"/>
        </w:rPr>
        <w:t xml:space="preserve">  </w:t>
      </w:r>
      <w:bookmarkEnd w:id="2209"/>
      <w:bookmarkEnd w:id="2210"/>
      <w:bookmarkStart w:id="2217" w:name="_Ref4430229"/>
      <w:bookmarkEnd w:id="2217"/>
      <w:bookmarkStart w:id="2218" w:name="_Ref4430223"/>
      <w:bookmarkEnd w:id="2218"/>
      <w:bookmarkStart w:id="2219" w:name="_Toc51766669"/>
      <w:bookmarkStart w:id="2220" w:name="_Toc25296"/>
      <w:bookmarkStart w:id="2221" w:name="_Toc58860256"/>
      <w:r>
        <w:rPr>
          <w:rFonts w:hint="eastAsia" w:ascii="宋体" w:hAnsi="宋体" w:cs="宋体"/>
          <w:szCs w:val="21"/>
          <w:lang w:bidi="ar"/>
        </w:rPr>
        <w:t>缺陷责任期终止证书</w:t>
      </w:r>
      <w:bookmarkEnd w:id="2211"/>
      <w:bookmarkEnd w:id="2212"/>
      <w:bookmarkEnd w:id="2213"/>
      <w:bookmarkEnd w:id="2214"/>
      <w:bookmarkEnd w:id="2215"/>
      <w:bookmarkEnd w:id="2216"/>
      <w:bookmarkEnd w:id="2219"/>
      <w:bookmarkEnd w:id="2220"/>
      <w:bookmarkEnd w:id="2221"/>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w:t>
      </w:r>
      <w:bookmarkStart w:id="2222" w:name="_Hlk4686672"/>
      <w:r>
        <w:rPr>
          <w:rFonts w:hint="eastAsia" w:ascii="宋体" w:hAnsi="宋体" w:cs="宋体"/>
          <w:kern w:val="0"/>
          <w:szCs w:val="21"/>
          <w:lang w:bidi="ar"/>
        </w:rPr>
        <w:t>承包人应于缺陷责任期届满前7天内向发包人发出缺陷责任期即将届满通知，发包人应在收到通知后</w:t>
      </w:r>
      <w:bookmarkEnd w:id="2222"/>
      <w:r>
        <w:rPr>
          <w:rFonts w:hint="eastAsia" w:ascii="宋体" w:hAnsi="宋体" w:cs="宋体"/>
          <w:kern w:val="0"/>
          <w:szCs w:val="21"/>
          <w:lang w:bidi="ar"/>
        </w:rPr>
        <w:t>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如根据第10.5.3项[人员撤离]承包人在施工现场还留有人员、施工设备和临时工程的，承包人应当在收到缺陷责任期终止证书后28天内，将上述人员、施工设备和临时工程撤离施工现场。</w:t>
      </w:r>
    </w:p>
    <w:p>
      <w:pPr>
        <w:widowControl/>
        <w:wordWrap w:val="0"/>
        <w:topLinePunct/>
        <w:adjustRightInd w:val="0"/>
        <w:snapToGrid w:val="0"/>
        <w:spacing w:after="163" w:afterLines="50" w:line="360" w:lineRule="auto"/>
        <w:outlineLvl w:val="2"/>
        <w:rPr>
          <w:rFonts w:ascii="宋体" w:hAnsi="宋体" w:cs="宋体"/>
        </w:rPr>
      </w:pPr>
      <w:bookmarkStart w:id="2223" w:name="_Toc20171817"/>
      <w:bookmarkEnd w:id="2223"/>
      <w:bookmarkStart w:id="2224" w:name="_Ref4430272"/>
      <w:bookmarkStart w:id="2225" w:name="_Toc6432"/>
      <w:bookmarkStart w:id="2226" w:name="_Toc58860257"/>
      <w:bookmarkStart w:id="2227" w:name="_Toc51766670"/>
      <w:bookmarkStart w:id="2228" w:name="_Toc18712"/>
      <w:bookmarkStart w:id="2229" w:name="_Toc27965"/>
      <w:bookmarkStart w:id="2230" w:name="_Toc9809"/>
      <w:bookmarkStart w:id="2231" w:name="_Toc84930806"/>
      <w:bookmarkStart w:id="2232" w:name="_Toc7142"/>
      <w:bookmarkStart w:id="2233" w:name="_Toc16698"/>
      <w:r>
        <w:rPr>
          <w:rFonts w:hint="eastAsia" w:ascii="宋体" w:hAnsi="宋体" w:cs="宋体"/>
          <w:szCs w:val="21"/>
          <w:lang w:bidi="ar"/>
        </w:rPr>
        <w:t>1</w:t>
      </w:r>
      <w:bookmarkEnd w:id="2224"/>
      <w:r>
        <w:rPr>
          <w:rFonts w:hint="eastAsia" w:ascii="宋体" w:hAnsi="宋体" w:cs="宋体"/>
          <w:szCs w:val="21"/>
          <w:lang w:bidi="ar"/>
        </w:rPr>
        <w:t>1.</w:t>
      </w:r>
      <w:r>
        <w:rPr>
          <w:rFonts w:ascii="宋体" w:hAnsi="宋体" w:cs="宋体"/>
          <w:szCs w:val="21"/>
          <w:lang w:bidi="ar"/>
        </w:rPr>
        <w:t>7</w:t>
      </w:r>
      <w:r>
        <w:rPr>
          <w:rFonts w:hint="eastAsia" w:ascii="宋体" w:hAnsi="宋体" w:cs="宋体"/>
          <w:szCs w:val="21"/>
          <w:lang w:bidi="ar"/>
        </w:rPr>
        <w:t xml:space="preserve">  保修责任</w:t>
      </w:r>
      <w:bookmarkEnd w:id="2225"/>
      <w:bookmarkEnd w:id="2226"/>
      <w:bookmarkEnd w:id="2227"/>
      <w:bookmarkEnd w:id="2228"/>
      <w:bookmarkEnd w:id="2229"/>
      <w:bookmarkEnd w:id="2230"/>
      <w:bookmarkEnd w:id="2231"/>
      <w:bookmarkEnd w:id="2232"/>
      <w:bookmarkEnd w:id="223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因承包人原因导致的质量缺陷责任，由合同当事人根据有关法律规定，在专用合同条件和工程质量保修书中约定工程质量保修范围、期限和责任。</w:t>
      </w:r>
      <w:bookmarkStart w:id="2234" w:name="_Ref531957860"/>
      <w:bookmarkEnd w:id="2234"/>
      <w:bookmarkStart w:id="2235" w:name="_Ref531958289"/>
      <w:bookmarkEnd w:id="2235"/>
    </w:p>
    <w:p>
      <w:pPr>
        <w:widowControl/>
        <w:wordWrap w:val="0"/>
        <w:topLinePunct/>
        <w:adjustRightInd w:val="0"/>
        <w:snapToGrid w:val="0"/>
        <w:spacing w:after="163" w:afterLines="50" w:line="360" w:lineRule="auto"/>
        <w:outlineLvl w:val="1"/>
        <w:rPr>
          <w:rFonts w:ascii="宋体" w:hAnsi="宋体" w:cs="宋体"/>
          <w:kern w:val="0"/>
        </w:rPr>
      </w:pPr>
      <w:bookmarkStart w:id="2236" w:name="_Ref4621065"/>
      <w:bookmarkEnd w:id="2236"/>
      <w:bookmarkStart w:id="2237" w:name="_Ref4621057"/>
      <w:bookmarkEnd w:id="2237"/>
      <w:bookmarkStart w:id="2238" w:name="_Toc20171818"/>
      <w:bookmarkEnd w:id="2238"/>
      <w:bookmarkStart w:id="2239" w:name="_Ref4796958"/>
      <w:bookmarkEnd w:id="2239"/>
      <w:bookmarkStart w:id="2240" w:name="_Ref4796955"/>
      <w:bookmarkStart w:id="2241" w:name="_Toc9994"/>
      <w:bookmarkStart w:id="2242" w:name="_Toc13078"/>
      <w:bookmarkStart w:id="2243" w:name="_Toc19660"/>
      <w:bookmarkStart w:id="2244" w:name="_Toc30464"/>
      <w:r>
        <w:rPr>
          <w:rFonts w:hint="eastAsia" w:ascii="宋体" w:hAnsi="宋体" w:cs="宋体"/>
          <w:kern w:val="0"/>
          <w:szCs w:val="21"/>
          <w:lang w:bidi="ar"/>
        </w:rPr>
        <w:t>第1</w:t>
      </w:r>
      <w:bookmarkEnd w:id="2240"/>
      <w:r>
        <w:rPr>
          <w:rFonts w:hint="eastAsia" w:ascii="宋体" w:hAnsi="宋体" w:cs="宋体"/>
          <w:kern w:val="0"/>
          <w:szCs w:val="21"/>
          <w:lang w:bidi="ar"/>
        </w:rPr>
        <w:t>2条  竣工后试验</w:t>
      </w:r>
      <w:bookmarkEnd w:id="2241"/>
      <w:bookmarkEnd w:id="2242"/>
      <w:bookmarkEnd w:id="2243"/>
      <w:bookmarkEnd w:id="224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本合同工程包含竣工后试验的，遵守本条约定。</w:t>
      </w:r>
    </w:p>
    <w:p>
      <w:pPr>
        <w:widowControl/>
        <w:wordWrap w:val="0"/>
        <w:topLinePunct/>
        <w:adjustRightInd w:val="0"/>
        <w:snapToGrid w:val="0"/>
        <w:spacing w:after="163" w:afterLines="50" w:line="360" w:lineRule="auto"/>
        <w:outlineLvl w:val="2"/>
        <w:rPr>
          <w:rFonts w:ascii="宋体" w:hAnsi="宋体" w:cs="宋体"/>
        </w:rPr>
      </w:pPr>
      <w:bookmarkStart w:id="2245" w:name="_Ref531954601"/>
      <w:bookmarkEnd w:id="2245"/>
      <w:bookmarkStart w:id="2246" w:name="_Toc20171819"/>
      <w:bookmarkEnd w:id="2246"/>
      <w:bookmarkStart w:id="2247" w:name="_Ref531954604"/>
      <w:bookmarkEnd w:id="2247"/>
      <w:bookmarkStart w:id="2248" w:name="_Ref531954694"/>
      <w:bookmarkEnd w:id="2248"/>
      <w:bookmarkStart w:id="2249" w:name="_Hlk522259976"/>
      <w:bookmarkStart w:id="2250" w:name="_Toc10519"/>
      <w:bookmarkStart w:id="2251" w:name="_Toc19471"/>
      <w:bookmarkStart w:id="2252" w:name="_Toc58860259"/>
      <w:bookmarkStart w:id="2253" w:name="_Toc7019"/>
      <w:bookmarkStart w:id="2254" w:name="_Toc51766672"/>
      <w:bookmarkStart w:id="2255" w:name="_Toc3570"/>
      <w:bookmarkStart w:id="2256" w:name="_Toc8331"/>
      <w:bookmarkStart w:id="2257" w:name="_Toc84930808"/>
      <w:bookmarkStart w:id="2258" w:name="_Toc14796"/>
      <w:r>
        <w:rPr>
          <w:rFonts w:hint="eastAsia" w:ascii="宋体" w:hAnsi="宋体" w:cs="宋体"/>
          <w:szCs w:val="21"/>
          <w:lang w:bidi="ar"/>
        </w:rPr>
        <w:t>1</w:t>
      </w:r>
      <w:bookmarkEnd w:id="2249"/>
      <w:r>
        <w:rPr>
          <w:rFonts w:hint="eastAsia" w:ascii="宋体" w:hAnsi="宋体" w:cs="宋体"/>
          <w:szCs w:val="21"/>
          <w:lang w:bidi="ar"/>
        </w:rPr>
        <w:t>2.1  竣工后试验的程序</w:t>
      </w:r>
      <w:bookmarkEnd w:id="2250"/>
      <w:bookmarkEnd w:id="2251"/>
      <w:bookmarkEnd w:id="2252"/>
      <w:bookmarkEnd w:id="2253"/>
      <w:bookmarkEnd w:id="2254"/>
      <w:bookmarkEnd w:id="2255"/>
      <w:bookmarkEnd w:id="2256"/>
      <w:bookmarkEnd w:id="2257"/>
      <w:bookmarkEnd w:id="2258"/>
    </w:p>
    <w:p>
      <w:pPr>
        <w:widowControl/>
        <w:adjustRightInd w:val="0"/>
        <w:snapToGrid w:val="0"/>
        <w:spacing w:after="163" w:afterLines="50" w:line="360" w:lineRule="auto"/>
        <w:ind w:firstLine="420" w:firstLineChars="200"/>
        <w:rPr>
          <w:rFonts w:ascii="宋体" w:hAnsi="宋体" w:cs="宋体"/>
        </w:rPr>
      </w:pPr>
      <w:bookmarkStart w:id="2259" w:name="_Ref11920184"/>
      <w:bookmarkEnd w:id="2259"/>
      <w:r>
        <w:rPr>
          <w:rFonts w:hint="eastAsia" w:ascii="宋体" w:hAnsi="宋体" w:cs="宋体"/>
          <w:szCs w:val="21"/>
          <w:lang w:bidi="ar"/>
        </w:rPr>
        <w:t>12.1.1工程或区段工程被发包人接收后，在合理可行的情况下应根据合同约定尽早进行竣工后试验。</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12.1.2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pPr>
        <w:widowControl/>
        <w:adjustRightInd w:val="0"/>
        <w:snapToGrid w:val="0"/>
        <w:spacing w:after="163" w:afterLines="50" w:line="360" w:lineRule="auto"/>
        <w:ind w:firstLine="420" w:firstLineChars="200"/>
        <w:rPr>
          <w:rFonts w:ascii="宋体" w:hAnsi="宋体" w:cs="宋体"/>
        </w:rPr>
      </w:pPr>
      <w:bookmarkStart w:id="2260" w:name="_Ref11920162"/>
      <w:bookmarkEnd w:id="2260"/>
      <w:r>
        <w:rPr>
          <w:rFonts w:hint="eastAsia" w:ascii="宋体" w:hAnsi="宋体" w:cs="宋体"/>
          <w:szCs w:val="21"/>
          <w:lang w:bidi="ar"/>
        </w:rPr>
        <w:t>12.1.3除《发包人要求》另有约定外，发包人应在合理可行的情况下尽快进行每项竣工后试验，并至少提前21天将该项竣工后试验的内容、地点和时间，以及显示其他竣工后试验拟开展时间的竣工后试验计划通知承包人。</w:t>
      </w:r>
    </w:p>
    <w:p>
      <w:pPr>
        <w:widowControl/>
        <w:adjustRightInd w:val="0"/>
        <w:snapToGrid w:val="0"/>
        <w:spacing w:after="163" w:afterLines="50" w:line="360" w:lineRule="auto"/>
        <w:ind w:firstLine="420" w:firstLineChars="200"/>
        <w:rPr>
          <w:rFonts w:ascii="宋体" w:hAnsi="宋体" w:cs="宋体"/>
        </w:rPr>
      </w:pPr>
      <w:bookmarkStart w:id="2261" w:name="_Ref11920146"/>
      <w:bookmarkEnd w:id="2261"/>
      <w:r>
        <w:rPr>
          <w:rFonts w:hint="eastAsia" w:ascii="宋体" w:hAnsi="宋体" w:cs="宋体"/>
          <w:szCs w:val="21"/>
          <w:lang w:bidi="ar"/>
        </w:rPr>
        <w:t>12.1.4发包人应根据《发包人要求》、承包人按照第5.5款[操作和维修手册]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12.1.5竣工后试验的结果应由双方进行整理和评价，并应适当考虑发包人对工程或其任何部分的使用，对工程或区段工程的性能、特性和试验结果产生的影响。</w:t>
      </w:r>
    </w:p>
    <w:p>
      <w:pPr>
        <w:widowControl/>
        <w:wordWrap w:val="0"/>
        <w:topLinePunct/>
        <w:adjustRightInd w:val="0"/>
        <w:snapToGrid w:val="0"/>
        <w:spacing w:after="163" w:afterLines="50" w:line="360" w:lineRule="auto"/>
        <w:outlineLvl w:val="2"/>
        <w:rPr>
          <w:rFonts w:ascii="宋体" w:hAnsi="宋体" w:cs="宋体"/>
        </w:rPr>
      </w:pPr>
      <w:bookmarkStart w:id="2262" w:name="_Ref531954781"/>
      <w:bookmarkEnd w:id="2262"/>
      <w:bookmarkStart w:id="2263" w:name="_Toc20171820"/>
      <w:bookmarkEnd w:id="2263"/>
      <w:bookmarkStart w:id="2264" w:name="_Ref531954785"/>
      <w:bookmarkStart w:id="2265" w:name="_Toc12287"/>
      <w:bookmarkStart w:id="2266" w:name="_Toc12052"/>
      <w:bookmarkStart w:id="2267" w:name="_Toc51766673"/>
      <w:bookmarkStart w:id="2268" w:name="_Toc84930809"/>
      <w:bookmarkStart w:id="2269" w:name="_Toc12374"/>
      <w:bookmarkStart w:id="2270" w:name="_Toc22188"/>
      <w:bookmarkStart w:id="2271" w:name="_Toc27851"/>
      <w:bookmarkStart w:id="2272" w:name="_Toc58860260"/>
      <w:bookmarkStart w:id="2273" w:name="_Toc4356"/>
      <w:r>
        <w:rPr>
          <w:rFonts w:hint="eastAsia" w:ascii="宋体" w:hAnsi="宋体" w:cs="宋体"/>
          <w:szCs w:val="21"/>
          <w:lang w:bidi="ar"/>
        </w:rPr>
        <w:t>1</w:t>
      </w:r>
      <w:bookmarkEnd w:id="2264"/>
      <w:r>
        <w:rPr>
          <w:rFonts w:hint="eastAsia" w:ascii="宋体" w:hAnsi="宋体" w:cs="宋体"/>
          <w:szCs w:val="21"/>
          <w:lang w:bidi="ar"/>
        </w:rPr>
        <w:t>2.2  延误的试验</w:t>
      </w:r>
      <w:bookmarkEnd w:id="2265"/>
      <w:bookmarkEnd w:id="2266"/>
      <w:bookmarkEnd w:id="2267"/>
      <w:bookmarkEnd w:id="2268"/>
      <w:bookmarkEnd w:id="2269"/>
      <w:bookmarkEnd w:id="2270"/>
      <w:bookmarkEnd w:id="2271"/>
      <w:bookmarkEnd w:id="2272"/>
      <w:bookmarkEnd w:id="2273"/>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12.2.1如果竣工后试验因发包人原因被延误的，发包人应承担承包人由此增加的费用并支付承包人合理利润。</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12.2.2如果因承包人以外的原因，导致竣工后试验未能在缺陷责任期或双方另行同意的其他期限内完成，则相关工程或区段工程应视为已通过该竣工后试验。</w:t>
      </w:r>
    </w:p>
    <w:p>
      <w:pPr>
        <w:widowControl/>
        <w:wordWrap w:val="0"/>
        <w:topLinePunct/>
        <w:adjustRightInd w:val="0"/>
        <w:snapToGrid w:val="0"/>
        <w:spacing w:after="163" w:afterLines="50" w:line="360" w:lineRule="auto"/>
        <w:outlineLvl w:val="2"/>
        <w:rPr>
          <w:rFonts w:ascii="宋体" w:hAnsi="宋体" w:cs="宋体"/>
        </w:rPr>
      </w:pPr>
      <w:bookmarkStart w:id="2274" w:name="_Toc20171821"/>
      <w:bookmarkEnd w:id="2274"/>
      <w:bookmarkStart w:id="2275" w:name="_Toc21146"/>
      <w:bookmarkStart w:id="2276" w:name="_Toc26798"/>
      <w:bookmarkStart w:id="2277" w:name="_Toc24458"/>
      <w:bookmarkStart w:id="2278" w:name="_Toc22964"/>
      <w:bookmarkStart w:id="2279" w:name="_Toc24146"/>
      <w:bookmarkStart w:id="2280" w:name="_Toc51766674"/>
      <w:bookmarkStart w:id="2281" w:name="_Toc4308"/>
      <w:bookmarkStart w:id="2282" w:name="_Toc84930810"/>
      <w:bookmarkStart w:id="2283" w:name="_Toc58860261"/>
      <w:r>
        <w:rPr>
          <w:rFonts w:hint="eastAsia" w:ascii="宋体" w:hAnsi="宋体" w:cs="宋体"/>
          <w:szCs w:val="21"/>
          <w:lang w:bidi="ar"/>
        </w:rPr>
        <w:t>12.3  重新试验</w:t>
      </w:r>
      <w:bookmarkEnd w:id="2275"/>
      <w:bookmarkEnd w:id="2276"/>
      <w:bookmarkEnd w:id="2277"/>
      <w:bookmarkEnd w:id="2278"/>
      <w:bookmarkEnd w:id="2279"/>
      <w:bookmarkEnd w:id="2280"/>
      <w:bookmarkEnd w:id="2281"/>
      <w:bookmarkEnd w:id="2282"/>
      <w:bookmarkEnd w:id="2283"/>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12.3.1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p>
      <w:pPr>
        <w:widowControl/>
        <w:wordWrap w:val="0"/>
        <w:topLinePunct/>
        <w:adjustRightInd w:val="0"/>
        <w:snapToGrid w:val="0"/>
        <w:spacing w:after="163" w:afterLines="50" w:line="360" w:lineRule="auto"/>
        <w:outlineLvl w:val="2"/>
        <w:rPr>
          <w:rFonts w:ascii="宋体" w:hAnsi="宋体" w:cs="宋体"/>
        </w:rPr>
      </w:pPr>
      <w:bookmarkStart w:id="2284" w:name="_Ref531954819"/>
      <w:bookmarkEnd w:id="2284"/>
      <w:bookmarkStart w:id="2285" w:name="_Ref531954811"/>
      <w:bookmarkEnd w:id="2285"/>
      <w:bookmarkStart w:id="2286" w:name="_Toc20171822"/>
      <w:bookmarkStart w:id="2287" w:name="_Toc84930811"/>
      <w:bookmarkStart w:id="2288" w:name="_Toc58860262"/>
      <w:bookmarkStart w:id="2289" w:name="_Toc51766675"/>
      <w:bookmarkStart w:id="2290" w:name="_Toc27991"/>
      <w:bookmarkStart w:id="2291" w:name="_Toc30320"/>
      <w:bookmarkStart w:id="2292" w:name="_Toc26253"/>
      <w:bookmarkStart w:id="2293" w:name="_Toc3528"/>
      <w:bookmarkStart w:id="2294" w:name="_Toc24109"/>
      <w:bookmarkStart w:id="2295" w:name="_Toc26235"/>
      <w:r>
        <w:rPr>
          <w:rFonts w:hint="eastAsia" w:ascii="宋体" w:hAnsi="宋体" w:cs="宋体"/>
          <w:szCs w:val="21"/>
          <w:lang w:bidi="ar"/>
        </w:rPr>
        <w:t>1</w:t>
      </w:r>
      <w:bookmarkEnd w:id="2286"/>
      <w:r>
        <w:rPr>
          <w:rFonts w:hint="eastAsia" w:ascii="宋体" w:hAnsi="宋体" w:cs="宋体"/>
          <w:szCs w:val="21"/>
          <w:lang w:bidi="ar"/>
        </w:rPr>
        <w:t>2.4  未能通过竣工后试验</w:t>
      </w:r>
      <w:bookmarkEnd w:id="2287"/>
      <w:bookmarkEnd w:id="2288"/>
      <w:bookmarkEnd w:id="2289"/>
      <w:bookmarkEnd w:id="2290"/>
      <w:bookmarkEnd w:id="2291"/>
      <w:bookmarkEnd w:id="2292"/>
      <w:bookmarkEnd w:id="2293"/>
      <w:bookmarkEnd w:id="2294"/>
      <w:bookmarkEnd w:id="2295"/>
    </w:p>
    <w:p>
      <w:pPr>
        <w:widowControl/>
        <w:adjustRightInd w:val="0"/>
        <w:snapToGrid w:val="0"/>
        <w:spacing w:after="163" w:afterLines="50" w:line="360" w:lineRule="auto"/>
        <w:ind w:firstLine="420" w:firstLineChars="200"/>
        <w:rPr>
          <w:rFonts w:ascii="宋体" w:hAnsi="宋体" w:cs="宋体"/>
        </w:rPr>
      </w:pPr>
      <w:bookmarkStart w:id="2296" w:name="_Ref531954829"/>
      <w:bookmarkEnd w:id="2296"/>
      <w:r>
        <w:rPr>
          <w:rFonts w:hint="eastAsia" w:ascii="宋体" w:hAnsi="宋体" w:cs="宋体"/>
          <w:szCs w:val="21"/>
          <w:lang w:bidi="ar"/>
        </w:rPr>
        <w:t>12.4.1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12.4.2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12.4.3发包人无故拖延给予承包人进行调查、调整或修补所需的进入工程或区段工程的许可，并造成承包人费用增加的，应承担由此增加的费用并支付承包人合理利润。</w:t>
      </w:r>
    </w:p>
    <w:p>
      <w:pPr>
        <w:widowControl/>
        <w:wordWrap w:val="0"/>
        <w:topLinePunct/>
        <w:adjustRightInd w:val="0"/>
        <w:snapToGrid w:val="0"/>
        <w:spacing w:after="163" w:afterLines="50" w:line="360" w:lineRule="auto"/>
        <w:outlineLvl w:val="1"/>
        <w:rPr>
          <w:rFonts w:ascii="宋体" w:hAnsi="宋体" w:cs="宋体"/>
          <w:kern w:val="0"/>
        </w:rPr>
      </w:pPr>
      <w:bookmarkStart w:id="2297" w:name="_Ref4415801"/>
      <w:bookmarkEnd w:id="2297"/>
      <w:bookmarkStart w:id="2298" w:name="_Toc20171823"/>
      <w:bookmarkStart w:id="2299" w:name="_Toc8705"/>
      <w:bookmarkStart w:id="2300" w:name="_Toc21845"/>
      <w:bookmarkStart w:id="2301" w:name="_Toc8092"/>
      <w:bookmarkStart w:id="2302" w:name="_Toc30147"/>
      <w:r>
        <w:rPr>
          <w:rFonts w:hint="eastAsia" w:ascii="宋体" w:hAnsi="宋体" w:cs="宋体"/>
          <w:kern w:val="0"/>
          <w:szCs w:val="21"/>
          <w:lang w:bidi="ar"/>
        </w:rPr>
        <w:t>第1</w:t>
      </w:r>
      <w:bookmarkEnd w:id="2298"/>
      <w:r>
        <w:rPr>
          <w:rFonts w:hint="eastAsia" w:ascii="宋体" w:hAnsi="宋体" w:cs="宋体"/>
          <w:kern w:val="0"/>
          <w:szCs w:val="21"/>
          <w:lang w:bidi="ar"/>
        </w:rPr>
        <w:t>3条  变更与调整</w:t>
      </w:r>
      <w:bookmarkEnd w:id="2299"/>
      <w:bookmarkEnd w:id="2300"/>
      <w:bookmarkEnd w:id="2301"/>
      <w:bookmarkEnd w:id="2302"/>
    </w:p>
    <w:p>
      <w:pPr>
        <w:widowControl/>
        <w:wordWrap w:val="0"/>
        <w:topLinePunct/>
        <w:adjustRightInd w:val="0"/>
        <w:snapToGrid w:val="0"/>
        <w:spacing w:after="163" w:afterLines="50" w:line="360" w:lineRule="auto"/>
        <w:outlineLvl w:val="2"/>
        <w:rPr>
          <w:rFonts w:ascii="宋体" w:hAnsi="宋体" w:cs="宋体"/>
        </w:rPr>
      </w:pPr>
      <w:bookmarkStart w:id="2303" w:name="_Ref532670395"/>
      <w:bookmarkEnd w:id="2303"/>
      <w:bookmarkStart w:id="2304" w:name="_Toc20171824"/>
      <w:bookmarkEnd w:id="2304"/>
      <w:bookmarkStart w:id="2305" w:name="_Ref532668573"/>
      <w:bookmarkEnd w:id="2305"/>
      <w:bookmarkStart w:id="2306" w:name="_Ref532668569"/>
      <w:bookmarkEnd w:id="2306"/>
      <w:bookmarkStart w:id="2307" w:name="_Ref532670393"/>
      <w:bookmarkEnd w:id="2307"/>
      <w:bookmarkStart w:id="2308" w:name="_Ref532677087"/>
      <w:bookmarkEnd w:id="2308"/>
      <w:bookmarkStart w:id="2309" w:name="_Ref532677084"/>
      <w:bookmarkStart w:id="2310" w:name="_Toc51766677"/>
      <w:bookmarkStart w:id="2311" w:name="_Toc25570"/>
      <w:bookmarkStart w:id="2312" w:name="_Toc58860264"/>
      <w:bookmarkStart w:id="2313" w:name="_Toc16930"/>
      <w:bookmarkStart w:id="2314" w:name="_Toc30737"/>
      <w:bookmarkStart w:id="2315" w:name="_Toc66"/>
      <w:bookmarkStart w:id="2316" w:name="_Toc16793"/>
      <w:bookmarkStart w:id="2317" w:name="_Toc84930813"/>
      <w:bookmarkStart w:id="2318" w:name="_Toc27942"/>
      <w:r>
        <w:rPr>
          <w:rFonts w:hint="eastAsia" w:ascii="宋体" w:hAnsi="宋体" w:cs="宋体"/>
          <w:szCs w:val="21"/>
          <w:lang w:bidi="ar"/>
        </w:rPr>
        <w:t>1</w:t>
      </w:r>
      <w:bookmarkEnd w:id="2309"/>
      <w:r>
        <w:rPr>
          <w:rFonts w:hint="eastAsia" w:ascii="宋体" w:hAnsi="宋体" w:cs="宋体"/>
          <w:szCs w:val="21"/>
          <w:lang w:bidi="ar"/>
        </w:rPr>
        <w:t>3.1  发包人变更权</w:t>
      </w:r>
      <w:bookmarkEnd w:id="2310"/>
      <w:bookmarkEnd w:id="2311"/>
      <w:bookmarkEnd w:id="2312"/>
      <w:bookmarkEnd w:id="2313"/>
      <w:bookmarkEnd w:id="2314"/>
      <w:bookmarkEnd w:id="2315"/>
      <w:bookmarkEnd w:id="2316"/>
      <w:bookmarkEnd w:id="2317"/>
      <w:bookmarkEnd w:id="2318"/>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rPr>
      </w:pPr>
      <w:bookmarkStart w:id="2319" w:name="_Ref4534979"/>
      <w:bookmarkEnd w:id="2319"/>
      <w:r>
        <w:rPr>
          <w:rFonts w:hint="eastAsia" w:ascii="宋体" w:hAnsi="宋体" w:cs="宋体"/>
          <w:szCs w:val="21"/>
          <w:lang w:bidi="ar"/>
        </w:rPr>
        <w:t>13.1.1变更指示应经发包人同意，并由工程师发出经发包人签认的变更指示。除第11.3.</w:t>
      </w:r>
      <w:r>
        <w:rPr>
          <w:rFonts w:ascii="宋体" w:hAnsi="宋体" w:cs="宋体"/>
          <w:szCs w:val="21"/>
          <w:lang w:bidi="ar"/>
        </w:rPr>
        <w:t>6</w:t>
      </w:r>
      <w:r>
        <w:rPr>
          <w:rFonts w:hint="eastAsia" w:ascii="宋体" w:hAnsi="宋体" w:cs="宋体"/>
          <w:szCs w:val="21"/>
          <w:lang w:bidi="ar"/>
        </w:rPr>
        <w:t>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20条[争议解决]处理。</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13.1.2承包人应按照变更指示执行，除非承包人及时向工程师发出通知，说明该项变更指示将降低工程的安全性、稳定性或适用性；涉及的工作内容和范围不可预见；所涉设备难以采购；导致承包人无法执行第</w:t>
      </w:r>
      <w:r>
        <w:rPr>
          <w:rFonts w:ascii="宋体" w:hAnsi="宋体" w:cs="宋体"/>
          <w:szCs w:val="21"/>
          <w:lang w:bidi="ar"/>
        </w:rPr>
        <w:t>7.5</w:t>
      </w:r>
      <w:r>
        <w:rPr>
          <w:rFonts w:hint="eastAsia" w:ascii="宋体" w:hAnsi="宋体" w:cs="宋体"/>
          <w:szCs w:val="21"/>
          <w:lang w:bidi="ar"/>
        </w:rPr>
        <w:t>款[现场劳动用工]、第7</w:t>
      </w:r>
      <w:r>
        <w:rPr>
          <w:rFonts w:ascii="宋体" w:hAnsi="宋体" w:cs="宋体"/>
          <w:szCs w:val="21"/>
          <w:lang w:bidi="ar"/>
        </w:rPr>
        <w:t>.6</w:t>
      </w:r>
      <w:r>
        <w:rPr>
          <w:rFonts w:hint="eastAsia" w:ascii="宋体" w:hAnsi="宋体" w:cs="宋体"/>
          <w:szCs w:val="21"/>
          <w:lang w:bidi="ar"/>
        </w:rPr>
        <w:t>款[安全文明施工</w:t>
      </w:r>
      <w:r>
        <w:rPr>
          <w:rFonts w:ascii="宋体" w:hAnsi="宋体" w:cs="宋体"/>
          <w:szCs w:val="21"/>
          <w:lang w:bidi="ar"/>
        </w:rPr>
        <w:t>]</w:t>
      </w:r>
      <w:r>
        <w:rPr>
          <w:rFonts w:hint="eastAsia" w:ascii="宋体" w:hAnsi="宋体" w:cs="宋体"/>
          <w:szCs w:val="21"/>
          <w:lang w:bidi="ar"/>
        </w:rPr>
        <w:t>、第</w:t>
      </w:r>
      <w:r>
        <w:rPr>
          <w:rFonts w:ascii="宋体" w:hAnsi="宋体" w:cs="宋体"/>
          <w:szCs w:val="21"/>
          <w:lang w:bidi="ar"/>
        </w:rPr>
        <w:t>7.7</w:t>
      </w:r>
      <w:r>
        <w:rPr>
          <w:rFonts w:hint="eastAsia" w:ascii="宋体" w:hAnsi="宋体" w:cs="宋体"/>
          <w:szCs w:val="21"/>
          <w:lang w:bidi="ar"/>
        </w:rPr>
        <w:t>款[</w:t>
      </w:r>
      <w:r>
        <w:rPr>
          <w:rFonts w:ascii="宋体" w:hAnsi="宋体" w:cs="宋体"/>
          <w:szCs w:val="21"/>
          <w:lang w:bidi="ar"/>
        </w:rPr>
        <w:t>职业健康]</w:t>
      </w:r>
      <w:r>
        <w:rPr>
          <w:rFonts w:hint="eastAsia" w:ascii="宋体" w:hAnsi="宋体" w:cs="宋体"/>
          <w:szCs w:val="21"/>
          <w:lang w:bidi="ar"/>
        </w:rPr>
        <w:t>或第</w:t>
      </w:r>
      <w:r>
        <w:rPr>
          <w:rFonts w:ascii="宋体" w:hAnsi="宋体" w:cs="宋体"/>
          <w:szCs w:val="21"/>
          <w:lang w:bidi="ar"/>
        </w:rPr>
        <w:t>7.8</w:t>
      </w:r>
      <w:r>
        <w:rPr>
          <w:rFonts w:hint="eastAsia" w:ascii="宋体" w:hAnsi="宋体" w:cs="宋体"/>
          <w:szCs w:val="21"/>
          <w:lang w:bidi="ar"/>
        </w:rPr>
        <w:t>款[环境保护</w:t>
      </w:r>
      <w:r>
        <w:rPr>
          <w:rFonts w:ascii="宋体" w:hAnsi="宋体" w:cs="宋体"/>
          <w:szCs w:val="21"/>
          <w:lang w:bidi="ar"/>
        </w:rPr>
        <w:t>]</w:t>
      </w:r>
      <w:r>
        <w:rPr>
          <w:rFonts w:hint="eastAsia" w:ascii="宋体" w:hAnsi="宋体" w:cs="宋体"/>
          <w:szCs w:val="21"/>
          <w:lang w:bidi="ar"/>
        </w:rPr>
        <w:t>内容；将造成工期延误；与第4.1款[承包人的一般义务]相冲突等无法执行的理由。工程师接到承包人的通知后，应作出经发包人签认的取消、确认或改变原指示的书面回复。</w:t>
      </w:r>
    </w:p>
    <w:p>
      <w:pPr>
        <w:widowControl/>
        <w:adjustRightInd w:val="0"/>
        <w:snapToGrid w:val="0"/>
        <w:spacing w:after="163" w:afterLines="50" w:line="360" w:lineRule="auto"/>
        <w:rPr>
          <w:rFonts w:ascii="宋体" w:hAnsi="宋体" w:cs="宋体"/>
        </w:rPr>
      </w:pPr>
      <w:bookmarkStart w:id="2320" w:name="_Ref4623207"/>
      <w:bookmarkEnd w:id="2320"/>
      <w:bookmarkStart w:id="2321" w:name="_Ref531955590"/>
      <w:bookmarkEnd w:id="2321"/>
      <w:bookmarkStart w:id="2322" w:name="_Toc20171825"/>
      <w:bookmarkEnd w:id="2322"/>
      <w:bookmarkStart w:id="2323" w:name="_Ref531955587"/>
      <w:r>
        <w:rPr>
          <w:rFonts w:hint="eastAsia" w:ascii="宋体" w:hAnsi="宋体" w:cs="宋体"/>
          <w:szCs w:val="21"/>
          <w:lang w:bidi="ar"/>
        </w:rPr>
        <w:t>1</w:t>
      </w:r>
      <w:bookmarkEnd w:id="2323"/>
      <w:r>
        <w:rPr>
          <w:rFonts w:hint="eastAsia" w:ascii="宋体" w:hAnsi="宋体" w:cs="宋体"/>
          <w:szCs w:val="21"/>
          <w:lang w:bidi="ar"/>
        </w:rPr>
        <w:t>3.2  承包人的合理化建议</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13.2.1承包人提出合理化建议的，应向工程师提交合理化建议说明，说明建议的内容、理由以及实施该建议对合同价格和工期的影响。</w:t>
      </w:r>
    </w:p>
    <w:p>
      <w:pPr>
        <w:widowControl/>
        <w:adjustRightInd w:val="0"/>
        <w:snapToGrid w:val="0"/>
        <w:spacing w:after="163" w:afterLines="50" w:line="360" w:lineRule="auto"/>
        <w:ind w:firstLine="420" w:firstLineChars="200"/>
        <w:rPr>
          <w:rFonts w:ascii="宋体" w:hAnsi="宋体" w:cs="宋体"/>
        </w:rPr>
      </w:pPr>
      <w:bookmarkStart w:id="2324" w:name="_Ref4681686"/>
      <w:bookmarkEnd w:id="2324"/>
      <w:r>
        <w:rPr>
          <w:rFonts w:hint="eastAsia" w:ascii="宋体" w:hAnsi="宋体" w:cs="宋体"/>
          <w:szCs w:val="21"/>
          <w:lang w:bidi="ar"/>
        </w:rPr>
        <w:t>13.2.2除专用合同条件另有约定外，</w:t>
      </w:r>
      <w:bookmarkStart w:id="2325" w:name="_Hlk4682273"/>
      <w:r>
        <w:rPr>
          <w:rFonts w:hint="eastAsia" w:ascii="宋体" w:hAnsi="宋体" w:cs="宋体"/>
          <w:szCs w:val="21"/>
          <w:lang w:bidi="ar"/>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bookmarkEnd w:id="2325"/>
      <w:r>
        <w:rPr>
          <w:rFonts w:hint="eastAsia" w:ascii="宋体" w:hAnsi="宋体" w:cs="宋体"/>
          <w:szCs w:val="21"/>
          <w:lang w:bidi="ar"/>
        </w:rPr>
        <w:t>13.3.3项[变更估价]约定执行。发包人不同意变更的，工程师应书面通知承包人。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13.2.3合理化建议降低了合同价格、缩短了工期或者提高了工程经济效益的，双方可以按照专用合同条件的约定进行利益分享。</w:t>
      </w:r>
    </w:p>
    <w:p>
      <w:pPr>
        <w:widowControl/>
        <w:wordWrap w:val="0"/>
        <w:topLinePunct/>
        <w:adjustRightInd w:val="0"/>
        <w:snapToGrid w:val="0"/>
        <w:spacing w:after="163" w:afterLines="50" w:line="360" w:lineRule="auto"/>
        <w:outlineLvl w:val="2"/>
        <w:rPr>
          <w:rFonts w:ascii="宋体" w:hAnsi="宋体" w:cs="宋体"/>
        </w:rPr>
      </w:pPr>
      <w:bookmarkStart w:id="2326" w:name="_Ref532673541"/>
      <w:bookmarkEnd w:id="2326"/>
      <w:bookmarkStart w:id="2327" w:name="_Ref532673538"/>
      <w:bookmarkEnd w:id="2327"/>
      <w:bookmarkStart w:id="2328" w:name="_Ref532671480"/>
      <w:bookmarkEnd w:id="2328"/>
      <w:bookmarkStart w:id="2329" w:name="_Ref532669302"/>
      <w:bookmarkEnd w:id="2329"/>
      <w:bookmarkStart w:id="2330" w:name="_Toc20171826"/>
      <w:bookmarkEnd w:id="2330"/>
      <w:bookmarkStart w:id="2331" w:name="_Ref532669305"/>
      <w:bookmarkEnd w:id="2331"/>
      <w:bookmarkStart w:id="2332" w:name="_Ref532671484"/>
      <w:bookmarkStart w:id="2333" w:name="_Toc4113"/>
      <w:bookmarkStart w:id="2334" w:name="_Toc2940"/>
      <w:bookmarkStart w:id="2335" w:name="_Toc23815"/>
      <w:bookmarkStart w:id="2336" w:name="_Toc10566"/>
      <w:bookmarkStart w:id="2337" w:name="_Toc51766678"/>
      <w:bookmarkStart w:id="2338" w:name="_Toc84930814"/>
      <w:bookmarkStart w:id="2339" w:name="_Toc2429"/>
      <w:bookmarkStart w:id="2340" w:name="_Toc58860265"/>
      <w:bookmarkStart w:id="2341" w:name="_Toc21887"/>
      <w:r>
        <w:rPr>
          <w:rFonts w:hint="eastAsia" w:ascii="宋体" w:hAnsi="宋体" w:cs="宋体"/>
          <w:szCs w:val="21"/>
          <w:lang w:bidi="ar"/>
        </w:rPr>
        <w:t>1</w:t>
      </w:r>
      <w:bookmarkEnd w:id="2332"/>
      <w:r>
        <w:rPr>
          <w:rFonts w:hint="eastAsia" w:ascii="宋体" w:hAnsi="宋体" w:cs="宋体"/>
          <w:szCs w:val="21"/>
          <w:lang w:bidi="ar"/>
        </w:rPr>
        <w:t>3.3  变更程序</w:t>
      </w:r>
      <w:bookmarkEnd w:id="2333"/>
      <w:bookmarkEnd w:id="2334"/>
      <w:bookmarkEnd w:id="2335"/>
      <w:bookmarkEnd w:id="2336"/>
      <w:bookmarkEnd w:id="2337"/>
      <w:bookmarkEnd w:id="2338"/>
      <w:bookmarkEnd w:id="2339"/>
      <w:bookmarkEnd w:id="2340"/>
      <w:bookmarkEnd w:id="2341"/>
    </w:p>
    <w:p>
      <w:pPr>
        <w:widowControl/>
        <w:wordWrap w:val="0"/>
        <w:topLinePunct/>
        <w:adjustRightInd w:val="0"/>
        <w:snapToGrid w:val="0"/>
        <w:spacing w:after="163" w:afterLines="50" w:line="360" w:lineRule="auto"/>
        <w:ind w:left="480"/>
        <w:outlineLvl w:val="3"/>
        <w:rPr>
          <w:rFonts w:ascii="宋体" w:hAnsi="宋体" w:cs="宋体"/>
        </w:rPr>
      </w:pPr>
      <w:bookmarkStart w:id="2342" w:name="_Ref4534600"/>
      <w:bookmarkEnd w:id="2342"/>
      <w:r>
        <w:rPr>
          <w:rFonts w:hint="eastAsia" w:ascii="宋体" w:hAnsi="宋体" w:cs="宋体"/>
          <w:szCs w:val="21"/>
          <w:lang w:bidi="ar"/>
        </w:rPr>
        <w:t>13.3.1发包人提出变更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发包人提出变更的，应通过工程师向承包人发出书面形式的变更指示，变更指示应说明计划变更的工程范围和变更的内容。</w:t>
      </w:r>
    </w:p>
    <w:p>
      <w:pPr>
        <w:widowControl/>
        <w:wordWrap w:val="0"/>
        <w:topLinePunct/>
        <w:adjustRightInd w:val="0"/>
        <w:snapToGrid w:val="0"/>
        <w:spacing w:after="163" w:afterLines="50" w:line="360" w:lineRule="auto"/>
        <w:ind w:left="480"/>
        <w:outlineLvl w:val="3"/>
        <w:rPr>
          <w:rFonts w:ascii="宋体" w:hAnsi="宋体" w:cs="宋体"/>
        </w:rPr>
      </w:pPr>
      <w:bookmarkStart w:id="2343" w:name="_Ref4534617"/>
      <w:bookmarkEnd w:id="2343"/>
      <w:r>
        <w:rPr>
          <w:rFonts w:hint="eastAsia" w:ascii="宋体" w:hAnsi="宋体" w:cs="宋体"/>
          <w:szCs w:val="21"/>
          <w:lang w:bidi="ar"/>
        </w:rPr>
        <w:t>13.3.2变更执行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pPr>
        <w:widowControl/>
        <w:wordWrap w:val="0"/>
        <w:topLinePunct/>
        <w:adjustRightInd w:val="0"/>
        <w:snapToGrid w:val="0"/>
        <w:spacing w:after="163" w:afterLines="50" w:line="360" w:lineRule="auto"/>
        <w:ind w:left="480"/>
        <w:outlineLvl w:val="3"/>
        <w:rPr>
          <w:rFonts w:ascii="宋体" w:hAnsi="宋体" w:cs="宋体"/>
        </w:rPr>
      </w:pPr>
      <w:bookmarkStart w:id="2344" w:name="_Ref3835481"/>
      <w:bookmarkEnd w:id="2344"/>
      <w:r>
        <w:rPr>
          <w:rFonts w:hint="eastAsia" w:ascii="宋体" w:hAnsi="宋体" w:cs="宋体"/>
          <w:szCs w:val="21"/>
          <w:lang w:bidi="ar"/>
        </w:rPr>
        <w:t>13.3.3变更估价</w:t>
      </w:r>
    </w:p>
    <w:p>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13.3.3.1变更估价原则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除专用合同条件另有约定外，变更估价按照本款约定处理：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（1）合同中未包含价格清单，合同价格应按照所执行的变更工程的成本加利润调整；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（2）合同中包含价格清单，合同价格按照如下规则调整：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1）价格清单中有适用于变更工程项目的，应采用该项目的费率和价格；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2）价格清单中没有适用但有类似于变更工程项目的，可在合理范围内参照类似项目的费率或价格；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3）价格清单中没有适用也没有类似于变更工程项目的，该工程项目应按成本加利润原则调整适用新的费率或价格。</w:t>
      </w:r>
    </w:p>
    <w:p>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13.3.3.2变更估价程序</w:t>
      </w:r>
    </w:p>
    <w:p>
      <w:pPr>
        <w:widowControl/>
        <w:adjustRightInd w:val="0"/>
        <w:snapToGrid w:val="0"/>
        <w:spacing w:after="163" w:afterLines="50" w:line="360" w:lineRule="auto"/>
        <w:ind w:firstLine="420" w:firstLineChars="200"/>
        <w:rPr>
          <w:rFonts w:ascii="宋体" w:hAnsi="宋体" w:cs="宋体"/>
          <w:kern w:val="0"/>
        </w:rPr>
      </w:pPr>
      <w:bookmarkStart w:id="2345" w:name="_Ref531955607"/>
      <w:bookmarkEnd w:id="2345"/>
      <w:bookmarkStart w:id="2346" w:name="_Toc296503150"/>
      <w:bookmarkEnd w:id="2346"/>
      <w:bookmarkStart w:id="2347" w:name="_Toc296346651"/>
      <w:bookmarkEnd w:id="2347"/>
      <w:bookmarkStart w:id="2348" w:name="_Ref531955605"/>
      <w:bookmarkEnd w:id="2348"/>
      <w:bookmarkStart w:id="2349" w:name="_Toc337558844"/>
      <w:r>
        <w:rPr>
          <w:rFonts w:hint="eastAsia" w:ascii="宋体" w:hAnsi="宋体" w:cs="宋体"/>
          <w:kern w:val="0"/>
          <w:szCs w:val="21"/>
          <w:lang w:bidi="ar"/>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bookmarkEnd w:id="234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因变更引起的价格调整应计入最近一期的进度款中支付。</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13.3.4变更引起的工期调整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因变更引起工期变化的，合同当事人均可要求调整合同工期，由合同当事人按照第3.6款[商定或确定]并参考工程所在地的工期定额标准确定增减工期天数。</w:t>
      </w:r>
    </w:p>
    <w:p>
      <w:pPr>
        <w:widowControl/>
        <w:wordWrap w:val="0"/>
        <w:topLinePunct/>
        <w:adjustRightInd w:val="0"/>
        <w:snapToGrid w:val="0"/>
        <w:spacing w:after="163" w:afterLines="50" w:line="360" w:lineRule="auto"/>
        <w:outlineLvl w:val="2"/>
        <w:rPr>
          <w:rFonts w:ascii="宋体" w:hAnsi="宋体" w:cs="宋体"/>
        </w:rPr>
      </w:pPr>
      <w:bookmarkStart w:id="2350" w:name="_Ref4431237"/>
      <w:bookmarkEnd w:id="2350"/>
      <w:bookmarkStart w:id="2351" w:name="_Toc20171827"/>
      <w:bookmarkStart w:id="2352" w:name="_Toc16852"/>
      <w:bookmarkStart w:id="2353" w:name="_Toc18370"/>
      <w:bookmarkStart w:id="2354" w:name="_Toc8910"/>
      <w:bookmarkStart w:id="2355" w:name="_Toc14495"/>
      <w:bookmarkStart w:id="2356" w:name="_Toc51766679"/>
      <w:bookmarkStart w:id="2357" w:name="_Toc31527"/>
      <w:bookmarkStart w:id="2358" w:name="_Toc84930815"/>
      <w:bookmarkStart w:id="2359" w:name="_Toc58860266"/>
      <w:bookmarkStart w:id="2360" w:name="_Toc13916"/>
      <w:r>
        <w:rPr>
          <w:rFonts w:hint="eastAsia" w:ascii="宋体" w:hAnsi="宋体" w:cs="宋体"/>
          <w:szCs w:val="21"/>
          <w:lang w:bidi="ar"/>
        </w:rPr>
        <w:t>1</w:t>
      </w:r>
      <w:bookmarkEnd w:id="2351"/>
      <w:r>
        <w:rPr>
          <w:rFonts w:hint="eastAsia" w:ascii="宋体" w:hAnsi="宋体" w:cs="宋体"/>
          <w:szCs w:val="21"/>
          <w:lang w:bidi="ar"/>
        </w:rPr>
        <w:t>3.4  暂估价</w:t>
      </w:r>
      <w:bookmarkEnd w:id="2352"/>
      <w:bookmarkEnd w:id="2353"/>
      <w:bookmarkEnd w:id="2354"/>
      <w:bookmarkEnd w:id="2355"/>
      <w:bookmarkEnd w:id="2356"/>
      <w:bookmarkEnd w:id="2357"/>
      <w:bookmarkEnd w:id="2358"/>
      <w:bookmarkEnd w:id="2359"/>
      <w:bookmarkEnd w:id="2360"/>
    </w:p>
    <w:p>
      <w:pPr>
        <w:widowControl/>
        <w:wordWrap w:val="0"/>
        <w:topLinePunct/>
        <w:adjustRightInd w:val="0"/>
        <w:snapToGrid w:val="0"/>
        <w:spacing w:after="163" w:afterLines="50" w:line="360" w:lineRule="auto"/>
        <w:ind w:left="480"/>
        <w:outlineLvl w:val="3"/>
        <w:rPr>
          <w:rFonts w:ascii="宋体" w:hAnsi="宋体" w:cs="宋体"/>
        </w:rPr>
      </w:pPr>
      <w:bookmarkStart w:id="2361" w:name="_Ref4616729"/>
      <w:bookmarkEnd w:id="2361"/>
      <w:r>
        <w:rPr>
          <w:rFonts w:hint="eastAsia" w:ascii="宋体" w:hAnsi="宋体" w:cs="宋体"/>
          <w:szCs w:val="21"/>
          <w:lang w:bidi="ar"/>
        </w:rPr>
        <w:t>13.4.1依法必须招标的暂估价项目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对于依法必须招标的暂估价项目，专用合同条件约定由承包人作为招标人的，招标文件、评标方案、评标结果应报送发包人批准。与组织招标工作有关的费用应当被认为已经包括在承包人的签约合同价中。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专用合同条件约定由发包人和承包人共同作为招标人的，与组织招标工作有关的费用在专用合同条件中约定。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具体的招标程序以及发包人和承包人权利义务关系可在专用合同条件中约定。暂估价项目的中标金额与价格清单中所列暂估价的金额差以及相应的税金等其他费用应列入合同价格。</w:t>
      </w:r>
    </w:p>
    <w:p>
      <w:pPr>
        <w:widowControl/>
        <w:wordWrap w:val="0"/>
        <w:topLinePunct/>
        <w:adjustRightInd w:val="0"/>
        <w:snapToGrid w:val="0"/>
        <w:spacing w:after="163" w:afterLines="50" w:line="360" w:lineRule="auto"/>
        <w:ind w:left="480"/>
        <w:outlineLvl w:val="3"/>
        <w:rPr>
          <w:rFonts w:ascii="宋体" w:hAnsi="宋体" w:cs="宋体"/>
        </w:rPr>
      </w:pPr>
      <w:bookmarkStart w:id="2362" w:name="_Ref4682312"/>
      <w:bookmarkEnd w:id="2362"/>
      <w:r>
        <w:rPr>
          <w:rFonts w:hint="eastAsia" w:ascii="宋体" w:hAnsi="宋体" w:cs="宋体"/>
          <w:szCs w:val="21"/>
          <w:lang w:bidi="ar"/>
        </w:rPr>
        <w:t>13.4.2不属于依法必须招标的暂估价项目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widowControl/>
        <w:wordWrap w:val="0"/>
        <w:topLinePunct/>
        <w:adjustRightInd w:val="0"/>
        <w:snapToGrid w:val="0"/>
        <w:spacing w:after="163" w:afterLines="50" w:line="360" w:lineRule="auto"/>
        <w:outlineLvl w:val="2"/>
        <w:rPr>
          <w:rFonts w:ascii="宋体" w:hAnsi="宋体" w:cs="宋体"/>
        </w:rPr>
      </w:pPr>
      <w:bookmarkStart w:id="2363" w:name="_Ref4431250"/>
      <w:bookmarkEnd w:id="2363"/>
      <w:bookmarkStart w:id="2364" w:name="_Toc20171828"/>
      <w:bookmarkStart w:id="2365" w:name="_Toc51766680"/>
      <w:bookmarkStart w:id="2366" w:name="_Toc23558"/>
      <w:bookmarkStart w:id="2367" w:name="_Toc6902"/>
      <w:bookmarkStart w:id="2368" w:name="_Toc21640"/>
      <w:bookmarkStart w:id="2369" w:name="_Toc28663"/>
      <w:bookmarkStart w:id="2370" w:name="_Toc12815"/>
      <w:bookmarkStart w:id="2371" w:name="_Toc58860267"/>
      <w:bookmarkStart w:id="2372" w:name="_Toc84930816"/>
      <w:bookmarkStart w:id="2373" w:name="_Toc30141"/>
      <w:r>
        <w:rPr>
          <w:rFonts w:hint="eastAsia" w:ascii="宋体" w:hAnsi="宋体" w:cs="宋体"/>
          <w:szCs w:val="21"/>
          <w:lang w:bidi="ar"/>
        </w:rPr>
        <w:t>1</w:t>
      </w:r>
      <w:bookmarkEnd w:id="2364"/>
      <w:r>
        <w:rPr>
          <w:rFonts w:hint="eastAsia" w:ascii="宋体" w:hAnsi="宋体" w:cs="宋体"/>
          <w:szCs w:val="21"/>
          <w:lang w:bidi="ar"/>
        </w:rPr>
        <w:t>3.5  暂列金额</w:t>
      </w:r>
      <w:bookmarkEnd w:id="2365"/>
      <w:bookmarkEnd w:id="2366"/>
      <w:bookmarkEnd w:id="2367"/>
      <w:bookmarkEnd w:id="2368"/>
      <w:bookmarkEnd w:id="2369"/>
      <w:bookmarkEnd w:id="2370"/>
      <w:bookmarkEnd w:id="2371"/>
      <w:bookmarkEnd w:id="2372"/>
      <w:bookmarkEnd w:id="2373"/>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对于每笔暂列金额，发包人可以指示用于下列支付：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（1）发包人根据第13.1款[发包人变更权]指示变更，决定对合同价格和付款计划表（如有）进行调整的、由承包人实施的工作（包括要提供的工程设备、材料和服务）；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购买的工程设备、材料、工作或服务，应支付包括承包人已付（或应付）的实际金额以及相应的管理费等费用和利润（管理费和利润应以实际金额为基数根据合同约定的费率（如有）或百分比计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每份包含暂列金额的文件还应包括用以证明暂列金额的所有有效的发票、凭证和账户或收据。</w:t>
      </w:r>
    </w:p>
    <w:p>
      <w:pPr>
        <w:widowControl/>
        <w:wordWrap w:val="0"/>
        <w:topLinePunct/>
        <w:adjustRightInd w:val="0"/>
        <w:snapToGrid w:val="0"/>
        <w:spacing w:after="163" w:afterLines="50" w:line="360" w:lineRule="auto"/>
        <w:outlineLvl w:val="2"/>
        <w:rPr>
          <w:rFonts w:ascii="宋体" w:hAnsi="宋体" w:cs="宋体"/>
        </w:rPr>
      </w:pPr>
      <w:bookmarkStart w:id="2374" w:name="_Toc20171829"/>
      <w:bookmarkEnd w:id="2374"/>
      <w:bookmarkStart w:id="2375" w:name="_Toc296346653"/>
      <w:bookmarkEnd w:id="2375"/>
      <w:bookmarkStart w:id="2376" w:name="_Toc296503152"/>
      <w:bookmarkEnd w:id="2376"/>
      <w:bookmarkStart w:id="2377" w:name="_Toc337558845"/>
      <w:bookmarkEnd w:id="2377"/>
      <w:bookmarkStart w:id="2378" w:name="_Ref4431438"/>
      <w:bookmarkStart w:id="2379" w:name="_Toc12431"/>
      <w:bookmarkStart w:id="2380" w:name="_Toc18380"/>
      <w:bookmarkStart w:id="2381" w:name="_Toc84930817"/>
      <w:bookmarkStart w:id="2382" w:name="_Toc58860268"/>
      <w:bookmarkStart w:id="2383" w:name="_Toc51766681"/>
      <w:bookmarkStart w:id="2384" w:name="_Toc12830"/>
      <w:bookmarkStart w:id="2385" w:name="_Toc19476"/>
      <w:bookmarkStart w:id="2386" w:name="_Toc14464"/>
      <w:bookmarkStart w:id="2387" w:name="_Toc17059"/>
      <w:r>
        <w:rPr>
          <w:rFonts w:hint="eastAsia" w:ascii="宋体" w:hAnsi="宋体" w:cs="宋体"/>
          <w:szCs w:val="21"/>
          <w:lang w:bidi="ar"/>
        </w:rPr>
        <w:t>1</w:t>
      </w:r>
      <w:bookmarkEnd w:id="2378"/>
      <w:r>
        <w:rPr>
          <w:rFonts w:hint="eastAsia" w:ascii="宋体" w:hAnsi="宋体" w:cs="宋体"/>
          <w:szCs w:val="21"/>
          <w:lang w:bidi="ar"/>
        </w:rPr>
        <w:t>3.6  计日工</w:t>
      </w:r>
      <w:bookmarkEnd w:id="2379"/>
      <w:bookmarkEnd w:id="2380"/>
      <w:bookmarkEnd w:id="2381"/>
      <w:bookmarkEnd w:id="2382"/>
      <w:bookmarkEnd w:id="2383"/>
      <w:bookmarkEnd w:id="2384"/>
      <w:bookmarkEnd w:id="2385"/>
      <w:bookmarkEnd w:id="2386"/>
      <w:bookmarkEnd w:id="2387"/>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13.6.1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13.6.2采用计日工计价的任何一项工作，承包人应在该项工作实施过程中，每天提交以下报表和有关凭证报送工程师审查：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（1）工作名称、内容和数量；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（2）投入该工作的所有人员的姓名、专业、工种、级别和耗用工时；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（3）投入该工作的材料类别和数量；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（4）投入该工作的施工设备型号、台数和耗用台时；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（5）其他有关资料和凭证。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计日工由承包人汇总后，列入最近一期进度付款申请单，由工程师审查并经发包人批准后列入进度付款。</w:t>
      </w:r>
    </w:p>
    <w:p>
      <w:pPr>
        <w:widowControl/>
        <w:wordWrap w:val="0"/>
        <w:topLinePunct/>
        <w:adjustRightInd w:val="0"/>
        <w:snapToGrid w:val="0"/>
        <w:spacing w:after="163" w:afterLines="50" w:line="360" w:lineRule="auto"/>
        <w:outlineLvl w:val="2"/>
        <w:rPr>
          <w:rFonts w:ascii="宋体" w:hAnsi="宋体" w:cs="宋体"/>
        </w:rPr>
      </w:pPr>
      <w:bookmarkStart w:id="2388" w:name="_Ref4617318"/>
      <w:bookmarkEnd w:id="2388"/>
      <w:bookmarkStart w:id="2389" w:name="_Toc20171830"/>
      <w:bookmarkEnd w:id="2389"/>
      <w:bookmarkStart w:id="2390" w:name="_Ref4617331"/>
      <w:bookmarkStart w:id="2391" w:name="_Toc27802"/>
      <w:bookmarkStart w:id="2392" w:name="_Toc30372"/>
      <w:bookmarkStart w:id="2393" w:name="_Toc12734"/>
      <w:bookmarkStart w:id="2394" w:name="_Toc977"/>
      <w:bookmarkStart w:id="2395" w:name="_Toc3388"/>
      <w:bookmarkStart w:id="2396" w:name="_Toc84930818"/>
      <w:bookmarkStart w:id="2397" w:name="_Toc58860269"/>
      <w:bookmarkStart w:id="2398" w:name="_Toc51766682"/>
      <w:bookmarkStart w:id="2399" w:name="_Toc26628"/>
      <w:r>
        <w:rPr>
          <w:rFonts w:hint="eastAsia" w:ascii="宋体" w:hAnsi="宋体" w:cs="宋体"/>
          <w:szCs w:val="21"/>
          <w:lang w:bidi="ar"/>
        </w:rPr>
        <w:t>1</w:t>
      </w:r>
      <w:bookmarkEnd w:id="2390"/>
      <w:r>
        <w:rPr>
          <w:rFonts w:hint="eastAsia" w:ascii="宋体" w:hAnsi="宋体" w:cs="宋体"/>
          <w:szCs w:val="21"/>
          <w:lang w:bidi="ar"/>
        </w:rPr>
        <w:t>3.7  法律变化引起的调整</w:t>
      </w:r>
      <w:bookmarkEnd w:id="2391"/>
      <w:bookmarkEnd w:id="2392"/>
      <w:bookmarkEnd w:id="2393"/>
      <w:bookmarkEnd w:id="2394"/>
      <w:bookmarkEnd w:id="2395"/>
      <w:bookmarkEnd w:id="2396"/>
      <w:bookmarkEnd w:id="2397"/>
      <w:bookmarkEnd w:id="2398"/>
      <w:bookmarkEnd w:id="2399"/>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13.7.1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13.7.2因法律变化引起的合同价格和工期调整，合同当事人无法达成一致的，由工程师按第3.6款[商定或确定]的约定处理。</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13.7.3因承包人原因造成工期延误，在工期延误期间出现法律变化的，由此增加的费用和（或）延误的工期由承包人承担。</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13.7.4因法律变化而需要对工程的实施进行任何调整的，承包人应迅速通知发包人，或者发包人应迅速通知承包人，并附上详细的辅助资料。发包人接到通知后，应根据第13.3款[变更程序]发出变更指示。</w:t>
      </w:r>
    </w:p>
    <w:p>
      <w:pPr>
        <w:widowControl/>
        <w:wordWrap w:val="0"/>
        <w:topLinePunct/>
        <w:adjustRightInd w:val="0"/>
        <w:snapToGrid w:val="0"/>
        <w:spacing w:after="163" w:afterLines="50" w:line="360" w:lineRule="auto"/>
        <w:outlineLvl w:val="2"/>
        <w:rPr>
          <w:rFonts w:ascii="宋体" w:hAnsi="宋体" w:cs="宋体"/>
        </w:rPr>
      </w:pPr>
      <w:bookmarkStart w:id="2400" w:name="_Ref531955627"/>
      <w:bookmarkEnd w:id="2400"/>
      <w:bookmarkStart w:id="2401" w:name="_Ref18977613"/>
      <w:bookmarkEnd w:id="2401"/>
      <w:bookmarkStart w:id="2402" w:name="_Ref531955630"/>
      <w:bookmarkEnd w:id="2402"/>
      <w:bookmarkStart w:id="2403" w:name="_Toc20171831"/>
      <w:bookmarkStart w:id="2404" w:name="_Toc31665"/>
      <w:bookmarkStart w:id="2405" w:name="_Toc20849"/>
      <w:bookmarkStart w:id="2406" w:name="_Toc58860270"/>
      <w:bookmarkStart w:id="2407" w:name="_Toc6605"/>
      <w:bookmarkStart w:id="2408" w:name="_Toc84930819"/>
      <w:bookmarkStart w:id="2409" w:name="_Toc28227"/>
      <w:bookmarkStart w:id="2410" w:name="_Toc4098"/>
      <w:bookmarkStart w:id="2411" w:name="_Toc51766683"/>
      <w:bookmarkStart w:id="2412" w:name="_Toc3093"/>
      <w:r>
        <w:rPr>
          <w:rFonts w:hint="eastAsia" w:ascii="宋体" w:hAnsi="宋体" w:cs="宋体"/>
          <w:szCs w:val="21"/>
          <w:lang w:bidi="ar"/>
        </w:rPr>
        <w:t>1</w:t>
      </w:r>
      <w:bookmarkEnd w:id="2403"/>
      <w:r>
        <w:rPr>
          <w:rFonts w:hint="eastAsia" w:ascii="宋体" w:hAnsi="宋体" w:cs="宋体"/>
          <w:szCs w:val="21"/>
          <w:lang w:bidi="ar"/>
        </w:rPr>
        <w:t>3.8  市场价格波动引起的调整</w:t>
      </w:r>
      <w:bookmarkEnd w:id="2404"/>
      <w:bookmarkEnd w:id="2405"/>
      <w:bookmarkEnd w:id="2406"/>
      <w:bookmarkEnd w:id="2407"/>
      <w:bookmarkEnd w:id="2408"/>
      <w:bookmarkEnd w:id="2409"/>
      <w:bookmarkEnd w:id="2410"/>
      <w:bookmarkEnd w:id="2411"/>
      <w:bookmarkEnd w:id="2412"/>
    </w:p>
    <w:p>
      <w:pPr>
        <w:widowControl/>
        <w:adjustRightInd w:val="0"/>
        <w:snapToGrid w:val="0"/>
        <w:spacing w:after="163" w:afterLines="50" w:line="360" w:lineRule="auto"/>
        <w:ind w:firstLine="420" w:firstLineChars="200"/>
        <w:rPr>
          <w:rFonts w:ascii="宋体" w:hAnsi="宋体" w:cs="宋体"/>
        </w:rPr>
      </w:pPr>
      <w:bookmarkStart w:id="2413" w:name="_Ref4709841"/>
      <w:bookmarkEnd w:id="2413"/>
      <w:r>
        <w:rPr>
          <w:rFonts w:hint="eastAsia" w:ascii="宋体" w:hAnsi="宋体" w:cs="宋体"/>
          <w:szCs w:val="21"/>
          <w:lang w:bidi="ar"/>
        </w:rPr>
        <w:t>13.8.1主要工程材料、设备、人工价格与招标时基期价相比，波动幅度超过合同约定幅度的，双方按照合同约定的价格调整方式调整。</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13.8.2发包人与承包人在专用合同条件中约定采用《价格指数权重表》的，适用本项约定。</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13.8.2.1双方当事人可以将部分主要工程材料、工程设备、人工价格及其他双方认为应当根据市场价格调整的费用列入附件</w:t>
      </w:r>
      <w:r>
        <w:rPr>
          <w:rFonts w:ascii="宋体" w:hAnsi="宋体" w:cs="宋体"/>
          <w:szCs w:val="21"/>
          <w:lang w:bidi="ar"/>
        </w:rPr>
        <w:t>6</w:t>
      </w:r>
      <w:r>
        <w:rPr>
          <w:rFonts w:hint="eastAsia" w:ascii="宋体" w:hAnsi="宋体" w:cs="宋体"/>
          <w:szCs w:val="21"/>
          <w:lang w:bidi="ar"/>
        </w:rPr>
        <w:t>《价格指数权重表》，并根据以下公式计算差额并调整合同价格：</w:t>
      </w:r>
    </w:p>
    <w:p>
      <w:pPr>
        <w:widowControl/>
        <w:adjustRightInd w:val="0"/>
        <w:snapToGrid w:val="0"/>
        <w:spacing w:after="163" w:afterLines="50" w:line="360" w:lineRule="auto"/>
        <w:ind w:firstLine="420" w:firstLineChars="200"/>
        <w:rPr>
          <w:rFonts w:ascii="宋体" w:hAnsi="宋体" w:cs="宋体"/>
          <w:kern w:val="0"/>
        </w:rPr>
      </w:pPr>
      <w:bookmarkStart w:id="2414" w:name="_Ref4616996"/>
      <w:bookmarkEnd w:id="2414"/>
      <w:r>
        <w:rPr>
          <w:rFonts w:hint="eastAsia" w:ascii="宋体" w:hAnsi="宋体" w:cs="宋体"/>
          <w:kern w:val="0"/>
          <w:szCs w:val="21"/>
          <w:lang w:bidi="ar"/>
        </w:rPr>
        <w:t>（1）价格调整公式</w:t>
      </w:r>
    </w:p>
    <w:p>
      <w:pPr>
        <w:widowControl/>
        <w:adjustRightInd w:val="0"/>
        <w:snapToGrid w:val="0"/>
        <w:spacing w:after="163" w:afterLines="50" w:line="360" w:lineRule="auto"/>
        <w:ind w:firstLine="420" w:firstLineChars="200"/>
        <w:rPr>
          <w:rFonts w:ascii="宋体" w:hAnsi="宋体" w:cs="宋体"/>
          <w:kern w:val="0"/>
        </w:rPr>
      </w:pPr>
      <w:r>
        <w:rPr>
          <w:rFonts w:ascii="宋体" w:hAnsi="宋体" w:cs="宋体"/>
          <w:szCs w:val="21"/>
        </w:rPr>
        <w:drawing>
          <wp:inline distT="0" distB="0" distL="114300" distR="114300">
            <wp:extent cx="4429125" cy="371475"/>
            <wp:effectExtent l="0" t="0" r="9525"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r:link="rId13"/>
                    <a:stretch>
                      <a:fillRect/>
                    </a:stretch>
                  </pic:blipFill>
                  <pic:spPr>
                    <a:xfrm>
                      <a:off x="0" y="0"/>
                      <a:ext cx="4429125" cy="371475"/>
                    </a:xfrm>
                    <a:prstGeom prst="rect">
                      <a:avLst/>
                    </a:prstGeom>
                    <a:noFill/>
                    <a:ln>
                      <a:noFill/>
                    </a:ln>
                  </pic:spPr>
                </pic:pic>
              </a:graphicData>
            </a:graphic>
          </wp:inline>
        </w:drawing>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公式中：△P---需调整的价格差额；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P</w:t>
      </w:r>
      <w:r>
        <w:rPr>
          <w:rFonts w:hint="eastAsia" w:ascii="宋体" w:hAnsi="宋体" w:cs="宋体"/>
          <w:kern w:val="0"/>
          <w:szCs w:val="21"/>
          <w:vertAlign w:val="subscript"/>
          <w:lang w:bidi="ar"/>
        </w:rPr>
        <w:t>O</w:t>
      </w:r>
      <w:r>
        <w:rPr>
          <w:rFonts w:hint="eastAsia" w:ascii="宋体" w:hAnsi="宋体" w:cs="宋体"/>
          <w:kern w:val="0"/>
          <w:szCs w:val="21"/>
          <w:lang w:bidi="ar"/>
        </w:rPr>
        <w:t>---付款证书中承包人应得到的已完成工作量的金额。此项金额应不包括价格调整、不计质量保证金的预留和支付、预付款的支付和扣回。第13条[变更与</w:t>
      </w:r>
      <w:r>
        <w:rPr>
          <w:rFonts w:ascii="宋体" w:hAnsi="宋体" w:cs="宋体"/>
          <w:kern w:val="0"/>
          <w:szCs w:val="21"/>
          <w:lang w:bidi="ar"/>
        </w:rPr>
        <w:t>调整</w:t>
      </w:r>
      <w:r>
        <w:rPr>
          <w:rFonts w:hint="eastAsia" w:ascii="宋体" w:hAnsi="宋体" w:cs="宋体"/>
          <w:kern w:val="0"/>
          <w:szCs w:val="21"/>
          <w:lang w:bidi="ar"/>
        </w:rPr>
        <w:t>]约定的变更及其他金额已按当期价格计价的，也不计在内；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A ---定值权重（即不调部分的权重）； </w:t>
      </w:r>
    </w:p>
    <w:p>
      <w:pPr>
        <w:widowControl/>
        <w:adjustRightInd w:val="0"/>
        <w:snapToGrid w:val="0"/>
        <w:spacing w:after="163" w:afterLines="50" w:line="360" w:lineRule="auto"/>
        <w:ind w:firstLine="420" w:firstLineChars="200"/>
        <w:rPr>
          <w:rFonts w:ascii="宋体" w:hAnsi="宋体" w:cs="宋体"/>
          <w:kern w:val="0"/>
        </w:rPr>
      </w:pPr>
      <w:bookmarkStart w:id="2415" w:name="_Hlk24103184"/>
      <w:bookmarkEnd w:id="2415"/>
      <w:r>
        <w:rPr>
          <w:rFonts w:hint="eastAsia" w:ascii="宋体" w:hAnsi="宋体" w:cs="宋体"/>
          <w:kern w:val="0"/>
          <w:szCs w:val="21"/>
          <w:lang w:bidi="ar"/>
        </w:rPr>
        <w:t>B</w:t>
      </w:r>
      <w:r>
        <w:rPr>
          <w:rFonts w:hint="eastAsia" w:ascii="宋体" w:hAnsi="宋体" w:cs="宋体"/>
          <w:kern w:val="0"/>
          <w:szCs w:val="21"/>
          <w:vertAlign w:val="subscript"/>
          <w:lang w:bidi="ar"/>
        </w:rPr>
        <w:t>1</w:t>
      </w:r>
      <w:r>
        <w:rPr>
          <w:rFonts w:hint="eastAsia" w:ascii="宋体" w:hAnsi="宋体" w:cs="宋体"/>
          <w:kern w:val="0"/>
          <w:szCs w:val="21"/>
          <w:lang w:bidi="ar"/>
        </w:rPr>
        <w:t>；</w:t>
      </w:r>
      <w:bookmarkStart w:id="2416" w:name="_Hlk24103205"/>
      <w:r>
        <w:rPr>
          <w:rFonts w:hint="eastAsia" w:ascii="宋体" w:hAnsi="宋体" w:cs="宋体"/>
          <w:kern w:val="0"/>
          <w:szCs w:val="21"/>
          <w:lang w:bidi="ar"/>
        </w:rPr>
        <w:t>B</w:t>
      </w:r>
      <w:bookmarkEnd w:id="2416"/>
      <w:r>
        <w:rPr>
          <w:rFonts w:hint="eastAsia" w:ascii="宋体" w:hAnsi="宋体" w:cs="宋体"/>
          <w:kern w:val="0"/>
          <w:szCs w:val="21"/>
          <w:vertAlign w:val="subscript"/>
          <w:lang w:bidi="ar"/>
        </w:rPr>
        <w:t>2</w:t>
      </w:r>
      <w:r>
        <w:rPr>
          <w:rFonts w:hint="eastAsia" w:ascii="宋体" w:hAnsi="宋体" w:cs="宋体"/>
          <w:kern w:val="0"/>
          <w:szCs w:val="21"/>
          <w:lang w:bidi="ar"/>
        </w:rPr>
        <w:t>；</w:t>
      </w:r>
      <w:bookmarkStart w:id="2417" w:name="_Hlk24103220"/>
      <w:r>
        <w:rPr>
          <w:rFonts w:hint="eastAsia" w:ascii="宋体" w:hAnsi="宋体" w:cs="宋体"/>
          <w:kern w:val="0"/>
          <w:szCs w:val="21"/>
          <w:lang w:bidi="ar"/>
        </w:rPr>
        <w:t>B</w:t>
      </w:r>
      <w:bookmarkEnd w:id="2417"/>
      <w:r>
        <w:rPr>
          <w:rFonts w:hint="eastAsia" w:ascii="宋体" w:hAnsi="宋体" w:cs="宋体"/>
          <w:kern w:val="0"/>
          <w:szCs w:val="21"/>
          <w:vertAlign w:val="subscript"/>
          <w:lang w:bidi="ar"/>
        </w:rPr>
        <w:t>3</w:t>
      </w:r>
      <w:r>
        <w:rPr>
          <w:rFonts w:hint="eastAsia" w:ascii="宋体" w:hAnsi="宋体" w:cs="宋体"/>
          <w:kern w:val="0"/>
          <w:szCs w:val="21"/>
          <w:lang w:bidi="ar"/>
        </w:rPr>
        <w:t>；……</w:t>
      </w:r>
      <w:bookmarkStart w:id="2418" w:name="_Hlk24103245"/>
      <w:r>
        <w:rPr>
          <w:rFonts w:hint="eastAsia" w:ascii="宋体" w:hAnsi="宋体" w:cs="宋体"/>
          <w:kern w:val="0"/>
          <w:szCs w:val="21"/>
          <w:lang w:bidi="ar"/>
        </w:rPr>
        <w:t>B</w:t>
      </w:r>
      <w:bookmarkEnd w:id="2418"/>
      <w:r>
        <w:rPr>
          <w:rFonts w:hint="eastAsia" w:ascii="宋体" w:hAnsi="宋体" w:cs="宋体"/>
          <w:kern w:val="0"/>
          <w:szCs w:val="21"/>
          <w:vertAlign w:val="subscript"/>
          <w:lang w:bidi="ar"/>
        </w:rPr>
        <w:t>n</w:t>
      </w:r>
      <w:r>
        <w:rPr>
          <w:rFonts w:hint="eastAsia" w:ascii="宋体" w:hAnsi="宋体" w:cs="宋体"/>
          <w:kern w:val="0"/>
          <w:szCs w:val="21"/>
          <w:lang w:bidi="ar"/>
        </w:rPr>
        <w:t>---各可调因子的变值权重（即可调部分的权重）为各可调因子在投标函投标总报价中所占的比例，且A+B</w:t>
      </w:r>
      <w:r>
        <w:rPr>
          <w:rFonts w:hint="eastAsia" w:ascii="宋体" w:hAnsi="宋体" w:cs="宋体"/>
          <w:kern w:val="0"/>
          <w:szCs w:val="21"/>
          <w:vertAlign w:val="subscript"/>
          <w:lang w:bidi="ar"/>
        </w:rPr>
        <w:t>1</w:t>
      </w:r>
      <w:r>
        <w:rPr>
          <w:rFonts w:hint="eastAsia" w:ascii="宋体" w:hAnsi="宋体" w:cs="宋体"/>
          <w:kern w:val="0"/>
          <w:szCs w:val="21"/>
          <w:lang w:bidi="ar"/>
        </w:rPr>
        <w:t>+B</w:t>
      </w:r>
      <w:r>
        <w:rPr>
          <w:rFonts w:hint="eastAsia" w:ascii="宋体" w:hAnsi="宋体" w:cs="宋体"/>
          <w:kern w:val="0"/>
          <w:szCs w:val="21"/>
          <w:vertAlign w:val="subscript"/>
          <w:lang w:bidi="ar"/>
        </w:rPr>
        <w:t>2</w:t>
      </w:r>
      <w:r>
        <w:rPr>
          <w:rFonts w:hint="eastAsia" w:ascii="宋体" w:hAnsi="宋体" w:cs="宋体"/>
          <w:kern w:val="0"/>
          <w:szCs w:val="21"/>
          <w:lang w:bidi="ar"/>
        </w:rPr>
        <w:t>+B</w:t>
      </w:r>
      <w:r>
        <w:rPr>
          <w:rFonts w:hint="eastAsia" w:ascii="宋体" w:hAnsi="宋体" w:cs="宋体"/>
          <w:kern w:val="0"/>
          <w:szCs w:val="21"/>
          <w:vertAlign w:val="subscript"/>
          <w:lang w:bidi="ar"/>
        </w:rPr>
        <w:t>3</w:t>
      </w:r>
      <w:r>
        <w:rPr>
          <w:rFonts w:hint="eastAsia" w:ascii="宋体" w:hAnsi="宋体" w:cs="宋体"/>
          <w:kern w:val="0"/>
          <w:szCs w:val="21"/>
          <w:lang w:bidi="ar"/>
        </w:rPr>
        <w:t>+……+B</w:t>
      </w:r>
      <w:r>
        <w:rPr>
          <w:rFonts w:hint="eastAsia" w:ascii="宋体" w:hAnsi="宋体" w:cs="宋体"/>
          <w:kern w:val="0"/>
          <w:szCs w:val="21"/>
          <w:vertAlign w:val="subscript"/>
          <w:lang w:bidi="ar"/>
        </w:rPr>
        <w:t>n</w:t>
      </w:r>
      <w:r>
        <w:rPr>
          <w:rFonts w:hint="eastAsia" w:ascii="宋体" w:hAnsi="宋体" w:cs="宋体"/>
          <w:kern w:val="0"/>
          <w:szCs w:val="21"/>
          <w:lang w:bidi="ar"/>
        </w:rPr>
        <w:t>=1；</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F</w:t>
      </w:r>
      <w:r>
        <w:rPr>
          <w:rFonts w:hint="eastAsia" w:ascii="宋体" w:hAnsi="宋体" w:cs="宋体"/>
          <w:kern w:val="0"/>
          <w:szCs w:val="21"/>
          <w:vertAlign w:val="subscript"/>
          <w:lang w:bidi="ar"/>
        </w:rPr>
        <w:t>t1</w:t>
      </w:r>
      <w:r>
        <w:rPr>
          <w:rFonts w:hint="eastAsia" w:ascii="宋体" w:hAnsi="宋体" w:cs="宋体"/>
          <w:kern w:val="0"/>
          <w:szCs w:val="21"/>
          <w:lang w:bidi="ar"/>
        </w:rPr>
        <w:t>；F</w:t>
      </w:r>
      <w:r>
        <w:rPr>
          <w:rFonts w:hint="eastAsia" w:ascii="宋体" w:hAnsi="宋体" w:cs="宋体"/>
          <w:kern w:val="0"/>
          <w:szCs w:val="21"/>
          <w:vertAlign w:val="subscript"/>
          <w:lang w:bidi="ar"/>
        </w:rPr>
        <w:t>t2</w:t>
      </w:r>
      <w:r>
        <w:rPr>
          <w:rFonts w:hint="eastAsia" w:ascii="宋体" w:hAnsi="宋体" w:cs="宋体"/>
          <w:kern w:val="0"/>
          <w:szCs w:val="21"/>
          <w:lang w:bidi="ar"/>
        </w:rPr>
        <w:t>；F</w:t>
      </w:r>
      <w:r>
        <w:rPr>
          <w:rFonts w:hint="eastAsia" w:ascii="宋体" w:hAnsi="宋体" w:cs="宋体"/>
          <w:kern w:val="0"/>
          <w:szCs w:val="21"/>
          <w:vertAlign w:val="subscript"/>
          <w:lang w:bidi="ar"/>
        </w:rPr>
        <w:t>t3</w:t>
      </w:r>
      <w:r>
        <w:rPr>
          <w:rFonts w:hint="eastAsia" w:ascii="宋体" w:hAnsi="宋体" w:cs="宋体"/>
          <w:kern w:val="0"/>
          <w:szCs w:val="21"/>
          <w:lang w:bidi="ar"/>
        </w:rPr>
        <w:t>；……F</w:t>
      </w:r>
      <w:r>
        <w:rPr>
          <w:rFonts w:hint="eastAsia" w:ascii="宋体" w:hAnsi="宋体" w:cs="宋体"/>
          <w:kern w:val="0"/>
          <w:szCs w:val="21"/>
          <w:vertAlign w:val="subscript"/>
          <w:lang w:bidi="ar"/>
        </w:rPr>
        <w:t>tn</w:t>
      </w:r>
      <w:r>
        <w:rPr>
          <w:rFonts w:hint="eastAsia" w:ascii="宋体" w:hAnsi="宋体" w:cs="宋体"/>
          <w:kern w:val="0"/>
          <w:szCs w:val="21"/>
          <w:lang w:bidi="ar"/>
        </w:rPr>
        <w:t>---各可调因子的当期价格指数，指付款证书相关周期最后一天的前42天的各可调因子的价格指数；</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F</w:t>
      </w:r>
      <w:r>
        <w:rPr>
          <w:rFonts w:hint="eastAsia" w:ascii="宋体" w:hAnsi="宋体" w:cs="宋体"/>
          <w:kern w:val="0"/>
          <w:szCs w:val="21"/>
          <w:vertAlign w:val="subscript"/>
          <w:lang w:bidi="ar"/>
        </w:rPr>
        <w:t>01</w:t>
      </w:r>
      <w:r>
        <w:rPr>
          <w:rFonts w:hint="eastAsia" w:ascii="宋体" w:hAnsi="宋体" w:cs="宋体"/>
          <w:kern w:val="0"/>
          <w:szCs w:val="21"/>
          <w:lang w:bidi="ar"/>
        </w:rPr>
        <w:t>；F</w:t>
      </w:r>
      <w:r>
        <w:rPr>
          <w:rFonts w:hint="eastAsia" w:ascii="宋体" w:hAnsi="宋体" w:cs="宋体"/>
          <w:kern w:val="0"/>
          <w:szCs w:val="21"/>
          <w:vertAlign w:val="subscript"/>
          <w:lang w:bidi="ar"/>
        </w:rPr>
        <w:t>02</w:t>
      </w:r>
      <w:r>
        <w:rPr>
          <w:rFonts w:hint="eastAsia" w:ascii="宋体" w:hAnsi="宋体" w:cs="宋体"/>
          <w:kern w:val="0"/>
          <w:szCs w:val="21"/>
          <w:lang w:bidi="ar"/>
        </w:rPr>
        <w:t>；F</w:t>
      </w:r>
      <w:r>
        <w:rPr>
          <w:rFonts w:hint="eastAsia" w:ascii="宋体" w:hAnsi="宋体" w:cs="宋体"/>
          <w:kern w:val="0"/>
          <w:szCs w:val="21"/>
          <w:vertAlign w:val="subscript"/>
          <w:lang w:bidi="ar"/>
        </w:rPr>
        <w:t>03</w:t>
      </w:r>
      <w:r>
        <w:rPr>
          <w:rFonts w:hint="eastAsia" w:ascii="宋体" w:hAnsi="宋体" w:cs="宋体"/>
          <w:kern w:val="0"/>
          <w:szCs w:val="21"/>
          <w:lang w:bidi="ar"/>
        </w:rPr>
        <w:t>；……F</w:t>
      </w:r>
      <w:r>
        <w:rPr>
          <w:rFonts w:hint="eastAsia" w:ascii="宋体" w:hAnsi="宋体" w:cs="宋体"/>
          <w:kern w:val="0"/>
          <w:szCs w:val="21"/>
          <w:vertAlign w:val="subscript"/>
          <w:lang w:bidi="ar"/>
        </w:rPr>
        <w:t>0n</w:t>
      </w:r>
      <w:r>
        <w:rPr>
          <w:rFonts w:hint="eastAsia" w:ascii="宋体" w:hAnsi="宋体" w:cs="宋体"/>
          <w:kern w:val="0"/>
          <w:szCs w:val="21"/>
          <w:lang w:bidi="ar"/>
        </w:rPr>
        <w:t>---各可调因子的基本价格指数，指基准日期的各可调因子的价格指数。</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（2）暂时确定调整差额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在计算调整差额时得不到当期价格指数的，可暂用上一次价格指数计算，并在以后的付款中再按实际价格指数进行调整。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（3）权重的调整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按第13.1款[发包人变更权]约定的变更导致原定合同中的权重不合理的，由工程师与承包人和发包人协商后进行调整。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（4）承包人原因工期延误后的价格调整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（5）发包人引起的工期延误后的价格调整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13.8.2.2未列入</w:t>
      </w:r>
      <w:bookmarkStart w:id="2419" w:name="_Hlk24494865"/>
      <w:r>
        <w:rPr>
          <w:rFonts w:hint="eastAsia" w:ascii="宋体" w:hAnsi="宋体" w:cs="宋体"/>
          <w:szCs w:val="21"/>
          <w:lang w:bidi="ar"/>
        </w:rPr>
        <w:t>《价格指数权重表》</w:t>
      </w:r>
      <w:bookmarkEnd w:id="2419"/>
      <w:r>
        <w:rPr>
          <w:rFonts w:hint="eastAsia" w:ascii="宋体" w:hAnsi="宋体" w:cs="宋体"/>
          <w:szCs w:val="21"/>
          <w:lang w:bidi="ar"/>
        </w:rPr>
        <w:t>的费用不因市场变化而调整。</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13.8.3双方约定采用其他方式调整合同价款的，以专用合同条件约定为准。</w:t>
      </w:r>
    </w:p>
    <w:p>
      <w:pPr>
        <w:widowControl/>
        <w:wordWrap w:val="0"/>
        <w:topLinePunct/>
        <w:adjustRightInd w:val="0"/>
        <w:snapToGrid w:val="0"/>
        <w:spacing w:after="163" w:afterLines="50" w:line="360" w:lineRule="auto"/>
        <w:outlineLvl w:val="1"/>
        <w:rPr>
          <w:rFonts w:ascii="宋体" w:hAnsi="宋体" w:cs="宋体"/>
          <w:kern w:val="0"/>
        </w:rPr>
      </w:pPr>
      <w:bookmarkStart w:id="2420" w:name="_Toc20171832"/>
      <w:bookmarkEnd w:id="2420"/>
      <w:bookmarkStart w:id="2421" w:name="_Ref531955880"/>
      <w:bookmarkEnd w:id="2421"/>
      <w:bookmarkStart w:id="2422" w:name="_Ref531955885"/>
      <w:bookmarkStart w:id="2423" w:name="_Toc16486"/>
      <w:bookmarkStart w:id="2424" w:name="_Toc31218"/>
      <w:bookmarkStart w:id="2425" w:name="_Toc24960"/>
      <w:bookmarkStart w:id="2426" w:name="_Toc1078"/>
      <w:r>
        <w:rPr>
          <w:rFonts w:hint="eastAsia" w:ascii="宋体" w:hAnsi="宋体" w:cs="宋体"/>
          <w:kern w:val="0"/>
          <w:szCs w:val="21"/>
          <w:lang w:bidi="ar"/>
        </w:rPr>
        <w:t>第1</w:t>
      </w:r>
      <w:bookmarkEnd w:id="2422"/>
      <w:r>
        <w:rPr>
          <w:rFonts w:hint="eastAsia" w:ascii="宋体" w:hAnsi="宋体" w:cs="宋体"/>
          <w:kern w:val="0"/>
          <w:szCs w:val="21"/>
          <w:lang w:bidi="ar"/>
        </w:rPr>
        <w:t>4条  合同价格与支付</w:t>
      </w:r>
      <w:bookmarkEnd w:id="2423"/>
      <w:bookmarkEnd w:id="2424"/>
      <w:bookmarkEnd w:id="2425"/>
      <w:bookmarkEnd w:id="2426"/>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427" w:name="_Ref4431531"/>
      <w:bookmarkEnd w:id="2427"/>
      <w:bookmarkStart w:id="2428" w:name="_Toc20171833"/>
      <w:bookmarkEnd w:id="2428"/>
      <w:bookmarkStart w:id="2429" w:name="_Ref4431521"/>
      <w:bookmarkStart w:id="2430" w:name="_Toc27257"/>
      <w:bookmarkStart w:id="2431" w:name="_Toc84930821"/>
      <w:bookmarkStart w:id="2432" w:name="_Toc22817"/>
      <w:bookmarkStart w:id="2433" w:name="_Toc2462"/>
      <w:bookmarkStart w:id="2434" w:name="_Toc58860272"/>
      <w:bookmarkStart w:id="2435" w:name="_Toc51766685"/>
      <w:bookmarkStart w:id="2436" w:name="_Toc25109"/>
      <w:bookmarkStart w:id="2437" w:name="_Toc12080"/>
      <w:bookmarkStart w:id="2438" w:name="_Toc7712"/>
      <w:r>
        <w:rPr>
          <w:rFonts w:hint="eastAsia" w:ascii="宋体" w:hAnsi="宋体" w:cs="宋体"/>
          <w:szCs w:val="21"/>
          <w:lang w:bidi="ar"/>
        </w:rPr>
        <w:t>1</w:t>
      </w:r>
      <w:bookmarkEnd w:id="2429"/>
      <w:r>
        <w:rPr>
          <w:rFonts w:hint="eastAsia" w:ascii="宋体" w:hAnsi="宋体" w:cs="宋体"/>
          <w:szCs w:val="21"/>
          <w:lang w:bidi="ar"/>
        </w:rPr>
        <w:t>4.1  合同价格形式</w:t>
      </w:r>
      <w:bookmarkEnd w:id="2430"/>
      <w:bookmarkEnd w:id="2431"/>
      <w:bookmarkEnd w:id="2432"/>
      <w:bookmarkEnd w:id="2433"/>
      <w:bookmarkEnd w:id="2434"/>
      <w:bookmarkEnd w:id="2435"/>
      <w:bookmarkEnd w:id="2436"/>
      <w:bookmarkEnd w:id="2437"/>
      <w:bookmarkEnd w:id="2438"/>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14.1.1除专用合同条件中另有约定外，本合同为总价合同，除根据第13条[变更与调整]，以及合同中其它相关增减金额的约定进行调整外，合同价格不做调整。</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14.1.2除专用合同条件另有约定外：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（1）工程款的支付应以合同协议书约定的签约合同价格为基础，按照合同约定进行调整；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（2）承包人应支付根据法律规定或合同约定应由其支付的各项税费，除第13.7款[法律变化引起的调整]约定外，合同价格不应因任何这些税费进行调整；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价格清单列出的任何数量仅为估算的工作量，不得将其视为要求承包人实施的工程的实际或准确的工作量。在价格清单中列出的任何工作量和价格数据应仅限用于变更和支付的参考资料，而不能用于其他目的。</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14.1.3合同约定工程的某部分按照实际完成的工程量进行支付的，应按照专用合同条件的约定进行计量和估价，并据此调整合同价格。</w:t>
      </w:r>
    </w:p>
    <w:p>
      <w:pPr>
        <w:widowControl/>
        <w:wordWrap w:val="0"/>
        <w:topLinePunct/>
        <w:adjustRightInd w:val="0"/>
        <w:snapToGrid w:val="0"/>
        <w:spacing w:after="163" w:afterLines="50" w:line="360" w:lineRule="auto"/>
        <w:outlineLvl w:val="2"/>
        <w:rPr>
          <w:rFonts w:ascii="宋体" w:hAnsi="宋体" w:cs="宋体"/>
        </w:rPr>
      </w:pPr>
      <w:bookmarkStart w:id="2439" w:name="_Ref531956884"/>
      <w:bookmarkEnd w:id="2439"/>
      <w:bookmarkStart w:id="2440" w:name="_Toc20171834"/>
      <w:bookmarkEnd w:id="2440"/>
      <w:bookmarkStart w:id="2441" w:name="_Ref531956881"/>
      <w:bookmarkStart w:id="2442" w:name="_Toc24425"/>
      <w:bookmarkStart w:id="2443" w:name="_Toc51766686"/>
      <w:bookmarkStart w:id="2444" w:name="_Toc28221"/>
      <w:bookmarkStart w:id="2445" w:name="_Toc766"/>
      <w:bookmarkStart w:id="2446" w:name="_Toc17060"/>
      <w:bookmarkStart w:id="2447" w:name="_Toc84930822"/>
      <w:bookmarkStart w:id="2448" w:name="_Toc22705"/>
      <w:bookmarkStart w:id="2449" w:name="_Toc58860273"/>
      <w:bookmarkStart w:id="2450" w:name="_Toc13431"/>
      <w:r>
        <w:rPr>
          <w:rFonts w:hint="eastAsia" w:ascii="宋体" w:hAnsi="宋体" w:cs="宋体"/>
          <w:szCs w:val="21"/>
          <w:lang w:bidi="ar"/>
        </w:rPr>
        <w:t>1</w:t>
      </w:r>
      <w:bookmarkEnd w:id="2441"/>
      <w:r>
        <w:rPr>
          <w:rFonts w:hint="eastAsia" w:ascii="宋体" w:hAnsi="宋体" w:cs="宋体"/>
          <w:szCs w:val="21"/>
          <w:lang w:bidi="ar"/>
        </w:rPr>
        <w:t>4.2  预付款</w:t>
      </w:r>
      <w:bookmarkEnd w:id="2442"/>
      <w:bookmarkEnd w:id="2443"/>
      <w:bookmarkEnd w:id="2444"/>
      <w:bookmarkEnd w:id="2445"/>
      <w:bookmarkEnd w:id="2446"/>
      <w:bookmarkEnd w:id="2447"/>
      <w:bookmarkEnd w:id="2448"/>
      <w:bookmarkEnd w:id="2449"/>
      <w:bookmarkEnd w:id="2450"/>
    </w:p>
    <w:p>
      <w:pPr>
        <w:widowControl/>
        <w:wordWrap w:val="0"/>
        <w:topLinePunct/>
        <w:adjustRightInd w:val="0"/>
        <w:snapToGrid w:val="0"/>
        <w:spacing w:after="163" w:afterLines="50" w:line="360" w:lineRule="auto"/>
        <w:ind w:left="480"/>
        <w:outlineLvl w:val="3"/>
        <w:rPr>
          <w:rFonts w:ascii="宋体" w:hAnsi="宋体" w:cs="宋体"/>
        </w:rPr>
      </w:pPr>
      <w:bookmarkStart w:id="2451" w:name="_Ref531956894"/>
      <w:bookmarkEnd w:id="2451"/>
      <w:bookmarkStart w:id="2452" w:name="_Ref4623383"/>
      <w:r>
        <w:rPr>
          <w:rFonts w:hint="eastAsia" w:ascii="宋体" w:hAnsi="宋体" w:cs="宋体"/>
          <w:szCs w:val="21"/>
          <w:lang w:bidi="ar"/>
        </w:rPr>
        <w:t>1</w:t>
      </w:r>
      <w:bookmarkEnd w:id="2452"/>
      <w:r>
        <w:rPr>
          <w:rFonts w:hint="eastAsia" w:ascii="宋体" w:hAnsi="宋体" w:cs="宋体"/>
          <w:szCs w:val="21"/>
          <w:lang w:bidi="ar"/>
        </w:rPr>
        <w:t>4.2.1预付款支付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预付款的额度和支付按照专用合同条件约定执行。预付款应当专用于承包人为合同工程的设计和工程实施购置材料、工程设备、施工设备、修建临时设施以及组织施工队伍进场等合同工作。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除专用合同条件另有约定外，预付款在进度付款中同比例扣回。在颁发工程接收证书前，提前解除合同的，尚未扣完的预付款应与合同价款一并结算。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发包人逾期支付预付款超过7天的，承包人有权向发包人发出要求预付的催告通知，发包人收到通知后7天内仍未支付的，承包人有权暂停施工，并按第1</w:t>
      </w:r>
      <w:r>
        <w:rPr>
          <w:rFonts w:ascii="宋体" w:hAnsi="宋体" w:cs="宋体"/>
          <w:kern w:val="0"/>
          <w:szCs w:val="21"/>
          <w:lang w:bidi="ar"/>
        </w:rPr>
        <w:t>5</w:t>
      </w:r>
      <w:r>
        <w:rPr>
          <w:rFonts w:hint="eastAsia" w:ascii="宋体" w:hAnsi="宋体" w:cs="宋体"/>
          <w:kern w:val="0"/>
          <w:szCs w:val="21"/>
          <w:lang w:bidi="ar"/>
        </w:rPr>
        <w:t>.1.1项[发包人违约的情形]执行。</w:t>
      </w:r>
    </w:p>
    <w:p>
      <w:pPr>
        <w:widowControl/>
        <w:wordWrap w:val="0"/>
        <w:topLinePunct/>
        <w:adjustRightInd w:val="0"/>
        <w:snapToGrid w:val="0"/>
        <w:spacing w:after="163" w:afterLines="50" w:line="360" w:lineRule="auto"/>
        <w:ind w:left="480"/>
        <w:outlineLvl w:val="3"/>
        <w:rPr>
          <w:rFonts w:ascii="宋体" w:hAnsi="宋体" w:cs="宋体"/>
        </w:rPr>
      </w:pPr>
      <w:bookmarkStart w:id="2453" w:name="_Ref4797624"/>
      <w:bookmarkEnd w:id="2453"/>
      <w:bookmarkStart w:id="2454" w:name="_Ref531956907"/>
      <w:r>
        <w:rPr>
          <w:rFonts w:hint="eastAsia" w:ascii="宋体" w:hAnsi="宋体" w:cs="宋体"/>
          <w:szCs w:val="21"/>
          <w:lang w:bidi="ar"/>
        </w:rPr>
        <w:t>1</w:t>
      </w:r>
      <w:bookmarkEnd w:id="2454"/>
      <w:r>
        <w:rPr>
          <w:rFonts w:hint="eastAsia" w:ascii="宋体" w:hAnsi="宋体" w:cs="宋体"/>
          <w:szCs w:val="21"/>
          <w:lang w:bidi="ar"/>
        </w:rPr>
        <w:t>4.2.2预付款担保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发包人在工程款中逐期扣回预付款后，预付款担保额度应相应减少，但剩余的预付款担保金额不得低于未被扣回的预付款金额。</w:t>
      </w:r>
    </w:p>
    <w:p>
      <w:pPr>
        <w:widowControl/>
        <w:wordWrap w:val="0"/>
        <w:topLinePunct/>
        <w:adjustRightInd w:val="0"/>
        <w:snapToGrid w:val="0"/>
        <w:spacing w:after="163" w:afterLines="50" w:line="360" w:lineRule="auto"/>
        <w:outlineLvl w:val="2"/>
        <w:rPr>
          <w:rFonts w:ascii="宋体" w:hAnsi="宋体" w:cs="宋体"/>
        </w:rPr>
      </w:pPr>
      <w:bookmarkStart w:id="2455" w:name="_Ref531956963"/>
      <w:bookmarkEnd w:id="2455"/>
      <w:bookmarkStart w:id="2456" w:name="_Ref4623398"/>
      <w:bookmarkEnd w:id="2456"/>
      <w:bookmarkStart w:id="2457" w:name="_Toc20171835"/>
      <w:bookmarkEnd w:id="2457"/>
      <w:bookmarkStart w:id="2458" w:name="_Ref531956967"/>
      <w:bookmarkEnd w:id="2458"/>
      <w:bookmarkStart w:id="2459" w:name="_Toc4784195"/>
      <w:bookmarkEnd w:id="2459"/>
      <w:bookmarkStart w:id="2460" w:name="_Toc4784193"/>
      <w:bookmarkEnd w:id="2460"/>
      <w:bookmarkStart w:id="2461" w:name="_Toc4784194"/>
      <w:bookmarkStart w:id="2462" w:name="_Toc51766687"/>
      <w:bookmarkStart w:id="2463" w:name="_Toc24350"/>
      <w:bookmarkStart w:id="2464" w:name="_Toc29756"/>
      <w:bookmarkStart w:id="2465" w:name="_Toc7254"/>
      <w:bookmarkStart w:id="2466" w:name="_Toc84930823"/>
      <w:bookmarkStart w:id="2467" w:name="_Toc58860274"/>
      <w:bookmarkStart w:id="2468" w:name="_Toc28269"/>
      <w:bookmarkStart w:id="2469" w:name="_Toc2494"/>
      <w:bookmarkStart w:id="2470" w:name="_Toc17473"/>
      <w:r>
        <w:rPr>
          <w:rFonts w:hint="eastAsia" w:ascii="宋体" w:hAnsi="宋体" w:cs="宋体"/>
          <w:szCs w:val="21"/>
          <w:lang w:bidi="ar"/>
        </w:rPr>
        <w:t>1</w:t>
      </w:r>
      <w:bookmarkEnd w:id="2461"/>
      <w:r>
        <w:rPr>
          <w:rFonts w:hint="eastAsia" w:ascii="宋体" w:hAnsi="宋体" w:cs="宋体"/>
          <w:szCs w:val="21"/>
          <w:lang w:bidi="ar"/>
        </w:rPr>
        <w:t>4.3  工程进度款</w:t>
      </w:r>
      <w:bookmarkEnd w:id="2462"/>
      <w:bookmarkEnd w:id="2463"/>
      <w:bookmarkEnd w:id="2464"/>
      <w:bookmarkEnd w:id="2465"/>
      <w:bookmarkEnd w:id="2466"/>
      <w:bookmarkEnd w:id="2467"/>
      <w:bookmarkEnd w:id="2468"/>
      <w:bookmarkEnd w:id="2469"/>
      <w:bookmarkEnd w:id="2470"/>
    </w:p>
    <w:p>
      <w:pPr>
        <w:widowControl/>
        <w:wordWrap w:val="0"/>
        <w:topLinePunct/>
        <w:adjustRightInd w:val="0"/>
        <w:snapToGrid w:val="0"/>
        <w:spacing w:after="163" w:afterLines="50" w:line="360" w:lineRule="auto"/>
        <w:ind w:left="480"/>
        <w:outlineLvl w:val="3"/>
        <w:rPr>
          <w:rFonts w:ascii="宋体" w:hAnsi="宋体" w:cs="宋体"/>
        </w:rPr>
      </w:pPr>
      <w:bookmarkStart w:id="2471" w:name="_Ref531956987"/>
      <w:bookmarkEnd w:id="2471"/>
      <w:bookmarkStart w:id="2472" w:name="_Ref532679934"/>
      <w:r>
        <w:rPr>
          <w:rFonts w:hint="eastAsia" w:ascii="宋体" w:hAnsi="宋体" w:cs="宋体"/>
          <w:szCs w:val="21"/>
          <w:lang w:bidi="ar"/>
        </w:rPr>
        <w:t>1</w:t>
      </w:r>
      <w:bookmarkEnd w:id="2472"/>
      <w:r>
        <w:rPr>
          <w:rFonts w:hint="eastAsia" w:ascii="宋体" w:hAnsi="宋体" w:cs="宋体"/>
          <w:szCs w:val="21"/>
          <w:lang w:bidi="ar"/>
        </w:rPr>
        <w:t xml:space="preserve">4.3.1工程进度付款申请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（1）人工费的申请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（2）除专用合同条件另有约定外，承包人应在每月月末向工程师提交进度付款申请单，该进度付款申请单应包括下列内容：</w:t>
      </w:r>
    </w:p>
    <w:p>
      <w:pPr>
        <w:widowControl/>
        <w:adjustRightInd w:val="0"/>
        <w:snapToGrid w:val="0"/>
        <w:spacing w:after="163" w:afterLines="50" w:line="360" w:lineRule="auto"/>
        <w:ind w:firstLine="420" w:firstLineChars="200"/>
        <w:rPr>
          <w:rFonts w:ascii="宋体" w:hAnsi="宋体" w:cs="宋体"/>
          <w:kern w:val="0"/>
        </w:rPr>
      </w:pPr>
      <w:bookmarkStart w:id="2473" w:name="_Ref24496054"/>
      <w:bookmarkEnd w:id="2473"/>
      <w:r>
        <w:rPr>
          <w:rFonts w:hint="eastAsia" w:ascii="宋体" w:hAnsi="宋体" w:cs="宋体"/>
          <w:kern w:val="0"/>
          <w:szCs w:val="21"/>
          <w:lang w:bidi="ar"/>
        </w:rPr>
        <w:t>1）截至本次付款周期内已完成工作对应的金额；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2）扣除依据本款第（1）目约定中已扣除的人工费金额；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3）根据第13条[变更与调整]应增加和扣减的变更金额；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4）根据第14.2款[预付款]约定应支付的预付款和扣减的返还预付款；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5）根据第14.6.2项[质量保证金的预留]约定应预留的质量保证金金额；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6）根据第19条[索赔]应增加和扣减的索赔金额；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7）对已签发的进度款支付证书中出现错误的修正，应在本次进度付款中支付或扣除的金额；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8）根据合同约定应增加和扣减的其他金额。</w:t>
      </w:r>
    </w:p>
    <w:p>
      <w:pPr>
        <w:widowControl/>
        <w:wordWrap w:val="0"/>
        <w:topLinePunct/>
        <w:adjustRightInd w:val="0"/>
        <w:snapToGrid w:val="0"/>
        <w:spacing w:after="163" w:afterLines="50" w:line="360" w:lineRule="auto"/>
        <w:ind w:left="480"/>
        <w:outlineLvl w:val="3"/>
        <w:rPr>
          <w:rFonts w:ascii="宋体" w:hAnsi="宋体" w:cs="宋体"/>
        </w:rPr>
      </w:pPr>
      <w:bookmarkStart w:id="2474" w:name="_Ref531957608"/>
      <w:bookmarkEnd w:id="2474"/>
      <w:r>
        <w:rPr>
          <w:rFonts w:hint="eastAsia" w:ascii="宋体" w:hAnsi="宋体" w:cs="宋体"/>
          <w:szCs w:val="21"/>
          <w:lang w:bidi="ar"/>
        </w:rPr>
        <w:t>14.3.2进度付款审核和支付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发包人签发进度款支付证书，不表明发包人已同意、批准或接受了承包人完成的相应部分的工作。</w:t>
      </w:r>
    </w:p>
    <w:p>
      <w:pPr>
        <w:widowControl/>
        <w:wordWrap w:val="0"/>
        <w:topLinePunct/>
        <w:adjustRightInd w:val="0"/>
        <w:snapToGrid w:val="0"/>
        <w:spacing w:after="163" w:afterLines="50" w:line="360" w:lineRule="auto"/>
        <w:ind w:left="480"/>
        <w:outlineLvl w:val="3"/>
        <w:rPr>
          <w:rFonts w:ascii="宋体" w:hAnsi="宋体" w:cs="宋体"/>
        </w:rPr>
      </w:pPr>
      <w:bookmarkStart w:id="2475" w:name="_Ref531957023"/>
      <w:bookmarkEnd w:id="2475"/>
      <w:r>
        <w:rPr>
          <w:rFonts w:hint="eastAsia" w:ascii="宋体" w:hAnsi="宋体" w:cs="宋体"/>
          <w:szCs w:val="21"/>
          <w:lang w:bidi="ar"/>
        </w:rPr>
        <w:t>14.3.3进度付款的修正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在对已签发的进度款支付证书进行阶段汇总和复核中发现错误、遗漏或重复的，发包人和承包人均有权提出修正申请。经发包人和承包人同意的修正，应在下期进度付款中支付或扣除。</w:t>
      </w:r>
    </w:p>
    <w:p>
      <w:pPr>
        <w:widowControl/>
        <w:wordWrap w:val="0"/>
        <w:topLinePunct/>
        <w:adjustRightInd w:val="0"/>
        <w:snapToGrid w:val="0"/>
        <w:spacing w:after="163" w:afterLines="50" w:line="360" w:lineRule="auto"/>
        <w:outlineLvl w:val="2"/>
        <w:rPr>
          <w:rFonts w:ascii="宋体" w:hAnsi="宋体" w:cs="宋体"/>
        </w:rPr>
      </w:pPr>
      <w:bookmarkStart w:id="2476" w:name="_Ref536647822"/>
      <w:bookmarkEnd w:id="2476"/>
      <w:bookmarkStart w:id="2477" w:name="_Toc20171836"/>
      <w:bookmarkEnd w:id="2477"/>
      <w:bookmarkStart w:id="2478" w:name="_Ref4538578"/>
      <w:bookmarkEnd w:id="2478"/>
      <w:bookmarkStart w:id="2479" w:name="_Ref536647814"/>
      <w:bookmarkStart w:id="2480" w:name="_Toc870"/>
      <w:bookmarkStart w:id="2481" w:name="_Toc84930824"/>
      <w:bookmarkStart w:id="2482" w:name="_Toc22414"/>
      <w:bookmarkStart w:id="2483" w:name="_Toc51766688"/>
      <w:bookmarkStart w:id="2484" w:name="_Toc3392"/>
      <w:bookmarkStart w:id="2485" w:name="_Toc28659"/>
      <w:bookmarkStart w:id="2486" w:name="_Toc58860275"/>
      <w:bookmarkStart w:id="2487" w:name="_Toc9740"/>
      <w:bookmarkStart w:id="2488" w:name="_Toc18980"/>
      <w:r>
        <w:rPr>
          <w:rFonts w:hint="eastAsia" w:ascii="宋体" w:hAnsi="宋体" w:cs="宋体"/>
          <w:szCs w:val="21"/>
          <w:lang w:bidi="ar"/>
        </w:rPr>
        <w:t>1</w:t>
      </w:r>
      <w:bookmarkEnd w:id="2479"/>
      <w:r>
        <w:rPr>
          <w:rFonts w:hint="eastAsia" w:ascii="宋体" w:hAnsi="宋体" w:cs="宋体"/>
          <w:szCs w:val="21"/>
          <w:lang w:bidi="ar"/>
        </w:rPr>
        <w:t>4.4  付款计划表</w:t>
      </w:r>
      <w:bookmarkEnd w:id="2480"/>
      <w:bookmarkEnd w:id="2481"/>
      <w:bookmarkEnd w:id="2482"/>
      <w:bookmarkEnd w:id="2483"/>
      <w:bookmarkEnd w:id="2484"/>
      <w:bookmarkEnd w:id="2485"/>
      <w:bookmarkEnd w:id="2486"/>
      <w:bookmarkEnd w:id="2487"/>
      <w:bookmarkEnd w:id="2488"/>
    </w:p>
    <w:p>
      <w:pPr>
        <w:widowControl/>
        <w:wordWrap w:val="0"/>
        <w:topLinePunct/>
        <w:adjustRightInd w:val="0"/>
        <w:snapToGrid w:val="0"/>
        <w:spacing w:after="163" w:afterLines="50" w:line="360" w:lineRule="auto"/>
        <w:ind w:left="480"/>
        <w:outlineLvl w:val="3"/>
        <w:rPr>
          <w:rFonts w:ascii="宋体" w:hAnsi="宋体" w:cs="宋体"/>
        </w:rPr>
      </w:pPr>
      <w:bookmarkStart w:id="2489" w:name="_Ref4570974"/>
      <w:bookmarkEnd w:id="2489"/>
      <w:r>
        <w:rPr>
          <w:rFonts w:hint="eastAsia" w:ascii="宋体" w:hAnsi="宋体" w:cs="宋体"/>
          <w:szCs w:val="21"/>
          <w:lang w:bidi="ar"/>
        </w:rPr>
        <w:t>14.4.1付款计划表的编制要求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除专用合同条件另有约定外，付款计划表按如下要求编制：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（1）付款计划表中所列的每期付款金额，应为第14.3.1项[工程进度付款申请]每期进度款的估算金额；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（2）实际进度与项目进度计划不一致的，合同当事人可按照第3.6款[商定或确定]修改付款计划表；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（3）不采用付款计划表的，承包人应向工程师提交按季度编制的支付估算付款计划表，用于支付参考。</w:t>
      </w:r>
    </w:p>
    <w:p>
      <w:pPr>
        <w:widowControl/>
        <w:wordWrap w:val="0"/>
        <w:topLinePunct/>
        <w:adjustRightInd w:val="0"/>
        <w:snapToGrid w:val="0"/>
        <w:spacing w:after="163" w:afterLines="50" w:line="360" w:lineRule="auto"/>
        <w:ind w:left="480"/>
        <w:outlineLvl w:val="3"/>
        <w:rPr>
          <w:rFonts w:ascii="宋体" w:hAnsi="宋体" w:cs="宋体"/>
        </w:rPr>
      </w:pPr>
      <w:bookmarkStart w:id="2490" w:name="_Ref4571011"/>
      <w:bookmarkEnd w:id="2490"/>
      <w:r>
        <w:rPr>
          <w:rFonts w:hint="eastAsia" w:ascii="宋体" w:hAnsi="宋体" w:cs="宋体"/>
          <w:szCs w:val="21"/>
          <w:lang w:bidi="ar"/>
        </w:rPr>
        <w:t>14.4.2付款计划表的编制与审批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承包人应根据第8.4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（2）工程师应在收到付款计划表后7天内完成审核并报送发包人。发包人应在收到经工程师审核的付款计划表后7天内完成审批，经发包人批准的付款计划表为有约束力的付款计划表。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（3）发包人逾期未完成付款计划表审批的，也未及时要求承包人进行修正和提供补充资料的，则承包人提交的付款计划表视为已经获得发包人批准。</w:t>
      </w:r>
    </w:p>
    <w:p>
      <w:pPr>
        <w:widowControl/>
        <w:wordWrap w:val="0"/>
        <w:topLinePunct/>
        <w:adjustRightInd w:val="0"/>
        <w:snapToGrid w:val="0"/>
        <w:spacing w:after="163" w:afterLines="50" w:line="360" w:lineRule="auto"/>
        <w:outlineLvl w:val="2"/>
        <w:rPr>
          <w:rFonts w:ascii="宋体" w:hAnsi="宋体" w:cs="宋体"/>
        </w:rPr>
      </w:pPr>
      <w:bookmarkStart w:id="2491" w:name="_Ref4538634"/>
      <w:bookmarkEnd w:id="2491"/>
      <w:bookmarkStart w:id="2492" w:name="_Toc20171837"/>
      <w:bookmarkStart w:id="2493" w:name="_Toc20393"/>
      <w:bookmarkStart w:id="2494" w:name="_Toc8380"/>
      <w:bookmarkStart w:id="2495" w:name="_Toc12167"/>
      <w:bookmarkStart w:id="2496" w:name="_Toc10461"/>
      <w:bookmarkStart w:id="2497" w:name="_Toc58860276"/>
      <w:bookmarkStart w:id="2498" w:name="_Toc51766689"/>
      <w:bookmarkStart w:id="2499" w:name="_Toc12185"/>
      <w:bookmarkStart w:id="2500" w:name="_Toc84930825"/>
      <w:bookmarkStart w:id="2501" w:name="_Toc20392"/>
      <w:r>
        <w:rPr>
          <w:rFonts w:hint="eastAsia" w:ascii="宋体" w:hAnsi="宋体" w:cs="宋体"/>
          <w:szCs w:val="21"/>
          <w:lang w:bidi="ar"/>
        </w:rPr>
        <w:t xml:space="preserve">14.5 </w:t>
      </w:r>
      <w:bookmarkEnd w:id="2492"/>
      <w:r>
        <w:rPr>
          <w:rFonts w:hint="eastAsia" w:ascii="宋体" w:hAnsi="宋体" w:cs="宋体"/>
          <w:szCs w:val="21"/>
          <w:lang w:bidi="ar"/>
        </w:rPr>
        <w:t xml:space="preserve"> 竣工结算</w:t>
      </w:r>
      <w:bookmarkEnd w:id="2493"/>
      <w:bookmarkEnd w:id="2494"/>
      <w:bookmarkEnd w:id="2495"/>
      <w:bookmarkEnd w:id="2496"/>
      <w:bookmarkEnd w:id="2497"/>
      <w:bookmarkEnd w:id="2498"/>
      <w:bookmarkEnd w:id="2499"/>
      <w:bookmarkEnd w:id="2500"/>
      <w:bookmarkEnd w:id="2501"/>
    </w:p>
    <w:p>
      <w:pPr>
        <w:widowControl/>
        <w:wordWrap w:val="0"/>
        <w:topLinePunct/>
        <w:adjustRightInd w:val="0"/>
        <w:snapToGrid w:val="0"/>
        <w:spacing w:after="163" w:afterLines="50" w:line="360" w:lineRule="auto"/>
        <w:ind w:left="480"/>
        <w:outlineLvl w:val="3"/>
        <w:rPr>
          <w:rFonts w:ascii="宋体" w:hAnsi="宋体" w:cs="宋体"/>
        </w:rPr>
      </w:pPr>
      <w:bookmarkStart w:id="2502" w:name="_Ref4571361"/>
      <w:bookmarkEnd w:id="2502"/>
      <w:r>
        <w:rPr>
          <w:rFonts w:hint="eastAsia" w:ascii="宋体" w:hAnsi="宋体" w:cs="宋体"/>
          <w:szCs w:val="21"/>
          <w:lang w:bidi="ar"/>
        </w:rPr>
        <w:t>14.5.1竣工结算申请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除专用合同条件另有约定外，竣工结算申请单应包括以下内容：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（1）竣工结算合同价格；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（2）发包人已支付承包人的款项；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（4）发包人应支付承包人的合同价款。</w:t>
      </w:r>
    </w:p>
    <w:p>
      <w:pPr>
        <w:widowControl/>
        <w:wordWrap w:val="0"/>
        <w:topLinePunct/>
        <w:adjustRightInd w:val="0"/>
        <w:snapToGrid w:val="0"/>
        <w:spacing w:after="163" w:afterLines="50" w:line="360" w:lineRule="auto"/>
        <w:ind w:left="480"/>
        <w:outlineLvl w:val="3"/>
        <w:rPr>
          <w:rFonts w:ascii="宋体" w:hAnsi="宋体" w:cs="宋体"/>
        </w:rPr>
      </w:pPr>
      <w:bookmarkStart w:id="2503" w:name="_Ref4571384"/>
      <w:bookmarkEnd w:id="2503"/>
      <w:r>
        <w:rPr>
          <w:rFonts w:hint="eastAsia" w:ascii="宋体" w:hAnsi="宋体" w:cs="宋体"/>
          <w:szCs w:val="21"/>
          <w:lang w:bidi="ar"/>
        </w:rPr>
        <w:t>14.5.2竣工结算审核</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widowControl/>
        <w:adjustRightInd w:val="0"/>
        <w:snapToGrid w:val="0"/>
        <w:spacing w:after="163" w:afterLines="50" w:line="360" w:lineRule="auto"/>
        <w:ind w:firstLine="420" w:firstLineChars="200"/>
        <w:rPr>
          <w:rFonts w:ascii="宋体" w:hAnsi="宋体" w:cs="宋体"/>
          <w:kern w:val="0"/>
        </w:rPr>
      </w:pPr>
      <w:bookmarkStart w:id="2504" w:name="_Ref4618006"/>
      <w:bookmarkEnd w:id="2504"/>
      <w:r>
        <w:rPr>
          <w:rFonts w:hint="eastAsia" w:ascii="宋体" w:hAnsi="宋体" w:cs="宋体"/>
          <w:kern w:val="0"/>
          <w:szCs w:val="21"/>
          <w:lang w:bidi="ar"/>
        </w:rPr>
        <w:t>（2）除专用合同条件另有约定外，发包人应在签发竣工付款证书后的14天内，完成对承包人的竣工付款。发包人逾期支付的，按照贷款市场报价利率（LPR）支付利息；逾期支付超过56天的，按照贷款市场报价利率（LPR）的两倍支付利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pPr>
        <w:widowControl/>
        <w:wordWrap w:val="0"/>
        <w:topLinePunct/>
        <w:adjustRightInd w:val="0"/>
        <w:snapToGrid w:val="0"/>
        <w:spacing w:after="163" w:afterLines="50" w:line="360" w:lineRule="auto"/>
        <w:ind w:left="480"/>
        <w:outlineLvl w:val="3"/>
        <w:rPr>
          <w:rFonts w:ascii="宋体" w:hAnsi="宋体" w:cs="宋体"/>
        </w:rPr>
      </w:pPr>
      <w:bookmarkStart w:id="2505" w:name="_Ref15484305"/>
      <w:bookmarkEnd w:id="2505"/>
      <w:r>
        <w:rPr>
          <w:rFonts w:hint="eastAsia" w:ascii="宋体" w:hAnsi="宋体" w:cs="宋体"/>
          <w:szCs w:val="21"/>
          <w:lang w:bidi="ar"/>
        </w:rPr>
        <w:t>14.5.3扫尾工作清单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经双方协商，部分工作在工程竣工验收后进行的，承包人应当编制扫尾工作清单，扫尾工作清单中应当列明承包人应当完成的扫尾工作的内容及完成时间。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承包人完成扫尾工作清单中的内容应取得的费用包含在第14.5.1项[竣工结算申请]及第14.5.2项[竣工结算审核]中一并结算。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扫尾工作的缺陷责任期按第11条[缺陷责任与保修]处理。承包人未能按照扫尾工作清单约定的完成时间完成扫尾工作的，视为承包人原因导致的工程质量缺陷按照第11.3款[缺陷调查]处理。</w:t>
      </w:r>
    </w:p>
    <w:p>
      <w:pPr>
        <w:widowControl/>
        <w:wordWrap w:val="0"/>
        <w:topLinePunct/>
        <w:adjustRightInd w:val="0"/>
        <w:snapToGrid w:val="0"/>
        <w:spacing w:after="163" w:afterLines="50" w:line="360" w:lineRule="auto"/>
        <w:outlineLvl w:val="2"/>
        <w:rPr>
          <w:rFonts w:ascii="宋体" w:hAnsi="宋体" w:cs="宋体"/>
        </w:rPr>
      </w:pPr>
      <w:bookmarkStart w:id="2506" w:name="_Ref15395020"/>
      <w:bookmarkEnd w:id="2506"/>
      <w:bookmarkStart w:id="2507" w:name="_Toc20171838"/>
      <w:bookmarkEnd w:id="2507"/>
      <w:bookmarkStart w:id="2508" w:name="_Ref4617582"/>
      <w:bookmarkEnd w:id="2508"/>
      <w:bookmarkStart w:id="2509" w:name="_Ref4617592"/>
      <w:bookmarkEnd w:id="2509"/>
      <w:bookmarkStart w:id="2510" w:name="_Hlk15394931"/>
      <w:bookmarkEnd w:id="2510"/>
      <w:bookmarkStart w:id="2511" w:name="_Ref4571100"/>
      <w:bookmarkEnd w:id="2511"/>
      <w:bookmarkStart w:id="2512" w:name="_Ref4582115"/>
      <w:bookmarkEnd w:id="2512"/>
      <w:bookmarkStart w:id="2513" w:name="_Ref4571127"/>
      <w:bookmarkStart w:id="2514" w:name="_Toc84930826"/>
      <w:bookmarkStart w:id="2515" w:name="_Toc51766690"/>
      <w:bookmarkStart w:id="2516" w:name="_Toc28819"/>
      <w:bookmarkStart w:id="2517" w:name="_Toc21233"/>
      <w:bookmarkStart w:id="2518" w:name="_Toc58860277"/>
      <w:bookmarkStart w:id="2519" w:name="_Toc15270"/>
      <w:bookmarkStart w:id="2520" w:name="_Toc27340"/>
      <w:bookmarkStart w:id="2521" w:name="_Toc5798"/>
      <w:bookmarkStart w:id="2522" w:name="_Toc5316"/>
      <w:r>
        <w:rPr>
          <w:rFonts w:hint="eastAsia" w:ascii="宋体" w:hAnsi="宋体" w:cs="宋体"/>
          <w:szCs w:val="21"/>
          <w:lang w:bidi="ar"/>
        </w:rPr>
        <w:t>1</w:t>
      </w:r>
      <w:bookmarkEnd w:id="2513"/>
      <w:r>
        <w:rPr>
          <w:rFonts w:hint="eastAsia" w:ascii="宋体" w:hAnsi="宋体" w:cs="宋体"/>
          <w:szCs w:val="21"/>
          <w:lang w:bidi="ar"/>
        </w:rPr>
        <w:t>4.6  质量保证金</w:t>
      </w:r>
      <w:bookmarkEnd w:id="2514"/>
      <w:bookmarkEnd w:id="2515"/>
      <w:bookmarkEnd w:id="2516"/>
      <w:bookmarkEnd w:id="2517"/>
      <w:bookmarkEnd w:id="2518"/>
      <w:bookmarkEnd w:id="2519"/>
      <w:bookmarkEnd w:id="2520"/>
      <w:bookmarkEnd w:id="2521"/>
      <w:bookmarkEnd w:id="2522"/>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经合同当事人协商一致提供质量保证金的，应在专用合同条件中予以明确。在工程项目竣工前，承包人已经提供履约担保的，发包人不得同时要求承包人提供质量保证金。</w:t>
      </w:r>
    </w:p>
    <w:p>
      <w:pPr>
        <w:widowControl/>
        <w:wordWrap w:val="0"/>
        <w:topLinePunct/>
        <w:adjustRightInd w:val="0"/>
        <w:snapToGrid w:val="0"/>
        <w:spacing w:after="163" w:afterLines="50" w:line="360" w:lineRule="auto"/>
        <w:ind w:left="480"/>
        <w:outlineLvl w:val="3"/>
        <w:rPr>
          <w:rFonts w:ascii="宋体" w:hAnsi="宋体" w:cs="宋体"/>
        </w:rPr>
      </w:pPr>
      <w:bookmarkStart w:id="2523" w:name="_Ref531955069"/>
      <w:bookmarkEnd w:id="2523"/>
      <w:bookmarkStart w:id="2524" w:name="_Ref531957153"/>
      <w:r>
        <w:rPr>
          <w:rFonts w:hint="eastAsia" w:ascii="宋体" w:hAnsi="宋体" w:cs="宋体"/>
          <w:szCs w:val="21"/>
          <w:lang w:bidi="ar"/>
        </w:rPr>
        <w:t>1</w:t>
      </w:r>
      <w:bookmarkEnd w:id="2524"/>
      <w:r>
        <w:rPr>
          <w:rFonts w:hint="eastAsia" w:ascii="宋体" w:hAnsi="宋体" w:cs="宋体"/>
          <w:szCs w:val="21"/>
          <w:lang w:bidi="ar"/>
        </w:rPr>
        <w:t>4.6.1承包人提供质量保证金的方式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承包人提供质量保证金有以下三种方式：</w:t>
      </w:r>
    </w:p>
    <w:p>
      <w:pPr>
        <w:widowControl/>
        <w:adjustRightInd w:val="0"/>
        <w:snapToGrid w:val="0"/>
        <w:spacing w:after="163" w:afterLines="50" w:line="360" w:lineRule="auto"/>
        <w:ind w:firstLine="420" w:firstLineChars="200"/>
        <w:rPr>
          <w:rFonts w:ascii="宋体" w:hAnsi="宋体" w:cs="宋体"/>
          <w:kern w:val="0"/>
        </w:rPr>
      </w:pPr>
      <w:bookmarkStart w:id="2525" w:name="_Ref531955096"/>
      <w:bookmarkEnd w:id="2525"/>
      <w:r>
        <w:rPr>
          <w:rFonts w:hint="eastAsia" w:ascii="宋体" w:hAnsi="宋体" w:cs="宋体"/>
          <w:kern w:val="0"/>
          <w:szCs w:val="21"/>
          <w:lang w:bidi="ar"/>
        </w:rPr>
        <w:t>（1）提交工程质量保证担保；</w:t>
      </w:r>
    </w:p>
    <w:p>
      <w:pPr>
        <w:widowControl/>
        <w:adjustRightInd w:val="0"/>
        <w:snapToGrid w:val="0"/>
        <w:spacing w:after="163" w:afterLines="50" w:line="360" w:lineRule="auto"/>
        <w:ind w:firstLine="420" w:firstLineChars="200"/>
        <w:rPr>
          <w:rFonts w:ascii="宋体" w:hAnsi="宋体" w:cs="宋体"/>
          <w:kern w:val="0"/>
        </w:rPr>
      </w:pPr>
      <w:bookmarkStart w:id="2526" w:name="_Ref531955107"/>
      <w:bookmarkEnd w:id="2526"/>
      <w:r>
        <w:rPr>
          <w:rFonts w:hint="eastAsia" w:ascii="宋体" w:hAnsi="宋体" w:cs="宋体"/>
          <w:kern w:val="0"/>
          <w:szCs w:val="21"/>
          <w:lang w:bidi="ar"/>
        </w:rPr>
        <w:t>（2）预留相应比例的工程款；</w:t>
      </w:r>
    </w:p>
    <w:p>
      <w:pPr>
        <w:widowControl/>
        <w:adjustRightInd w:val="0"/>
        <w:snapToGrid w:val="0"/>
        <w:spacing w:after="163" w:afterLines="50" w:line="360" w:lineRule="auto"/>
        <w:ind w:firstLine="420" w:firstLineChars="200"/>
        <w:rPr>
          <w:rFonts w:ascii="宋体" w:hAnsi="宋体" w:cs="宋体"/>
          <w:kern w:val="0"/>
        </w:rPr>
      </w:pPr>
      <w:bookmarkStart w:id="2527" w:name="_Ref531955117"/>
      <w:bookmarkEnd w:id="2527"/>
      <w:r>
        <w:rPr>
          <w:rFonts w:hint="eastAsia" w:ascii="宋体" w:hAnsi="宋体" w:cs="宋体"/>
          <w:kern w:val="0"/>
          <w:szCs w:val="21"/>
          <w:lang w:bidi="ar"/>
        </w:rPr>
        <w:t>（3）双方约定的其他方式。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pPr>
        <w:widowControl/>
        <w:wordWrap w:val="0"/>
        <w:topLinePunct/>
        <w:adjustRightInd w:val="0"/>
        <w:snapToGrid w:val="0"/>
        <w:spacing w:after="163" w:afterLines="50" w:line="360" w:lineRule="auto"/>
        <w:ind w:left="480"/>
        <w:outlineLvl w:val="3"/>
        <w:rPr>
          <w:rFonts w:ascii="宋体" w:hAnsi="宋体" w:cs="宋体"/>
        </w:rPr>
      </w:pPr>
      <w:bookmarkStart w:id="2528" w:name="_Ref15419738"/>
      <w:bookmarkEnd w:id="2528"/>
      <w:bookmarkStart w:id="2529" w:name="_Ref18931667"/>
      <w:r>
        <w:rPr>
          <w:rFonts w:hint="eastAsia" w:ascii="宋体" w:hAnsi="宋体" w:cs="宋体"/>
          <w:szCs w:val="21"/>
          <w:lang w:bidi="ar"/>
        </w:rPr>
        <w:t>1</w:t>
      </w:r>
      <w:bookmarkEnd w:id="2529"/>
      <w:r>
        <w:rPr>
          <w:rFonts w:hint="eastAsia" w:ascii="宋体" w:hAnsi="宋体" w:cs="宋体"/>
          <w:szCs w:val="21"/>
          <w:lang w:bidi="ar"/>
        </w:rPr>
        <w:t>4.6.2质量保证金的预留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双方约定采用预留相应比例的工程款方式提供质量保证金的，质量保证金的预留有以下三种方式：</w:t>
      </w:r>
    </w:p>
    <w:p>
      <w:pPr>
        <w:widowControl/>
        <w:adjustRightInd w:val="0"/>
        <w:snapToGrid w:val="0"/>
        <w:spacing w:after="163" w:afterLines="50" w:line="360" w:lineRule="auto"/>
        <w:ind w:firstLine="420" w:firstLineChars="200"/>
        <w:rPr>
          <w:rFonts w:ascii="宋体" w:hAnsi="宋体" w:cs="宋体"/>
          <w:kern w:val="0"/>
        </w:rPr>
      </w:pPr>
      <w:bookmarkStart w:id="2530" w:name="_Hlk18840714"/>
      <w:bookmarkEnd w:id="2530"/>
      <w:bookmarkStart w:id="2531" w:name="_Ref531955143"/>
      <w:r>
        <w:rPr>
          <w:rFonts w:hint="eastAsia" w:ascii="宋体" w:hAnsi="宋体" w:cs="宋体"/>
          <w:kern w:val="0"/>
          <w:szCs w:val="21"/>
          <w:lang w:bidi="ar"/>
        </w:rPr>
        <w:t>（1）按专用合同条件的约定在支付工程进度款时逐次预留，直至预留的质量保证金总额达到专用合同条件约定的金额或比例为止</w:t>
      </w:r>
      <w:bookmarkEnd w:id="2531"/>
      <w:r>
        <w:rPr>
          <w:rFonts w:hint="eastAsia" w:ascii="宋体" w:hAnsi="宋体" w:cs="宋体"/>
          <w:kern w:val="0"/>
          <w:szCs w:val="21"/>
          <w:lang w:bidi="ar"/>
        </w:rPr>
        <w:t>。在此情形下，质量保证金的计算基数不包括预付款的支付、扣回以及价格调整的金额；</w:t>
      </w:r>
    </w:p>
    <w:p>
      <w:pPr>
        <w:widowControl/>
        <w:adjustRightInd w:val="0"/>
        <w:snapToGrid w:val="0"/>
        <w:spacing w:after="163" w:afterLines="50" w:line="360" w:lineRule="auto"/>
        <w:ind w:firstLine="420" w:firstLineChars="200"/>
        <w:rPr>
          <w:rFonts w:ascii="宋体" w:hAnsi="宋体" w:cs="宋体"/>
          <w:kern w:val="0"/>
        </w:rPr>
      </w:pPr>
      <w:bookmarkStart w:id="2532" w:name="_Ref531955151"/>
      <w:bookmarkEnd w:id="2532"/>
      <w:r>
        <w:rPr>
          <w:rFonts w:hint="eastAsia" w:ascii="宋体" w:hAnsi="宋体" w:cs="宋体"/>
          <w:kern w:val="0"/>
          <w:szCs w:val="21"/>
          <w:lang w:bidi="ar"/>
        </w:rPr>
        <w:t>（2）工程竣工结算时一次性预留质量保证金；</w:t>
      </w:r>
    </w:p>
    <w:p>
      <w:pPr>
        <w:widowControl/>
        <w:adjustRightInd w:val="0"/>
        <w:snapToGrid w:val="0"/>
        <w:spacing w:after="163" w:afterLines="50" w:line="360" w:lineRule="auto"/>
        <w:ind w:firstLine="420" w:firstLineChars="200"/>
        <w:rPr>
          <w:rFonts w:ascii="宋体" w:hAnsi="宋体" w:cs="宋体"/>
          <w:kern w:val="0"/>
        </w:rPr>
      </w:pPr>
      <w:bookmarkStart w:id="2533" w:name="_Ref531955161"/>
      <w:bookmarkEnd w:id="2533"/>
      <w:r>
        <w:rPr>
          <w:rFonts w:hint="eastAsia" w:ascii="宋体" w:hAnsi="宋体" w:cs="宋体"/>
          <w:kern w:val="0"/>
          <w:szCs w:val="21"/>
          <w:lang w:bidi="ar"/>
        </w:rPr>
        <w:t>（3）双方约定的其他预留方式。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pPr>
        <w:widowControl/>
        <w:wordWrap w:val="0"/>
        <w:topLinePunct/>
        <w:adjustRightInd w:val="0"/>
        <w:snapToGrid w:val="0"/>
        <w:spacing w:after="163" w:afterLines="50" w:line="360" w:lineRule="auto"/>
        <w:ind w:left="480"/>
        <w:outlineLvl w:val="3"/>
        <w:rPr>
          <w:rFonts w:ascii="宋体" w:hAnsi="宋体" w:cs="宋体"/>
        </w:rPr>
      </w:pPr>
      <w:bookmarkStart w:id="2534" w:name="_Ref532690096"/>
      <w:bookmarkEnd w:id="2534"/>
      <w:bookmarkStart w:id="2535" w:name="_Ref4571243"/>
      <w:r>
        <w:rPr>
          <w:rFonts w:hint="eastAsia" w:ascii="宋体" w:hAnsi="宋体" w:cs="宋体"/>
          <w:szCs w:val="21"/>
          <w:lang w:bidi="ar"/>
        </w:rPr>
        <w:t>1</w:t>
      </w:r>
      <w:bookmarkEnd w:id="2535"/>
      <w:r>
        <w:rPr>
          <w:rFonts w:hint="eastAsia" w:ascii="宋体" w:hAnsi="宋体" w:cs="宋体"/>
          <w:szCs w:val="21"/>
          <w:lang w:bidi="ar"/>
        </w:rPr>
        <w:t>4.6.3质量保证金的返还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缺陷责任期内，承包人认真履行合同约定的责任，缺陷责任期满，发包人根据第11.</w:t>
      </w:r>
      <w:r>
        <w:rPr>
          <w:rFonts w:ascii="宋体" w:hAnsi="宋体" w:cs="宋体"/>
          <w:kern w:val="0"/>
          <w:szCs w:val="21"/>
          <w:lang w:bidi="ar"/>
        </w:rPr>
        <w:t>6</w:t>
      </w:r>
      <w:r>
        <w:rPr>
          <w:rFonts w:hint="eastAsia" w:ascii="宋体" w:hAnsi="宋体" w:cs="宋体"/>
          <w:kern w:val="0"/>
          <w:szCs w:val="21"/>
          <w:lang w:bidi="ar"/>
        </w:rPr>
        <w:t>款[缺陷责任期终止证书]向承包人颁发缺陷责任期终止证书后，承包人可向发包人申请返还质量保证金。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发包人和承包人对质量保证金预留、返还以及工程维修质量、费用有争议的，按本合同第20条[争议解决]约定的争议和纠纷解决程序处理。</w:t>
      </w:r>
    </w:p>
    <w:p>
      <w:pPr>
        <w:widowControl/>
        <w:wordWrap w:val="0"/>
        <w:topLinePunct/>
        <w:adjustRightInd w:val="0"/>
        <w:snapToGrid w:val="0"/>
        <w:spacing w:after="163" w:afterLines="50" w:line="360" w:lineRule="auto"/>
        <w:outlineLvl w:val="2"/>
        <w:rPr>
          <w:rFonts w:ascii="宋体" w:hAnsi="宋体" w:cs="宋体"/>
        </w:rPr>
      </w:pPr>
      <w:bookmarkStart w:id="2536" w:name="_Ref531957339"/>
      <w:bookmarkEnd w:id="2536"/>
      <w:bookmarkStart w:id="2537" w:name="_Ref531957341"/>
      <w:bookmarkEnd w:id="2537"/>
      <w:bookmarkStart w:id="2538" w:name="_Toc20171839"/>
      <w:bookmarkStart w:id="2539" w:name="_Toc51766691"/>
      <w:bookmarkStart w:id="2540" w:name="_Toc15226"/>
      <w:bookmarkStart w:id="2541" w:name="_Toc19556"/>
      <w:bookmarkStart w:id="2542" w:name="_Toc25155"/>
      <w:bookmarkStart w:id="2543" w:name="_Toc1834"/>
      <w:bookmarkStart w:id="2544" w:name="_Toc18177"/>
      <w:bookmarkStart w:id="2545" w:name="_Toc58860278"/>
      <w:bookmarkStart w:id="2546" w:name="_Toc84930827"/>
      <w:bookmarkStart w:id="2547" w:name="_Toc13029"/>
      <w:r>
        <w:rPr>
          <w:rFonts w:hint="eastAsia" w:ascii="宋体" w:hAnsi="宋体" w:cs="宋体"/>
          <w:szCs w:val="21"/>
          <w:lang w:bidi="ar"/>
        </w:rPr>
        <w:t>1</w:t>
      </w:r>
      <w:bookmarkEnd w:id="2538"/>
      <w:r>
        <w:rPr>
          <w:rFonts w:hint="eastAsia" w:ascii="宋体" w:hAnsi="宋体" w:cs="宋体"/>
          <w:szCs w:val="21"/>
          <w:lang w:bidi="ar"/>
        </w:rPr>
        <w:t>4.7  最终结清</w:t>
      </w:r>
      <w:bookmarkEnd w:id="2539"/>
      <w:bookmarkEnd w:id="2540"/>
      <w:bookmarkEnd w:id="2541"/>
      <w:bookmarkEnd w:id="2542"/>
      <w:bookmarkEnd w:id="2543"/>
      <w:bookmarkEnd w:id="2544"/>
      <w:bookmarkEnd w:id="2545"/>
      <w:bookmarkEnd w:id="2546"/>
      <w:bookmarkEnd w:id="2547"/>
      <w:r>
        <w:rPr>
          <w:rFonts w:hint="eastAsia" w:ascii="宋体" w:hAnsi="宋体" w:cs="宋体"/>
          <w:szCs w:val="21"/>
          <w:lang w:bidi="ar"/>
        </w:rPr>
        <w:t xml:space="preserve"> </w:t>
      </w:r>
    </w:p>
    <w:p>
      <w:pPr>
        <w:widowControl/>
        <w:wordWrap w:val="0"/>
        <w:topLinePunct/>
        <w:adjustRightInd w:val="0"/>
        <w:snapToGrid w:val="0"/>
        <w:spacing w:after="163" w:afterLines="50" w:line="360" w:lineRule="auto"/>
        <w:ind w:left="480"/>
        <w:outlineLvl w:val="3"/>
        <w:rPr>
          <w:rFonts w:ascii="宋体" w:hAnsi="宋体" w:cs="宋体"/>
        </w:rPr>
      </w:pPr>
      <w:bookmarkStart w:id="2548" w:name="_Ref531957350"/>
      <w:bookmarkEnd w:id="2548"/>
      <w:r>
        <w:rPr>
          <w:rFonts w:hint="eastAsia" w:ascii="宋体" w:hAnsi="宋体" w:cs="宋体"/>
          <w:szCs w:val="21"/>
          <w:lang w:bidi="ar"/>
        </w:rPr>
        <w:t>14.7.1最终结清申请单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（1）除专用合同条件另有约定外，承包人应在缺陷责任期终止证书颁发后7天内，按专用合同条件约定的份数向发包人提交最终结清申请单，并提供相关证明材料。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除专用合同条件另有约定外，最终结清申请单应列明质量保证金、应扣除的质量保证金、缺陷责任期内发生的增减费用。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（2）发包人对最终结清申请单内容有异议的，有权要求承包人进行修正和提供补充资料，承包人应向发包人提交修正后的最终结清申请单。</w:t>
      </w:r>
    </w:p>
    <w:p>
      <w:pPr>
        <w:widowControl/>
        <w:wordWrap w:val="0"/>
        <w:topLinePunct/>
        <w:adjustRightInd w:val="0"/>
        <w:snapToGrid w:val="0"/>
        <w:spacing w:after="163" w:afterLines="50" w:line="360" w:lineRule="auto"/>
        <w:ind w:left="480"/>
        <w:outlineLvl w:val="3"/>
        <w:rPr>
          <w:rFonts w:ascii="宋体" w:hAnsi="宋体" w:cs="宋体"/>
        </w:rPr>
      </w:pPr>
      <w:bookmarkStart w:id="2549" w:name="_Ref531957369"/>
      <w:bookmarkEnd w:id="2549"/>
      <w:bookmarkStart w:id="2550" w:name="_Ref4624099"/>
      <w:r>
        <w:rPr>
          <w:rFonts w:hint="eastAsia" w:ascii="宋体" w:hAnsi="宋体" w:cs="宋体"/>
          <w:szCs w:val="21"/>
          <w:lang w:bidi="ar"/>
        </w:rPr>
        <w:t>14.7.2</w:t>
      </w:r>
      <w:bookmarkEnd w:id="2550"/>
      <w:r>
        <w:rPr>
          <w:rFonts w:hint="eastAsia" w:ascii="宋体" w:hAnsi="宋体" w:cs="宋体"/>
          <w:szCs w:val="21"/>
          <w:lang w:bidi="ar"/>
        </w:rPr>
        <w:t>最终结清证书和支付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除专用合同条件另有约定外，发包人应在颁发最终结清证书后7天内完成支付。发包人逾期支付的，按照贷款市场报价利率（LPR）支付利息；逾期支付超过56天的，按照贷款市场报价利率（LPR）的两倍支付利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（3）承包人对发包人颁发的最终结清证书有异议的，按第20条[争议解决]的约定办理。</w:t>
      </w:r>
    </w:p>
    <w:p>
      <w:pPr>
        <w:widowControl/>
        <w:wordWrap w:val="0"/>
        <w:topLinePunct/>
        <w:adjustRightInd w:val="0"/>
        <w:snapToGrid w:val="0"/>
        <w:spacing w:after="163" w:afterLines="50" w:line="360" w:lineRule="auto"/>
        <w:outlineLvl w:val="1"/>
        <w:rPr>
          <w:rFonts w:ascii="宋体" w:hAnsi="宋体" w:cs="宋体"/>
          <w:kern w:val="0"/>
        </w:rPr>
      </w:pPr>
      <w:bookmarkStart w:id="2551" w:name="_Ref11874957"/>
      <w:bookmarkEnd w:id="2551"/>
      <w:bookmarkStart w:id="2552" w:name="_Ref11920396"/>
      <w:bookmarkEnd w:id="2552"/>
      <w:bookmarkStart w:id="2553" w:name="_Toc20171840"/>
      <w:bookmarkEnd w:id="2553"/>
      <w:bookmarkStart w:id="2554" w:name="_Ref11920407"/>
      <w:bookmarkStart w:id="2555" w:name="_Toc21246"/>
      <w:bookmarkStart w:id="2556" w:name="_Toc10327"/>
      <w:bookmarkStart w:id="2557" w:name="_Toc16043"/>
      <w:bookmarkStart w:id="2558" w:name="_Toc1234"/>
      <w:r>
        <w:rPr>
          <w:rFonts w:hint="eastAsia" w:ascii="宋体" w:hAnsi="宋体" w:cs="宋体"/>
          <w:kern w:val="0"/>
          <w:szCs w:val="21"/>
          <w:lang w:bidi="ar"/>
        </w:rPr>
        <w:t>第1</w:t>
      </w:r>
      <w:bookmarkEnd w:id="2554"/>
      <w:r>
        <w:rPr>
          <w:rFonts w:hint="eastAsia" w:ascii="宋体" w:hAnsi="宋体" w:cs="宋体"/>
          <w:kern w:val="0"/>
          <w:szCs w:val="21"/>
          <w:lang w:bidi="ar"/>
        </w:rPr>
        <w:t>5条  违约</w:t>
      </w:r>
      <w:bookmarkEnd w:id="2555"/>
      <w:bookmarkEnd w:id="2556"/>
      <w:bookmarkEnd w:id="2557"/>
      <w:bookmarkEnd w:id="2558"/>
    </w:p>
    <w:p>
      <w:pPr>
        <w:widowControl/>
        <w:wordWrap w:val="0"/>
        <w:topLinePunct/>
        <w:adjustRightInd w:val="0"/>
        <w:snapToGrid w:val="0"/>
        <w:spacing w:after="163" w:afterLines="50" w:line="360" w:lineRule="auto"/>
        <w:outlineLvl w:val="2"/>
        <w:rPr>
          <w:rFonts w:ascii="宋体" w:hAnsi="宋体" w:cs="宋体"/>
        </w:rPr>
      </w:pPr>
      <w:bookmarkStart w:id="2559" w:name="_Toc20171841"/>
      <w:bookmarkEnd w:id="2559"/>
      <w:bookmarkStart w:id="2560" w:name="_Ref4534411"/>
      <w:bookmarkEnd w:id="2560"/>
      <w:bookmarkStart w:id="2561" w:name="_Ref4534384"/>
      <w:bookmarkEnd w:id="2561"/>
      <w:bookmarkStart w:id="2562" w:name="_Ref4534376"/>
      <w:bookmarkEnd w:id="2562"/>
      <w:bookmarkStart w:id="2563" w:name="_Ref4534399"/>
      <w:bookmarkStart w:id="2564" w:name="_Toc51766693"/>
      <w:bookmarkStart w:id="2565" w:name="_Toc11489"/>
      <w:bookmarkStart w:id="2566" w:name="_Toc30310"/>
      <w:bookmarkStart w:id="2567" w:name="_Toc21966"/>
      <w:bookmarkStart w:id="2568" w:name="_Toc84930829"/>
      <w:bookmarkStart w:id="2569" w:name="_Toc58860280"/>
      <w:bookmarkStart w:id="2570" w:name="_Toc8591"/>
      <w:bookmarkStart w:id="2571" w:name="_Toc20960"/>
      <w:bookmarkStart w:id="2572" w:name="_Toc27660"/>
      <w:r>
        <w:rPr>
          <w:rFonts w:hint="eastAsia" w:ascii="宋体" w:hAnsi="宋体" w:cs="宋体"/>
          <w:szCs w:val="21"/>
          <w:lang w:bidi="ar"/>
        </w:rPr>
        <w:t>1</w:t>
      </w:r>
      <w:bookmarkEnd w:id="2563"/>
      <w:r>
        <w:rPr>
          <w:rFonts w:hint="eastAsia" w:ascii="宋体" w:hAnsi="宋体" w:cs="宋体"/>
          <w:szCs w:val="21"/>
          <w:lang w:bidi="ar"/>
        </w:rPr>
        <w:t>5.1  发包人违约</w:t>
      </w:r>
      <w:bookmarkEnd w:id="2564"/>
      <w:bookmarkEnd w:id="2565"/>
      <w:bookmarkEnd w:id="2566"/>
      <w:bookmarkEnd w:id="2567"/>
      <w:bookmarkEnd w:id="2568"/>
      <w:bookmarkEnd w:id="2569"/>
      <w:bookmarkEnd w:id="2570"/>
      <w:bookmarkEnd w:id="2571"/>
      <w:bookmarkEnd w:id="2572"/>
    </w:p>
    <w:p>
      <w:pPr>
        <w:widowControl/>
        <w:wordWrap w:val="0"/>
        <w:topLinePunct/>
        <w:adjustRightInd w:val="0"/>
        <w:snapToGrid w:val="0"/>
        <w:spacing w:after="163" w:afterLines="50" w:line="360" w:lineRule="auto"/>
        <w:ind w:left="480"/>
        <w:outlineLvl w:val="3"/>
        <w:rPr>
          <w:rFonts w:ascii="宋体" w:hAnsi="宋体" w:cs="宋体"/>
        </w:rPr>
      </w:pPr>
      <w:bookmarkStart w:id="2573" w:name="_Ref3841087"/>
      <w:bookmarkEnd w:id="2573"/>
      <w:r>
        <w:rPr>
          <w:rFonts w:hint="eastAsia" w:ascii="宋体" w:hAnsi="宋体" w:cs="宋体"/>
          <w:szCs w:val="21"/>
          <w:lang w:bidi="ar"/>
        </w:rPr>
        <w:t>15.1.1发包人违约的情形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除专用合同条件另有约定外，在合同履行过程中发生的下列情形，属于发包人违约：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（1）因发包人原因导致开始工作日期延误的；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（2）因发包人原因未能按合同约定支付合同价款的；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（3）发包人违反第13.1.1项约定，自行实施被取消的工作或转由他人实施的；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（4）因发包人违反合同约定造成工程暂停施工的；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（5）工程师无正当理由没有在约定期限内发出复工指示，导致承包人无法复工的；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（6）发包人明确表示或者以其行为表明不履行合同主要义务的；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（7）发包人未能按照合同约定履行其他义务的。</w:t>
      </w:r>
    </w:p>
    <w:p>
      <w:pPr>
        <w:widowControl/>
        <w:wordWrap w:val="0"/>
        <w:topLinePunct/>
        <w:adjustRightInd w:val="0"/>
        <w:snapToGrid w:val="0"/>
        <w:spacing w:after="163" w:afterLines="50" w:line="360" w:lineRule="auto"/>
        <w:ind w:left="480"/>
        <w:outlineLvl w:val="3"/>
        <w:rPr>
          <w:rFonts w:ascii="宋体" w:hAnsi="宋体" w:cs="宋体"/>
        </w:rPr>
      </w:pPr>
      <w:bookmarkStart w:id="2574" w:name="_Ref4535692"/>
      <w:bookmarkEnd w:id="2574"/>
      <w:r>
        <w:rPr>
          <w:rFonts w:hint="eastAsia" w:ascii="宋体" w:hAnsi="宋体" w:cs="宋体"/>
          <w:szCs w:val="21"/>
          <w:lang w:bidi="ar"/>
        </w:rPr>
        <w:t>15.1.2通知改正</w:t>
      </w:r>
    </w:p>
    <w:p>
      <w:pPr>
        <w:widowControl/>
        <w:adjustRightInd w:val="0"/>
        <w:snapToGrid w:val="0"/>
        <w:spacing w:after="163" w:afterLines="50" w:line="360" w:lineRule="auto"/>
        <w:ind w:firstLine="420" w:firstLineChars="200"/>
        <w:rPr>
          <w:rFonts w:ascii="宋体" w:hAnsi="宋体" w:cs="宋体"/>
          <w:kern w:val="0"/>
        </w:rPr>
      </w:pPr>
      <w:bookmarkStart w:id="2575" w:name="_Hlk16248297"/>
      <w:bookmarkEnd w:id="2575"/>
      <w:r>
        <w:rPr>
          <w:rFonts w:hint="eastAsia" w:ascii="宋体" w:hAnsi="宋体" w:cs="宋体"/>
          <w:kern w:val="0"/>
          <w:szCs w:val="21"/>
          <w:lang w:bidi="ar"/>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p>
    <w:p>
      <w:pPr>
        <w:widowControl/>
        <w:wordWrap w:val="0"/>
        <w:topLinePunct/>
        <w:adjustRightInd w:val="0"/>
        <w:snapToGrid w:val="0"/>
        <w:spacing w:after="163" w:afterLines="50" w:line="360" w:lineRule="auto"/>
        <w:ind w:left="480"/>
        <w:outlineLvl w:val="3"/>
        <w:rPr>
          <w:rFonts w:ascii="宋体" w:hAnsi="宋体" w:cs="宋体"/>
        </w:rPr>
      </w:pPr>
      <w:bookmarkStart w:id="2576" w:name="_Ref3841132"/>
      <w:bookmarkEnd w:id="2576"/>
      <w:r>
        <w:rPr>
          <w:rFonts w:hint="eastAsia" w:ascii="宋体" w:hAnsi="宋体" w:cs="宋体"/>
          <w:szCs w:val="21"/>
          <w:lang w:bidi="ar"/>
        </w:rPr>
        <w:t>15.1.3发包人违约的责任</w:t>
      </w:r>
    </w:p>
    <w:p>
      <w:pPr>
        <w:widowControl/>
        <w:adjustRightInd w:val="0"/>
        <w:snapToGrid w:val="0"/>
        <w:spacing w:after="163" w:afterLines="50" w:line="360" w:lineRule="auto"/>
        <w:ind w:firstLine="420" w:firstLineChars="200"/>
        <w:rPr>
          <w:rFonts w:ascii="宋体" w:hAnsi="宋体" w:cs="宋体"/>
          <w:kern w:val="0"/>
        </w:rPr>
      </w:pPr>
      <w:bookmarkStart w:id="2577" w:name="_Hlk16247984"/>
      <w:bookmarkEnd w:id="2577"/>
      <w:r>
        <w:rPr>
          <w:rFonts w:hint="eastAsia" w:ascii="宋体" w:hAnsi="宋体" w:cs="宋体"/>
          <w:kern w:val="0"/>
          <w:szCs w:val="21"/>
          <w:lang w:bidi="ar"/>
        </w:rPr>
        <w:t>发包人应承担因其违约给承包人增加的费用和（或）延误的工期，并支付承包人合理的利润。此外，合同当事人可在专用合同条件中另行约定发包人违约责任的承担方式和计算方法。</w:t>
      </w:r>
    </w:p>
    <w:p>
      <w:pPr>
        <w:widowControl/>
        <w:wordWrap w:val="0"/>
        <w:topLinePunct/>
        <w:adjustRightInd w:val="0"/>
        <w:snapToGrid w:val="0"/>
        <w:spacing w:after="163" w:afterLines="50" w:line="360" w:lineRule="auto"/>
        <w:outlineLvl w:val="2"/>
        <w:rPr>
          <w:rFonts w:ascii="宋体" w:hAnsi="宋体" w:cs="宋体"/>
        </w:rPr>
      </w:pPr>
      <w:bookmarkStart w:id="2578" w:name="_Ref11958660"/>
      <w:bookmarkEnd w:id="2578"/>
      <w:bookmarkStart w:id="2579" w:name="_Ref11958663"/>
      <w:bookmarkEnd w:id="2579"/>
      <w:bookmarkStart w:id="2580" w:name="_Toc20171842"/>
      <w:bookmarkStart w:id="2581" w:name="_Toc26881"/>
      <w:bookmarkStart w:id="2582" w:name="_Toc25308"/>
      <w:bookmarkStart w:id="2583" w:name="_Toc84930830"/>
      <w:bookmarkStart w:id="2584" w:name="_Toc15959"/>
      <w:bookmarkStart w:id="2585" w:name="_Toc58860281"/>
      <w:bookmarkStart w:id="2586" w:name="_Toc31347"/>
      <w:bookmarkStart w:id="2587" w:name="_Toc51766694"/>
      <w:bookmarkStart w:id="2588" w:name="_Toc17072"/>
      <w:bookmarkStart w:id="2589" w:name="_Toc14731"/>
      <w:r>
        <w:rPr>
          <w:rFonts w:hint="eastAsia" w:ascii="宋体" w:hAnsi="宋体" w:cs="宋体"/>
          <w:szCs w:val="21"/>
          <w:lang w:bidi="ar"/>
        </w:rPr>
        <w:t>1</w:t>
      </w:r>
      <w:bookmarkEnd w:id="2580"/>
      <w:r>
        <w:rPr>
          <w:rFonts w:hint="eastAsia" w:ascii="宋体" w:hAnsi="宋体" w:cs="宋体"/>
          <w:szCs w:val="21"/>
          <w:lang w:bidi="ar"/>
        </w:rPr>
        <w:t>5.2  承包人违约</w:t>
      </w:r>
      <w:bookmarkEnd w:id="2581"/>
      <w:bookmarkEnd w:id="2582"/>
      <w:bookmarkEnd w:id="2583"/>
      <w:bookmarkEnd w:id="2584"/>
      <w:bookmarkEnd w:id="2585"/>
      <w:bookmarkEnd w:id="2586"/>
      <w:bookmarkEnd w:id="2587"/>
      <w:bookmarkEnd w:id="2588"/>
      <w:bookmarkEnd w:id="2589"/>
    </w:p>
    <w:p>
      <w:pPr>
        <w:widowControl/>
        <w:wordWrap w:val="0"/>
        <w:topLinePunct/>
        <w:adjustRightInd w:val="0"/>
        <w:snapToGrid w:val="0"/>
        <w:spacing w:after="163" w:afterLines="50" w:line="360" w:lineRule="auto"/>
        <w:ind w:left="480"/>
        <w:outlineLvl w:val="3"/>
        <w:rPr>
          <w:rFonts w:ascii="宋体" w:hAnsi="宋体" w:cs="宋体"/>
        </w:rPr>
      </w:pPr>
      <w:bookmarkStart w:id="2590" w:name="_Ref3841153"/>
      <w:bookmarkEnd w:id="2590"/>
      <w:r>
        <w:rPr>
          <w:rFonts w:hint="eastAsia" w:ascii="宋体" w:hAnsi="宋体" w:cs="宋体"/>
          <w:szCs w:val="21"/>
          <w:lang w:bidi="ar"/>
        </w:rPr>
        <w:t>15.2.1承包人违约的情形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除专用合同条件另有约定外，在履行合同过程中发生的下列情况之一的，属于承包人违约：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（1）承包人的原因导致的承包人文件、实施和竣工的工程不符合法律法规、工程质量验收标准以及合同约定；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（2）承包人违反合同约定进行转包或违法分包的；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（3）承包人违反约定采购和使用不合格材料或工程设备；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（4）因承包人原因导致工程质量不符合合同要求的；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（5）承包人未经工程师批准，擅自将已按合同约定进入施工现场的施工设备、临时设施或材料撤离施工现场；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（6）承包人未能按项目进度计划及时完成合同约定的工作，造成工期延误；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（7）由于承包人原因未能通过竣工试验或竣工后试验的；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（8）承包人在缺陷责任期及保修期内，未能在合理期限对工程缺陷进行修复，或拒绝按发包人指示进行修复的；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（9）承包人明确表示或者以其行为表明不履行合同主要义务的；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（10）承包人未能按照合同约定履行其他义务的。</w:t>
      </w:r>
    </w:p>
    <w:p>
      <w:pPr>
        <w:widowControl/>
        <w:wordWrap w:val="0"/>
        <w:topLinePunct/>
        <w:adjustRightInd w:val="0"/>
        <w:snapToGrid w:val="0"/>
        <w:spacing w:after="163" w:afterLines="50" w:line="360" w:lineRule="auto"/>
        <w:ind w:left="480"/>
        <w:outlineLvl w:val="3"/>
        <w:rPr>
          <w:rFonts w:ascii="宋体" w:hAnsi="宋体" w:cs="宋体"/>
        </w:rPr>
      </w:pPr>
      <w:bookmarkStart w:id="2591" w:name="_Ref531958512"/>
      <w:bookmarkEnd w:id="2591"/>
      <w:r>
        <w:rPr>
          <w:rFonts w:hint="eastAsia" w:ascii="宋体" w:hAnsi="宋体" w:cs="宋体"/>
          <w:szCs w:val="21"/>
          <w:lang w:bidi="ar"/>
        </w:rPr>
        <w:t>15.2.2通知改正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承包人发生除第15.2.1项第（7）目、第（9）目约定以外的其他违约情况时，工程师可在专用合同条件约定的合理期限内向承包人发出整改通知，要求其在指定的期限内改正。</w:t>
      </w:r>
    </w:p>
    <w:p>
      <w:pPr>
        <w:widowControl/>
        <w:wordWrap w:val="0"/>
        <w:topLinePunct/>
        <w:adjustRightInd w:val="0"/>
        <w:snapToGrid w:val="0"/>
        <w:spacing w:after="163" w:afterLines="50" w:line="360" w:lineRule="auto"/>
        <w:ind w:left="480"/>
        <w:outlineLvl w:val="3"/>
        <w:rPr>
          <w:rFonts w:ascii="宋体" w:hAnsi="宋体" w:cs="宋体"/>
        </w:rPr>
      </w:pPr>
      <w:bookmarkStart w:id="2592" w:name="_Ref3841166"/>
      <w:bookmarkEnd w:id="2592"/>
      <w:r>
        <w:rPr>
          <w:rFonts w:hint="eastAsia" w:ascii="宋体" w:hAnsi="宋体" w:cs="宋体"/>
          <w:szCs w:val="21"/>
          <w:lang w:bidi="ar"/>
        </w:rPr>
        <w:t>15.2.3承包人违约的责任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承包人应承担因其违约行为而增加的费用和（或）延误的工期。此外，合同当事人可在专用合同条件中另行约定承包人违约责任的承担方式和计算方法。</w:t>
      </w:r>
    </w:p>
    <w:p>
      <w:pPr>
        <w:widowControl/>
        <w:wordWrap w:val="0"/>
        <w:topLinePunct/>
        <w:adjustRightInd w:val="0"/>
        <w:snapToGrid w:val="0"/>
        <w:spacing w:after="163" w:afterLines="50" w:line="360" w:lineRule="auto"/>
        <w:outlineLvl w:val="2"/>
        <w:rPr>
          <w:rFonts w:ascii="宋体" w:hAnsi="宋体" w:cs="宋体"/>
        </w:rPr>
      </w:pPr>
      <w:bookmarkStart w:id="2593" w:name="_Toc20171843"/>
      <w:bookmarkEnd w:id="2593"/>
      <w:bookmarkStart w:id="2594" w:name="_Toc19322"/>
      <w:bookmarkStart w:id="2595" w:name="_Toc23217"/>
      <w:bookmarkStart w:id="2596" w:name="_Toc51766695"/>
      <w:bookmarkStart w:id="2597" w:name="_Toc4049"/>
      <w:bookmarkStart w:id="2598" w:name="_Toc19584"/>
      <w:bookmarkStart w:id="2599" w:name="_Toc58860282"/>
      <w:bookmarkStart w:id="2600" w:name="_Toc20847"/>
      <w:bookmarkStart w:id="2601" w:name="_Toc84930831"/>
      <w:bookmarkStart w:id="2602" w:name="_Toc14582"/>
      <w:r>
        <w:rPr>
          <w:rFonts w:hint="eastAsia" w:ascii="宋体" w:hAnsi="宋体" w:cs="宋体"/>
          <w:szCs w:val="21"/>
          <w:lang w:bidi="ar"/>
        </w:rPr>
        <w:t>15.3  第三人造成的违约</w:t>
      </w:r>
      <w:bookmarkEnd w:id="2594"/>
      <w:bookmarkEnd w:id="2595"/>
      <w:bookmarkEnd w:id="2596"/>
      <w:bookmarkEnd w:id="2597"/>
      <w:bookmarkEnd w:id="2598"/>
      <w:bookmarkEnd w:id="2599"/>
      <w:bookmarkEnd w:id="2600"/>
      <w:bookmarkEnd w:id="2601"/>
      <w:bookmarkEnd w:id="2602"/>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在履行合同过程中，一方当事人因第三人的原因造成违约的，应当向对方当事人承担违约责任。一方当事人和第三人之间的纠纷，依照法律规定或者按照约定解决。</w:t>
      </w:r>
    </w:p>
    <w:p>
      <w:pPr>
        <w:widowControl/>
        <w:wordWrap w:val="0"/>
        <w:topLinePunct/>
        <w:adjustRightInd w:val="0"/>
        <w:snapToGrid w:val="0"/>
        <w:spacing w:after="163" w:afterLines="50" w:line="360" w:lineRule="auto"/>
        <w:outlineLvl w:val="1"/>
        <w:rPr>
          <w:rFonts w:ascii="宋体" w:hAnsi="宋体" w:cs="宋体"/>
          <w:kern w:val="0"/>
        </w:rPr>
      </w:pPr>
      <w:bookmarkStart w:id="2603" w:name="_Ref532142069"/>
      <w:bookmarkEnd w:id="2603"/>
      <w:bookmarkStart w:id="2604" w:name="_Ref4510572"/>
      <w:bookmarkEnd w:id="2604"/>
      <w:bookmarkStart w:id="2605" w:name="_Ref3840457"/>
      <w:bookmarkEnd w:id="2605"/>
      <w:bookmarkStart w:id="2606" w:name="_Toc20171844"/>
      <w:bookmarkEnd w:id="2606"/>
      <w:bookmarkStart w:id="2607" w:name="_Ref3826629"/>
      <w:bookmarkEnd w:id="2607"/>
      <w:bookmarkStart w:id="2608" w:name="_Ref3826634"/>
      <w:bookmarkStart w:id="2609" w:name="_Toc5609"/>
      <w:bookmarkStart w:id="2610" w:name="_Toc5024"/>
      <w:bookmarkStart w:id="2611" w:name="_Toc3900"/>
      <w:bookmarkStart w:id="2612" w:name="_Toc28335"/>
      <w:r>
        <w:rPr>
          <w:rFonts w:hint="eastAsia" w:ascii="宋体" w:hAnsi="宋体" w:cs="宋体"/>
          <w:kern w:val="0"/>
          <w:szCs w:val="21"/>
          <w:lang w:bidi="ar"/>
        </w:rPr>
        <w:t>第1</w:t>
      </w:r>
      <w:bookmarkEnd w:id="2608"/>
      <w:r>
        <w:rPr>
          <w:rFonts w:hint="eastAsia" w:ascii="宋体" w:hAnsi="宋体" w:cs="宋体"/>
          <w:kern w:val="0"/>
          <w:szCs w:val="21"/>
          <w:lang w:bidi="ar"/>
        </w:rPr>
        <w:t>6条  合同解除</w:t>
      </w:r>
      <w:bookmarkEnd w:id="2609"/>
      <w:bookmarkEnd w:id="2610"/>
      <w:bookmarkEnd w:id="2611"/>
      <w:bookmarkEnd w:id="2612"/>
    </w:p>
    <w:p>
      <w:pPr>
        <w:widowControl/>
        <w:wordWrap w:val="0"/>
        <w:topLinePunct/>
        <w:adjustRightInd w:val="0"/>
        <w:snapToGrid w:val="0"/>
        <w:spacing w:after="163" w:afterLines="50" w:line="360" w:lineRule="auto"/>
        <w:outlineLvl w:val="2"/>
        <w:rPr>
          <w:rFonts w:ascii="宋体" w:hAnsi="宋体" w:cs="宋体"/>
        </w:rPr>
      </w:pPr>
      <w:bookmarkStart w:id="2613" w:name="_Ref531958499"/>
      <w:bookmarkEnd w:id="2613"/>
      <w:bookmarkStart w:id="2614" w:name="_Ref531958502"/>
      <w:bookmarkEnd w:id="2614"/>
      <w:bookmarkStart w:id="2615" w:name="_Toc20171845"/>
      <w:bookmarkStart w:id="2616" w:name="_Toc58860284"/>
      <w:bookmarkStart w:id="2617" w:name="_Toc3022"/>
      <w:bookmarkStart w:id="2618" w:name="_Toc84930833"/>
      <w:bookmarkStart w:id="2619" w:name="_Toc25213"/>
      <w:bookmarkStart w:id="2620" w:name="_Toc26487"/>
      <w:bookmarkStart w:id="2621" w:name="_Toc6473"/>
      <w:bookmarkStart w:id="2622" w:name="_Toc51766697"/>
      <w:bookmarkStart w:id="2623" w:name="_Toc15471"/>
      <w:bookmarkStart w:id="2624" w:name="_Toc11910"/>
      <w:r>
        <w:rPr>
          <w:rFonts w:hint="eastAsia" w:ascii="宋体" w:hAnsi="宋体" w:cs="宋体"/>
          <w:szCs w:val="21"/>
          <w:lang w:bidi="ar"/>
        </w:rPr>
        <w:t>1</w:t>
      </w:r>
      <w:bookmarkEnd w:id="2615"/>
      <w:r>
        <w:rPr>
          <w:rFonts w:hint="eastAsia" w:ascii="宋体" w:hAnsi="宋体" w:cs="宋体"/>
          <w:szCs w:val="21"/>
          <w:lang w:bidi="ar"/>
        </w:rPr>
        <w:t>6.1  由发包人解除合同</w:t>
      </w:r>
      <w:bookmarkEnd w:id="2616"/>
      <w:bookmarkEnd w:id="2617"/>
      <w:bookmarkEnd w:id="2618"/>
      <w:bookmarkEnd w:id="2619"/>
      <w:bookmarkEnd w:id="2620"/>
      <w:bookmarkEnd w:id="2621"/>
      <w:bookmarkEnd w:id="2622"/>
      <w:bookmarkEnd w:id="2623"/>
      <w:bookmarkEnd w:id="2624"/>
    </w:p>
    <w:p>
      <w:pPr>
        <w:widowControl/>
        <w:wordWrap w:val="0"/>
        <w:topLinePunct/>
        <w:adjustRightInd w:val="0"/>
        <w:snapToGrid w:val="0"/>
        <w:spacing w:after="163" w:afterLines="50" w:line="360" w:lineRule="auto"/>
        <w:ind w:left="480"/>
        <w:outlineLvl w:val="3"/>
        <w:rPr>
          <w:rFonts w:ascii="宋体" w:hAnsi="宋体" w:cs="宋体"/>
        </w:rPr>
      </w:pPr>
      <w:bookmarkStart w:id="2625" w:name="_Ref4535422"/>
      <w:bookmarkEnd w:id="2625"/>
      <w:r>
        <w:rPr>
          <w:rFonts w:hint="eastAsia" w:ascii="宋体" w:hAnsi="宋体" w:cs="宋体"/>
          <w:szCs w:val="21"/>
          <w:lang w:bidi="ar"/>
        </w:rPr>
        <w:t>16.1.1因承包人违约解除合同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pPr>
        <w:widowControl/>
        <w:adjustRightInd w:val="0"/>
        <w:snapToGrid w:val="0"/>
        <w:spacing w:after="163" w:afterLines="50" w:line="360" w:lineRule="auto"/>
        <w:ind w:firstLine="420" w:firstLineChars="200"/>
        <w:rPr>
          <w:rFonts w:ascii="宋体" w:hAnsi="宋体" w:cs="宋体"/>
          <w:kern w:val="0"/>
        </w:rPr>
      </w:pPr>
      <w:bookmarkStart w:id="2626" w:name="_Ref531958536"/>
      <w:bookmarkEnd w:id="2626"/>
      <w:r>
        <w:rPr>
          <w:rFonts w:hint="eastAsia" w:ascii="宋体" w:hAnsi="宋体" w:cs="宋体"/>
          <w:kern w:val="0"/>
          <w:szCs w:val="21"/>
          <w:lang w:bidi="ar"/>
        </w:rPr>
        <w:t>（1）承包人未能遵守第4.2款[履约担保]的约定；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（2）承包人未能遵守第4.5款[分包]有关分包和转包的约定；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（3）承包人实际进度明显落后于进度计划，并且未按发包人的指令采取措施并修正进度计划；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（4）工程质量有严重缺陷，承包人无正当理由使修复开始日期拖延达28天以上；</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（6）承包人明确表示或以自己的行为表明不履行合同、或经发包人以书面形式通知其履约后仍未能依约履行合同、或以不适当的方式履行合同；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（7）未能通过的竣工试验、未能通过的竣工后试验，使工程的任何部分和（或）整个工程丧失了主要使用功能、生产功能；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（8）因承包人的原因暂停工作超过56天且暂停影响到整个工程，或因承包人的原因暂停工作超过182天；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（9）承包人未能遵守第8.2款[竣工日期]规定，延误超过182天；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（10）工程师根据第15.2.2项[通知改正]发出整改通知后，承包人在指定的合理期限内仍不纠正违约行为并致使合同目的不能实现的。</w:t>
      </w:r>
    </w:p>
    <w:p>
      <w:pPr>
        <w:widowControl/>
        <w:wordWrap w:val="0"/>
        <w:topLinePunct/>
        <w:adjustRightInd w:val="0"/>
        <w:snapToGrid w:val="0"/>
        <w:spacing w:after="163" w:afterLines="50" w:line="360" w:lineRule="auto"/>
        <w:ind w:left="480"/>
        <w:outlineLvl w:val="3"/>
        <w:rPr>
          <w:rFonts w:ascii="宋体" w:hAnsi="宋体" w:cs="宋体"/>
        </w:rPr>
      </w:pPr>
      <w:bookmarkStart w:id="2627" w:name="_Ref3841839"/>
      <w:bookmarkEnd w:id="2627"/>
      <w:bookmarkStart w:id="2628" w:name="_Ref4624315"/>
      <w:r>
        <w:rPr>
          <w:rFonts w:hint="eastAsia" w:ascii="宋体" w:hAnsi="宋体" w:cs="宋体"/>
          <w:szCs w:val="21"/>
          <w:lang w:bidi="ar"/>
        </w:rPr>
        <w:t>1</w:t>
      </w:r>
      <w:bookmarkEnd w:id="2628"/>
      <w:r>
        <w:rPr>
          <w:rFonts w:hint="eastAsia" w:ascii="宋体" w:hAnsi="宋体" w:cs="宋体"/>
          <w:szCs w:val="21"/>
          <w:lang w:bidi="ar"/>
        </w:rPr>
        <w:t>6.1.2因承包人违约解除合同后承包人的义务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合同解除后，承包人应按以下约定执行：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（1）除了为保护生命、财产或工程安全、清理和必须执行的工作外，停止执行所有被通知解除的工作，并将相关人员撤离现场；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（2）经发包人批准，承包人应将与被解除合同相关的和正在执行的分包合同及相关的责任和义务转让至发包人和（或）发包人指定方的名下，包括永久性工程及工程物资，以及相关工作；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（3）移交已完成的永久性工程及负责已运抵现场的工程物资。在移交前，妥善做好己完工程和已运抵现场的工程物资的保管、维护和保养；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（4）将发包人提供的所有信息及承包人为本工程编制的设计文件、技术资料及其它文件移交给发包人。在承包人留有的资料文件中，销毁与发包人提供的所有信息相关的数据及资料的备份；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（5）移交相应实施阶段已经付款的并已完成的和尚待完成的设计文件、图纸、资料、操作维修手册、施工组织设计、质检资料、竣工资料等；</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16.1.3因承包人违约解除合同后的估价、付款和结算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因承包人原因导致合同解除的，则合同当事人应在合同解除后28天内完成估价、付款和清算，并按以下约定执行：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（1）合同解除后，按第3.6款[商定或确定]商定或确定承包人实际完成工作对应的合同价款，以及承包人已提供的材料、工程设备、施工设备和临时工程等的价值；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（2）合同解除后，承包人应支付的违约金；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（3）合同解除后，因解除合同给发包人造成的损失；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（4）合同解除后，承包人应按照发包人的指示完成现场的清理和撤离；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（5）发包人和承包人应在合同解除后进行清算，出具最终结清付款证书，结清全部款项。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因承包人违约解除合同的，发包人有权暂停对承包人的付款，查清各项付款和已扣款项，发包人和承包人未能就合同解除后的清算和款项支付达成一致的，按照第20条[争议解决]的约定处理。</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16.1.4因承包人违约解除合同的合同权益转让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pPr>
        <w:widowControl/>
        <w:wordWrap w:val="0"/>
        <w:topLinePunct/>
        <w:adjustRightInd w:val="0"/>
        <w:snapToGrid w:val="0"/>
        <w:spacing w:after="163" w:afterLines="50" w:line="360" w:lineRule="auto"/>
        <w:outlineLvl w:val="2"/>
        <w:rPr>
          <w:rFonts w:ascii="宋体" w:hAnsi="宋体" w:cs="宋体"/>
        </w:rPr>
      </w:pPr>
      <w:bookmarkStart w:id="2629" w:name="_Ref531958554"/>
      <w:bookmarkEnd w:id="2629"/>
      <w:bookmarkStart w:id="2630" w:name="_Toc20171846"/>
      <w:bookmarkEnd w:id="2630"/>
      <w:bookmarkStart w:id="2631" w:name="_Ref531958549"/>
      <w:bookmarkStart w:id="2632" w:name="_Toc84930834"/>
      <w:bookmarkStart w:id="2633" w:name="_Toc51766698"/>
      <w:bookmarkStart w:id="2634" w:name="_Toc25928"/>
      <w:bookmarkStart w:id="2635" w:name="_Toc24879"/>
      <w:bookmarkStart w:id="2636" w:name="_Toc58860285"/>
      <w:bookmarkStart w:id="2637" w:name="_Toc1024"/>
      <w:bookmarkStart w:id="2638" w:name="_Toc9305"/>
      <w:bookmarkStart w:id="2639" w:name="_Toc4978"/>
      <w:bookmarkStart w:id="2640" w:name="_Toc5422"/>
      <w:r>
        <w:rPr>
          <w:rFonts w:hint="eastAsia" w:ascii="宋体" w:hAnsi="宋体" w:cs="宋体"/>
          <w:szCs w:val="21"/>
          <w:lang w:bidi="ar"/>
        </w:rPr>
        <w:t>1</w:t>
      </w:r>
      <w:bookmarkEnd w:id="2631"/>
      <w:r>
        <w:rPr>
          <w:rFonts w:hint="eastAsia" w:ascii="宋体" w:hAnsi="宋体" w:cs="宋体"/>
          <w:szCs w:val="21"/>
          <w:lang w:bidi="ar"/>
        </w:rPr>
        <w:t>6.2  由承包人解除合同</w:t>
      </w:r>
      <w:bookmarkEnd w:id="2632"/>
      <w:bookmarkEnd w:id="2633"/>
      <w:bookmarkEnd w:id="2634"/>
      <w:bookmarkEnd w:id="2635"/>
      <w:bookmarkEnd w:id="2636"/>
      <w:bookmarkEnd w:id="2637"/>
      <w:bookmarkEnd w:id="2638"/>
      <w:bookmarkEnd w:id="2639"/>
      <w:bookmarkEnd w:id="2640"/>
    </w:p>
    <w:p>
      <w:pPr>
        <w:widowControl/>
        <w:wordWrap w:val="0"/>
        <w:topLinePunct/>
        <w:adjustRightInd w:val="0"/>
        <w:snapToGrid w:val="0"/>
        <w:spacing w:after="163" w:afterLines="50" w:line="360" w:lineRule="auto"/>
        <w:ind w:left="480"/>
        <w:outlineLvl w:val="3"/>
        <w:rPr>
          <w:rFonts w:ascii="宋体" w:hAnsi="宋体" w:cs="宋体"/>
        </w:rPr>
      </w:pPr>
      <w:bookmarkStart w:id="2641" w:name="_Ref3841758"/>
      <w:bookmarkEnd w:id="2641"/>
      <w:r>
        <w:rPr>
          <w:rFonts w:hint="eastAsia" w:ascii="宋体" w:hAnsi="宋体" w:cs="宋体"/>
          <w:szCs w:val="21"/>
          <w:lang w:bidi="ar"/>
        </w:rPr>
        <w:t>16.2.1因发包人违约解除合同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（1）承包人就发包人未能遵守第2.5.2项关于发包人的资金安排发出通知后42天内，仍未收到合理的证明；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（2）在第14条规定的付款时间到期后42天内，承包人仍未收到应付款项；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（3）发包人实质上未能根据合同约定履行其义务，构成根本性违约；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（4）发承包双方订立本合同协议书后的84天内，承包人未收到根据第8.1款[开始工作]的开始工作通知；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（6）发包人未能遵守第2.5.3项的约定提交支付担保；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（7）发包人未能执行第15.1.2项[通知改正]的约定，致使合同目的不能实现的；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（8）因发包人的原因暂停工作超过56天且暂停影响到整个工程，或因发包人的原因暂停工作超过182天的；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（9）因发包人原因造成开始工作日期迟于承包人收到中标通知书（或在无中标通知书的情况下，订立本合同之日）后第84天的。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pPr>
        <w:widowControl/>
        <w:wordWrap w:val="0"/>
        <w:topLinePunct/>
        <w:adjustRightInd w:val="0"/>
        <w:snapToGrid w:val="0"/>
        <w:spacing w:after="163" w:afterLines="50" w:line="360" w:lineRule="auto"/>
        <w:ind w:left="480"/>
        <w:outlineLvl w:val="3"/>
        <w:rPr>
          <w:rFonts w:ascii="宋体" w:hAnsi="宋体" w:cs="宋体"/>
        </w:rPr>
      </w:pPr>
      <w:bookmarkStart w:id="2642" w:name="_Ref3842018"/>
      <w:bookmarkEnd w:id="2642"/>
      <w:bookmarkStart w:id="2643" w:name="_Ref4624336"/>
      <w:r>
        <w:rPr>
          <w:rFonts w:hint="eastAsia" w:ascii="宋体" w:hAnsi="宋体" w:cs="宋体"/>
          <w:szCs w:val="21"/>
          <w:lang w:bidi="ar"/>
        </w:rPr>
        <w:t>1</w:t>
      </w:r>
      <w:bookmarkEnd w:id="2643"/>
      <w:r>
        <w:rPr>
          <w:rFonts w:hint="eastAsia" w:ascii="宋体" w:hAnsi="宋体" w:cs="宋体"/>
          <w:szCs w:val="21"/>
          <w:lang w:bidi="ar"/>
        </w:rPr>
        <w:t>6.2.2因发包人违约解除合同后承包人的义务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合同解除后，承包人应按以下约定执行：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（1）除为保护生命、财产、工程安全的工作外，停止所有进一步的工作；承包人因执行该保护工作而产生费用的，由发包人承担。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（2）向发包人移交承包人已获得支付的承包人文件、生产设备、材料和其他工作；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（3）从现场运走除为了安全需要以外的所有属于承包人的其他货物，并撤离现场。</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16.2.3因发包人违约解除合同后的付款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承包人按照本款约定解除合同的，发包人应在解除合同后28天内支付下列款项，并退还履约担保：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（1）合同解除前所完成工作的价款；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（2）承包人为工程施工订购并已付款的材料、工程设备和其他物品的价款；发包人付款后，该材料、工程设备和其他物品归发包人所有；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（3）承包人为完成工程所发生的，而发包人未支付的金额；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（4）承包人撤离施工现场以及遣散承包人人员的款项；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（5）按照合同约定在合同解除前应支付的违约金；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（6）按照合同约定应当支付给承包人的其他款项；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（7）按照合同约定应返还的质量保证金；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（8）因解除合同给承包人造成的损失。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承包人应妥善做好已完工程和与工程有关的已购材料、工程设备的保护和移交工作，并将施工设备和人员撤出施工现场，发包人应为承包人撤出提供必要条件。</w:t>
      </w:r>
    </w:p>
    <w:p>
      <w:pPr>
        <w:widowControl/>
        <w:wordWrap w:val="0"/>
        <w:topLinePunct/>
        <w:adjustRightInd w:val="0"/>
        <w:snapToGrid w:val="0"/>
        <w:spacing w:after="163" w:afterLines="50" w:line="360" w:lineRule="auto"/>
        <w:outlineLvl w:val="2"/>
        <w:rPr>
          <w:rFonts w:ascii="宋体" w:hAnsi="宋体" w:cs="宋体"/>
        </w:rPr>
      </w:pPr>
      <w:bookmarkStart w:id="2644" w:name="_Toc20171847"/>
      <w:bookmarkEnd w:id="2644"/>
      <w:bookmarkStart w:id="2645" w:name="_Ref3841966"/>
      <w:bookmarkStart w:id="2646" w:name="_Toc25911"/>
      <w:bookmarkStart w:id="2647" w:name="_Toc482"/>
      <w:bookmarkStart w:id="2648" w:name="_Toc26475"/>
      <w:bookmarkStart w:id="2649" w:name="_Toc84930835"/>
      <w:bookmarkStart w:id="2650" w:name="_Toc58860286"/>
      <w:bookmarkStart w:id="2651" w:name="_Toc26283"/>
      <w:bookmarkStart w:id="2652" w:name="_Toc17361"/>
      <w:bookmarkStart w:id="2653" w:name="_Toc51766699"/>
      <w:bookmarkStart w:id="2654" w:name="_Toc21276"/>
      <w:r>
        <w:rPr>
          <w:rFonts w:hint="eastAsia" w:ascii="宋体" w:hAnsi="宋体" w:cs="宋体"/>
          <w:szCs w:val="21"/>
          <w:lang w:bidi="ar"/>
        </w:rPr>
        <w:t>1</w:t>
      </w:r>
      <w:bookmarkEnd w:id="2645"/>
      <w:r>
        <w:rPr>
          <w:rFonts w:hint="eastAsia" w:ascii="宋体" w:hAnsi="宋体" w:cs="宋体"/>
          <w:szCs w:val="21"/>
          <w:lang w:bidi="ar"/>
        </w:rPr>
        <w:t>6.3  合同解除后的事项</w:t>
      </w:r>
      <w:bookmarkEnd w:id="2646"/>
      <w:bookmarkEnd w:id="2647"/>
      <w:bookmarkEnd w:id="2648"/>
      <w:bookmarkEnd w:id="2649"/>
      <w:bookmarkEnd w:id="2650"/>
      <w:bookmarkEnd w:id="2651"/>
      <w:bookmarkEnd w:id="2652"/>
      <w:bookmarkEnd w:id="2653"/>
      <w:bookmarkEnd w:id="2654"/>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16.3.1结算约定依然有效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合同解除后，由发包人或由承包人解除合同的结算及结算后的付款约定仍然有效，直至解除合同的结算工作结清。</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16.3.2解除合同的争议</w:t>
      </w:r>
    </w:p>
    <w:p>
      <w:pPr>
        <w:widowControl/>
        <w:adjustRightInd w:val="0"/>
        <w:snapToGrid w:val="0"/>
        <w:spacing w:after="163" w:afterLines="50" w:line="360" w:lineRule="auto"/>
        <w:ind w:firstLine="420" w:firstLineChars="200"/>
        <w:rPr>
          <w:rFonts w:ascii="宋体" w:hAnsi="宋体" w:cs="宋体"/>
          <w:kern w:val="0"/>
        </w:rPr>
      </w:pPr>
      <w:bookmarkStart w:id="2655" w:name="_Hlk18988355"/>
      <w:bookmarkEnd w:id="2655"/>
      <w:r>
        <w:rPr>
          <w:rFonts w:hint="eastAsia" w:ascii="宋体" w:hAnsi="宋体" w:cs="宋体"/>
          <w:kern w:val="0"/>
          <w:szCs w:val="21"/>
          <w:lang w:bidi="ar"/>
        </w:rPr>
        <w:t>双方对解除合同或解除合同后的结算有争议的，按照第20条[争议解决]的约定处理。</w:t>
      </w:r>
    </w:p>
    <w:p>
      <w:pPr>
        <w:widowControl/>
        <w:wordWrap w:val="0"/>
        <w:topLinePunct/>
        <w:adjustRightInd w:val="0"/>
        <w:snapToGrid w:val="0"/>
        <w:spacing w:after="163" w:afterLines="50" w:line="360" w:lineRule="auto"/>
        <w:outlineLvl w:val="1"/>
        <w:rPr>
          <w:rFonts w:ascii="宋体" w:hAnsi="宋体" w:cs="宋体"/>
          <w:kern w:val="0"/>
        </w:rPr>
      </w:pPr>
      <w:bookmarkStart w:id="2656" w:name="_Toc20171848"/>
      <w:bookmarkEnd w:id="2656"/>
      <w:bookmarkStart w:id="2657" w:name="_Ref3840974"/>
      <w:bookmarkEnd w:id="2657"/>
      <w:bookmarkStart w:id="2658" w:name="_Ref3840605"/>
      <w:bookmarkStart w:id="2659" w:name="_Toc13613"/>
      <w:bookmarkStart w:id="2660" w:name="_Toc16006"/>
      <w:bookmarkStart w:id="2661" w:name="_Toc29893"/>
      <w:bookmarkStart w:id="2662" w:name="_Toc22098"/>
      <w:r>
        <w:rPr>
          <w:rFonts w:hint="eastAsia" w:ascii="宋体" w:hAnsi="宋体" w:cs="宋体"/>
          <w:kern w:val="0"/>
          <w:szCs w:val="21"/>
          <w:lang w:bidi="ar"/>
        </w:rPr>
        <w:t>第1</w:t>
      </w:r>
      <w:bookmarkEnd w:id="2658"/>
      <w:r>
        <w:rPr>
          <w:rFonts w:hint="eastAsia" w:ascii="宋体" w:hAnsi="宋体" w:cs="宋体"/>
          <w:kern w:val="0"/>
          <w:szCs w:val="21"/>
          <w:lang w:bidi="ar"/>
        </w:rPr>
        <w:t>7条  不可抗力</w:t>
      </w:r>
      <w:bookmarkEnd w:id="2659"/>
      <w:bookmarkEnd w:id="2660"/>
      <w:bookmarkEnd w:id="2661"/>
      <w:bookmarkEnd w:id="2662"/>
    </w:p>
    <w:p>
      <w:pPr>
        <w:widowControl/>
        <w:wordWrap w:val="0"/>
        <w:topLinePunct/>
        <w:adjustRightInd w:val="0"/>
        <w:snapToGrid w:val="0"/>
        <w:spacing w:after="163" w:afterLines="50" w:line="360" w:lineRule="auto"/>
        <w:outlineLvl w:val="2"/>
        <w:rPr>
          <w:rFonts w:ascii="宋体" w:hAnsi="宋体" w:cs="宋体"/>
        </w:rPr>
      </w:pPr>
      <w:bookmarkStart w:id="2663" w:name="_Ref531958161"/>
      <w:bookmarkEnd w:id="2663"/>
      <w:bookmarkStart w:id="2664" w:name="_Ref531958158"/>
      <w:bookmarkEnd w:id="2664"/>
      <w:bookmarkStart w:id="2665" w:name="_Toc20171849"/>
      <w:bookmarkStart w:id="2666" w:name="_Toc21586"/>
      <w:bookmarkStart w:id="2667" w:name="_Toc21139"/>
      <w:bookmarkStart w:id="2668" w:name="_Toc58860288"/>
      <w:bookmarkStart w:id="2669" w:name="_Toc14438"/>
      <w:bookmarkStart w:id="2670" w:name="_Toc51766701"/>
      <w:bookmarkStart w:id="2671" w:name="_Toc26573"/>
      <w:bookmarkStart w:id="2672" w:name="_Toc12505"/>
      <w:bookmarkStart w:id="2673" w:name="_Toc84930837"/>
      <w:bookmarkStart w:id="2674" w:name="_Toc7581"/>
      <w:r>
        <w:rPr>
          <w:rFonts w:hint="eastAsia" w:ascii="宋体" w:hAnsi="宋体" w:cs="宋体"/>
          <w:szCs w:val="21"/>
          <w:lang w:bidi="ar"/>
        </w:rPr>
        <w:t>1</w:t>
      </w:r>
      <w:bookmarkEnd w:id="2665"/>
      <w:r>
        <w:rPr>
          <w:rFonts w:hint="eastAsia" w:ascii="宋体" w:hAnsi="宋体" w:cs="宋体"/>
          <w:szCs w:val="21"/>
          <w:lang w:bidi="ar"/>
        </w:rPr>
        <w:t>7.1  不可抗力的定义</w:t>
      </w:r>
      <w:bookmarkEnd w:id="2666"/>
      <w:bookmarkEnd w:id="2667"/>
      <w:bookmarkEnd w:id="2668"/>
      <w:bookmarkEnd w:id="2669"/>
      <w:bookmarkEnd w:id="2670"/>
      <w:bookmarkEnd w:id="2671"/>
      <w:bookmarkEnd w:id="2672"/>
      <w:bookmarkEnd w:id="2673"/>
      <w:bookmarkEnd w:id="267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pPr>
        <w:widowControl/>
        <w:wordWrap w:val="0"/>
        <w:topLinePunct/>
        <w:adjustRightInd w:val="0"/>
        <w:snapToGrid w:val="0"/>
        <w:spacing w:after="163" w:afterLines="50" w:line="360" w:lineRule="auto"/>
        <w:outlineLvl w:val="2"/>
        <w:rPr>
          <w:rFonts w:ascii="宋体" w:hAnsi="宋体" w:cs="宋体"/>
        </w:rPr>
      </w:pPr>
      <w:bookmarkStart w:id="2675" w:name="_Toc20171850"/>
      <w:bookmarkEnd w:id="2675"/>
      <w:bookmarkStart w:id="2676" w:name="_Toc10924"/>
      <w:bookmarkStart w:id="2677" w:name="_Toc21252"/>
      <w:bookmarkStart w:id="2678" w:name="_Toc84930838"/>
      <w:bookmarkStart w:id="2679" w:name="_Toc24388"/>
      <w:bookmarkStart w:id="2680" w:name="_Toc13050"/>
      <w:bookmarkStart w:id="2681" w:name="_Toc58860289"/>
      <w:bookmarkStart w:id="2682" w:name="_Toc7742"/>
      <w:bookmarkStart w:id="2683" w:name="_Toc51766702"/>
      <w:bookmarkStart w:id="2684" w:name="_Toc32040"/>
      <w:r>
        <w:rPr>
          <w:rFonts w:hint="eastAsia" w:ascii="宋体" w:hAnsi="宋体" w:cs="宋体"/>
          <w:szCs w:val="21"/>
          <w:lang w:bidi="ar"/>
        </w:rPr>
        <w:t>17.2  不可抗力的通知</w:t>
      </w:r>
      <w:bookmarkEnd w:id="2676"/>
      <w:bookmarkEnd w:id="2677"/>
      <w:bookmarkEnd w:id="2678"/>
      <w:bookmarkEnd w:id="2679"/>
      <w:bookmarkEnd w:id="2680"/>
      <w:bookmarkEnd w:id="2681"/>
      <w:bookmarkEnd w:id="2682"/>
      <w:bookmarkEnd w:id="2683"/>
      <w:bookmarkEnd w:id="2684"/>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合同一方当事人觉察或发现不可抗力事件发生，使其履行合同义务受到阻碍时，有义务立即通知合同另一方当事人和工程师，书面说明不可抗力和受阻碍的详细情况，并提供必要的证明。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不可抗力持续发生的，合同一方当事人应每隔28天向合同另一方当事人和工程师提交中间报告，说明不可抗力和履行合同受阻的情况，并于不可抗力事件结束后28天内提交最终报告及有关资料。</w:t>
      </w:r>
    </w:p>
    <w:p>
      <w:pPr>
        <w:widowControl/>
        <w:wordWrap w:val="0"/>
        <w:topLinePunct/>
        <w:adjustRightInd w:val="0"/>
        <w:snapToGrid w:val="0"/>
        <w:spacing w:after="163" w:afterLines="50" w:line="360" w:lineRule="auto"/>
        <w:outlineLvl w:val="2"/>
        <w:rPr>
          <w:rFonts w:ascii="宋体" w:hAnsi="宋体" w:cs="宋体"/>
        </w:rPr>
      </w:pPr>
      <w:bookmarkStart w:id="2685" w:name="_Toc20171851"/>
      <w:bookmarkEnd w:id="2685"/>
      <w:bookmarkStart w:id="2686" w:name="_Toc58860290"/>
      <w:bookmarkStart w:id="2687" w:name="_Toc2801"/>
      <w:bookmarkStart w:id="2688" w:name="_Toc51766703"/>
      <w:bookmarkStart w:id="2689" w:name="_Toc22534"/>
      <w:bookmarkStart w:id="2690" w:name="_Toc25504"/>
      <w:bookmarkStart w:id="2691" w:name="_Toc84930839"/>
      <w:bookmarkStart w:id="2692" w:name="_Toc11670"/>
      <w:bookmarkStart w:id="2693" w:name="_Toc11904"/>
      <w:bookmarkStart w:id="2694" w:name="_Toc1462"/>
      <w:r>
        <w:rPr>
          <w:rFonts w:hint="eastAsia" w:ascii="宋体" w:hAnsi="宋体" w:cs="宋体"/>
          <w:szCs w:val="21"/>
          <w:lang w:bidi="ar"/>
        </w:rPr>
        <w:t>17.3  将损失减至最小的义务</w:t>
      </w:r>
      <w:bookmarkEnd w:id="2686"/>
      <w:bookmarkEnd w:id="2687"/>
      <w:bookmarkEnd w:id="2688"/>
      <w:bookmarkEnd w:id="2689"/>
      <w:bookmarkEnd w:id="2690"/>
      <w:bookmarkEnd w:id="2691"/>
      <w:bookmarkEnd w:id="2692"/>
      <w:bookmarkEnd w:id="2693"/>
      <w:bookmarkEnd w:id="269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pPr>
        <w:widowControl/>
        <w:wordWrap w:val="0"/>
        <w:topLinePunct/>
        <w:adjustRightInd w:val="0"/>
        <w:snapToGrid w:val="0"/>
        <w:spacing w:after="163" w:afterLines="50" w:line="360" w:lineRule="auto"/>
        <w:outlineLvl w:val="2"/>
        <w:rPr>
          <w:rFonts w:ascii="宋体" w:hAnsi="宋体" w:cs="宋体"/>
        </w:rPr>
      </w:pPr>
      <w:bookmarkStart w:id="2695" w:name="_Ref531958172"/>
      <w:bookmarkEnd w:id="2695"/>
      <w:bookmarkStart w:id="2696" w:name="_Ref531958170"/>
      <w:bookmarkEnd w:id="2696"/>
      <w:bookmarkStart w:id="2697" w:name="_Toc20171852"/>
      <w:bookmarkEnd w:id="2697"/>
      <w:bookmarkStart w:id="2698" w:name="_Ref3840916"/>
      <w:bookmarkStart w:id="2699" w:name="_Toc15095"/>
      <w:bookmarkStart w:id="2700" w:name="_Toc4878"/>
      <w:bookmarkStart w:id="2701" w:name="_Toc8367"/>
      <w:bookmarkStart w:id="2702" w:name="_Toc5407"/>
      <w:bookmarkStart w:id="2703" w:name="_Toc51766704"/>
      <w:bookmarkStart w:id="2704" w:name="_Toc58860291"/>
      <w:bookmarkStart w:id="2705" w:name="_Toc16045"/>
      <w:bookmarkStart w:id="2706" w:name="_Toc84930840"/>
      <w:bookmarkStart w:id="2707" w:name="_Toc24623"/>
      <w:r>
        <w:rPr>
          <w:rFonts w:hint="eastAsia" w:ascii="宋体" w:hAnsi="宋体" w:cs="宋体"/>
          <w:szCs w:val="21"/>
          <w:lang w:bidi="ar"/>
        </w:rPr>
        <w:t>1</w:t>
      </w:r>
      <w:bookmarkEnd w:id="2698"/>
      <w:r>
        <w:rPr>
          <w:rFonts w:hint="eastAsia" w:ascii="宋体" w:hAnsi="宋体" w:cs="宋体"/>
          <w:szCs w:val="21"/>
          <w:lang w:bidi="ar"/>
        </w:rPr>
        <w:t>7.4  不可抗力后果的承担</w:t>
      </w:r>
      <w:bookmarkEnd w:id="2699"/>
      <w:bookmarkEnd w:id="2700"/>
      <w:bookmarkEnd w:id="2701"/>
      <w:bookmarkEnd w:id="2702"/>
      <w:bookmarkEnd w:id="2703"/>
      <w:bookmarkEnd w:id="2704"/>
      <w:bookmarkEnd w:id="2705"/>
      <w:bookmarkEnd w:id="2706"/>
      <w:bookmarkEnd w:id="2707"/>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17.4.1不可抗力导致的人员伤亡、财产损失、费用增加和（或）工期延误等后果，由合同当事人按以下原则承担：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（1）永久工程，包括已运至施工现场的材料和工程设备的损害，以及因工程损害造成的第三人人员伤亡和财产损失由发包人承担；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（2）承包人提供的施工设备的损坏由承包人承担；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（3）发包人和承包人各自承担其人员伤亡及其他财产损失；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不可抗力影响承包人履行合同约定的义务，已经引起或将引起工期延误的，应当顺延工期，由此导致承包人停工的费用损失由发包人和承包人合理分担，停工期间必须支付的现场必要的工人工资由发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（5）因不可抗力引起或将引起工期延误，发包人指示赶工的，由此增加的赶工费用由发包人承担；</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（6）承包人在停工期间按照工程师或发包人要求照管、清理和修复工程的费用由发包人承担。</w:t>
      </w:r>
    </w:p>
    <w:p>
      <w:pPr>
        <w:widowControl/>
        <w:adjustRightInd w:val="0"/>
        <w:snapToGrid w:val="0"/>
        <w:spacing w:after="163" w:afterLines="50" w:line="360" w:lineRule="auto"/>
        <w:ind w:firstLine="420" w:firstLineChars="200"/>
      </w:pPr>
      <w:r>
        <w:rPr>
          <w:rFonts w:hint="eastAsia"/>
        </w:rPr>
        <w:t>不可抗力引起的后果及造成的损失由合同当事人按照法律规定及合同约定各自承担。不可抗力发生前已完成的工程应当按照合同约定进行支付。</w:t>
      </w:r>
    </w:p>
    <w:p>
      <w:pPr>
        <w:widowControl/>
        <w:wordWrap w:val="0"/>
        <w:topLinePunct/>
        <w:adjustRightInd w:val="0"/>
        <w:snapToGrid w:val="0"/>
        <w:spacing w:after="163" w:afterLines="50" w:line="360" w:lineRule="auto"/>
        <w:outlineLvl w:val="2"/>
        <w:rPr>
          <w:rFonts w:ascii="宋体" w:hAnsi="宋体" w:cs="宋体"/>
        </w:rPr>
      </w:pPr>
      <w:bookmarkStart w:id="2708" w:name="_Toc20171853"/>
      <w:bookmarkEnd w:id="2708"/>
      <w:bookmarkStart w:id="2709" w:name="_Toc18238"/>
      <w:bookmarkStart w:id="2710" w:name="_Toc84930841"/>
      <w:bookmarkStart w:id="2711" w:name="_Toc51766705"/>
      <w:bookmarkStart w:id="2712" w:name="_Toc6138"/>
      <w:bookmarkStart w:id="2713" w:name="_Toc58860292"/>
      <w:bookmarkStart w:id="2714" w:name="_Toc28727"/>
      <w:bookmarkStart w:id="2715" w:name="_Toc26674"/>
      <w:bookmarkStart w:id="2716" w:name="_Toc10905"/>
      <w:bookmarkStart w:id="2717" w:name="_Toc30536"/>
      <w:r>
        <w:rPr>
          <w:rFonts w:hint="eastAsia" w:ascii="宋体" w:hAnsi="宋体" w:cs="宋体"/>
          <w:szCs w:val="21"/>
          <w:lang w:bidi="ar"/>
        </w:rPr>
        <w:t>17.5  不可抗力影响分包人</w:t>
      </w:r>
      <w:bookmarkEnd w:id="2709"/>
      <w:bookmarkEnd w:id="2710"/>
      <w:bookmarkEnd w:id="2711"/>
      <w:bookmarkEnd w:id="2712"/>
      <w:bookmarkEnd w:id="2713"/>
      <w:bookmarkEnd w:id="2714"/>
      <w:bookmarkEnd w:id="2715"/>
      <w:bookmarkEnd w:id="2716"/>
      <w:bookmarkEnd w:id="2717"/>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分包人根据分包合同的约定，有权获得更多或者更广的不可抗力而免除某些义务时，承包人不得以分包合同中不可抗力约定向发包人抗辩免除其义务。</w:t>
      </w:r>
    </w:p>
    <w:p>
      <w:pPr>
        <w:widowControl/>
        <w:wordWrap w:val="0"/>
        <w:topLinePunct/>
        <w:adjustRightInd w:val="0"/>
        <w:snapToGrid w:val="0"/>
        <w:spacing w:after="163" w:afterLines="50" w:line="360" w:lineRule="auto"/>
        <w:outlineLvl w:val="2"/>
        <w:rPr>
          <w:rFonts w:ascii="宋体" w:hAnsi="宋体" w:cs="宋体"/>
        </w:rPr>
      </w:pPr>
      <w:bookmarkStart w:id="2718" w:name="_Toc20171854"/>
      <w:bookmarkEnd w:id="2718"/>
      <w:bookmarkStart w:id="2719" w:name="_Ref4538024"/>
      <w:bookmarkEnd w:id="2719"/>
      <w:bookmarkStart w:id="2720" w:name="_Ref531958181"/>
      <w:bookmarkEnd w:id="2720"/>
      <w:bookmarkStart w:id="2721" w:name="_Ref3840892"/>
      <w:bookmarkEnd w:id="2721"/>
      <w:bookmarkStart w:id="2722" w:name="_Ref531958184"/>
      <w:bookmarkStart w:id="2723" w:name="_Toc22072"/>
      <w:bookmarkStart w:id="2724" w:name="_Toc25254"/>
      <w:bookmarkStart w:id="2725" w:name="_Toc58860293"/>
      <w:bookmarkStart w:id="2726" w:name="_Toc15173"/>
      <w:bookmarkStart w:id="2727" w:name="_Toc17782"/>
      <w:bookmarkStart w:id="2728" w:name="_Toc84930842"/>
      <w:bookmarkStart w:id="2729" w:name="_Toc9798"/>
      <w:bookmarkStart w:id="2730" w:name="_Toc51766706"/>
      <w:bookmarkStart w:id="2731" w:name="_Toc30112"/>
      <w:r>
        <w:rPr>
          <w:rFonts w:hint="eastAsia" w:ascii="宋体" w:hAnsi="宋体" w:cs="宋体"/>
          <w:szCs w:val="21"/>
          <w:lang w:bidi="ar"/>
        </w:rPr>
        <w:t>1</w:t>
      </w:r>
      <w:bookmarkEnd w:id="2722"/>
      <w:r>
        <w:rPr>
          <w:rFonts w:hint="eastAsia" w:ascii="宋体" w:hAnsi="宋体" w:cs="宋体"/>
          <w:szCs w:val="21"/>
          <w:lang w:bidi="ar"/>
        </w:rPr>
        <w:t>7.6  因不可抗力解除合同</w:t>
      </w:r>
      <w:bookmarkEnd w:id="2723"/>
      <w:bookmarkEnd w:id="2724"/>
      <w:bookmarkEnd w:id="2725"/>
      <w:bookmarkEnd w:id="2726"/>
      <w:bookmarkEnd w:id="2727"/>
      <w:bookmarkEnd w:id="2728"/>
      <w:bookmarkEnd w:id="2729"/>
      <w:bookmarkEnd w:id="2730"/>
      <w:bookmarkEnd w:id="2731"/>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（1）合同解除前承包人已完成工作的价款；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（3）发包人指示承包人退货或解除订货合同而产生的费用，或因不能退货或解除合同而产生的损失；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（4）承包人撤离施工现场以及遣散承包人人员的费用；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（5）按照合同约定在合同解除前应支付给承包人的其他款项；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（6）扣减承包人按照合同约定应向发包人支付的款项；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（7）双方商定或确定的其他款项。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除专用合同条件另有约定外，合同解除后，发包人应当在商定或确定上述款项后28天内完成上述款项的支付。</w:t>
      </w:r>
    </w:p>
    <w:p>
      <w:pPr>
        <w:widowControl/>
        <w:wordWrap w:val="0"/>
        <w:topLinePunct/>
        <w:adjustRightInd w:val="0"/>
        <w:snapToGrid w:val="0"/>
        <w:spacing w:after="163" w:afterLines="50" w:line="360" w:lineRule="auto"/>
        <w:outlineLvl w:val="1"/>
        <w:rPr>
          <w:rFonts w:ascii="宋体" w:hAnsi="宋体" w:cs="宋体"/>
          <w:kern w:val="0"/>
        </w:rPr>
      </w:pPr>
      <w:bookmarkStart w:id="2732" w:name="_Toc20171855"/>
      <w:bookmarkEnd w:id="2732"/>
      <w:bookmarkStart w:id="2733" w:name="_Ref11848274"/>
      <w:bookmarkEnd w:id="2733"/>
      <w:bookmarkStart w:id="2734" w:name="_Ref11848264"/>
      <w:bookmarkStart w:id="2735" w:name="_Toc18974"/>
      <w:bookmarkStart w:id="2736" w:name="_Toc22453"/>
      <w:bookmarkStart w:id="2737" w:name="_Toc13191"/>
      <w:bookmarkStart w:id="2738" w:name="_Toc11339"/>
      <w:r>
        <w:rPr>
          <w:rFonts w:hint="eastAsia" w:ascii="宋体" w:hAnsi="宋体" w:cs="宋体"/>
          <w:kern w:val="0"/>
          <w:szCs w:val="21"/>
          <w:lang w:bidi="ar"/>
        </w:rPr>
        <w:t>第1</w:t>
      </w:r>
      <w:bookmarkEnd w:id="2734"/>
      <w:r>
        <w:rPr>
          <w:rFonts w:hint="eastAsia" w:ascii="宋体" w:hAnsi="宋体" w:cs="宋体"/>
          <w:kern w:val="0"/>
          <w:szCs w:val="21"/>
          <w:lang w:bidi="ar"/>
        </w:rPr>
        <w:t>8条  保险</w:t>
      </w:r>
      <w:bookmarkEnd w:id="2735"/>
      <w:bookmarkEnd w:id="2736"/>
      <w:bookmarkEnd w:id="2737"/>
      <w:bookmarkEnd w:id="2738"/>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739" w:name="_Ref531957914"/>
      <w:bookmarkEnd w:id="2739"/>
      <w:bookmarkStart w:id="2740" w:name="_Ref531957911"/>
      <w:bookmarkEnd w:id="2740"/>
      <w:bookmarkStart w:id="2741" w:name="_Ref3840734"/>
      <w:bookmarkEnd w:id="2741"/>
      <w:bookmarkStart w:id="2742" w:name="_Ref3840730"/>
      <w:bookmarkEnd w:id="2742"/>
      <w:bookmarkStart w:id="2743" w:name="_Toc20171856"/>
      <w:bookmarkEnd w:id="2743"/>
      <w:bookmarkStart w:id="2744" w:name="_Toc351203616"/>
      <w:bookmarkStart w:id="2745" w:name="_Toc19630"/>
      <w:bookmarkStart w:id="2746" w:name="_Toc58860295"/>
      <w:bookmarkStart w:id="2747" w:name="_Toc16605"/>
      <w:bookmarkStart w:id="2748" w:name="_Toc31671"/>
      <w:bookmarkStart w:id="2749" w:name="_Toc84930844"/>
      <w:bookmarkStart w:id="2750" w:name="_Toc51766708"/>
      <w:bookmarkStart w:id="2751" w:name="_Toc27129"/>
      <w:bookmarkStart w:id="2752" w:name="_Toc2422"/>
      <w:bookmarkStart w:id="2753" w:name="_Toc20166"/>
      <w:r>
        <w:rPr>
          <w:rFonts w:hint="eastAsia" w:ascii="宋体" w:hAnsi="宋体" w:cs="宋体"/>
          <w:szCs w:val="21"/>
          <w:lang w:bidi="ar"/>
        </w:rPr>
        <w:t>1</w:t>
      </w:r>
      <w:bookmarkEnd w:id="2744"/>
      <w:r>
        <w:rPr>
          <w:rFonts w:hint="eastAsia" w:ascii="宋体" w:hAnsi="宋体" w:cs="宋体"/>
          <w:szCs w:val="21"/>
          <w:lang w:bidi="ar"/>
        </w:rPr>
        <w:t>8.1  设计和工程保险</w:t>
      </w:r>
      <w:bookmarkEnd w:id="2745"/>
      <w:bookmarkEnd w:id="2746"/>
      <w:bookmarkEnd w:id="2747"/>
      <w:bookmarkEnd w:id="2748"/>
      <w:bookmarkEnd w:id="2749"/>
      <w:bookmarkEnd w:id="2750"/>
      <w:bookmarkEnd w:id="2751"/>
      <w:bookmarkEnd w:id="2752"/>
      <w:bookmarkEnd w:id="2753"/>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18.1.1双方应按照专用合同条件的约定向双方同意的保险人投保建设工程设计责任险、建筑安装工程一切险等保险。具体的投保险种、保险范围、保险金额、保险费率、保险期限等有关内容应当在专用合同条件中明确约定。</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18.1.2双方应按照专用合同条件的约定投保第三者责任险，并在缺陷责任期终止证书颁发前维持其持续有效。第三者责任险最低投保额应在专用合同条件内约定。</w:t>
      </w:r>
    </w:p>
    <w:p>
      <w:pPr>
        <w:widowControl/>
        <w:wordWrap w:val="0"/>
        <w:topLinePunct/>
        <w:adjustRightInd w:val="0"/>
        <w:snapToGrid w:val="0"/>
        <w:spacing w:after="163" w:afterLines="50" w:line="360" w:lineRule="auto"/>
        <w:outlineLvl w:val="2"/>
        <w:rPr>
          <w:rFonts w:ascii="宋体" w:hAnsi="宋体" w:cs="宋体"/>
        </w:rPr>
      </w:pPr>
      <w:bookmarkStart w:id="2754" w:name="_Ref3840683"/>
      <w:bookmarkEnd w:id="2754"/>
      <w:bookmarkStart w:id="2755" w:name="_Toc20171857"/>
      <w:bookmarkStart w:id="2756" w:name="_Toc51766709"/>
      <w:bookmarkStart w:id="2757" w:name="_Toc18994"/>
      <w:bookmarkStart w:id="2758" w:name="_Toc31109"/>
      <w:bookmarkStart w:id="2759" w:name="_Toc58860296"/>
      <w:bookmarkStart w:id="2760" w:name="_Toc18362"/>
      <w:bookmarkStart w:id="2761" w:name="_Toc10411"/>
      <w:bookmarkStart w:id="2762" w:name="_Toc28180"/>
      <w:bookmarkStart w:id="2763" w:name="_Toc84930845"/>
      <w:bookmarkStart w:id="2764" w:name="_Toc10326"/>
      <w:r>
        <w:rPr>
          <w:rFonts w:hint="eastAsia" w:ascii="宋体" w:hAnsi="宋体" w:cs="宋体"/>
          <w:szCs w:val="21"/>
          <w:lang w:bidi="ar"/>
        </w:rPr>
        <w:t>1</w:t>
      </w:r>
      <w:bookmarkEnd w:id="2755"/>
      <w:r>
        <w:rPr>
          <w:rFonts w:hint="eastAsia" w:ascii="宋体" w:hAnsi="宋体" w:cs="宋体"/>
          <w:szCs w:val="21"/>
          <w:lang w:bidi="ar"/>
        </w:rPr>
        <w:t>8.2  工伤和意外伤害保险</w:t>
      </w:r>
      <w:bookmarkEnd w:id="2756"/>
      <w:bookmarkEnd w:id="2757"/>
      <w:bookmarkEnd w:id="2758"/>
      <w:bookmarkEnd w:id="2759"/>
      <w:bookmarkEnd w:id="2760"/>
      <w:bookmarkEnd w:id="2761"/>
      <w:bookmarkEnd w:id="2762"/>
      <w:bookmarkEnd w:id="2763"/>
      <w:bookmarkEnd w:id="2764"/>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18.2.1发包人应依照法律规定为其在施工现场的雇用人员办理工伤保险，缴纳工伤保险费；并要求工程师及由发包人为履行合同聘请的第三方在施工现场的雇用人员依法办理工伤保险。</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18.2.2承包人应依照法律规定为其履行合同雇用的全部人员办理工伤保险，缴纳工伤保险费，并要求分包人及由承包人为履行合同聘请的第三方雇用的全部人员依法办理工伤保险。</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18.2.3发包人和承包人可以为其施工现场的全部人员办理意外伤害保险并支付保险费，包括其员工及为履行合同聘请的第三方的人员，具体事项由合同当事人在专用合同条件约定。</w:t>
      </w:r>
    </w:p>
    <w:p>
      <w:pPr>
        <w:widowControl/>
        <w:wordWrap w:val="0"/>
        <w:topLinePunct/>
        <w:adjustRightInd w:val="0"/>
        <w:snapToGrid w:val="0"/>
        <w:spacing w:after="163" w:afterLines="50" w:line="360" w:lineRule="auto"/>
        <w:outlineLvl w:val="2"/>
        <w:rPr>
          <w:rFonts w:ascii="宋体" w:hAnsi="宋体" w:cs="宋体"/>
        </w:rPr>
      </w:pPr>
      <w:bookmarkStart w:id="2765" w:name="_Ref3840782"/>
      <w:bookmarkEnd w:id="2765"/>
      <w:bookmarkStart w:id="2766" w:name="_Toc20171858"/>
      <w:bookmarkStart w:id="2767" w:name="_Toc24904"/>
      <w:bookmarkStart w:id="2768" w:name="_Toc51766710"/>
      <w:bookmarkStart w:id="2769" w:name="_Toc84930846"/>
      <w:bookmarkStart w:id="2770" w:name="_Toc9367"/>
      <w:bookmarkStart w:id="2771" w:name="_Toc3855"/>
      <w:bookmarkStart w:id="2772" w:name="_Toc21154"/>
      <w:bookmarkStart w:id="2773" w:name="_Toc7956"/>
      <w:bookmarkStart w:id="2774" w:name="_Toc58860297"/>
      <w:bookmarkStart w:id="2775" w:name="_Toc23357"/>
      <w:r>
        <w:rPr>
          <w:rFonts w:hint="eastAsia" w:ascii="宋体" w:hAnsi="宋体" w:cs="宋体"/>
          <w:szCs w:val="21"/>
          <w:lang w:bidi="ar"/>
        </w:rPr>
        <w:t>1</w:t>
      </w:r>
      <w:bookmarkEnd w:id="2766"/>
      <w:r>
        <w:rPr>
          <w:rFonts w:hint="eastAsia" w:ascii="宋体" w:hAnsi="宋体" w:cs="宋体"/>
          <w:szCs w:val="21"/>
          <w:lang w:bidi="ar"/>
        </w:rPr>
        <w:t>8.3  货物保险</w:t>
      </w:r>
      <w:bookmarkEnd w:id="2767"/>
      <w:bookmarkEnd w:id="2768"/>
      <w:bookmarkEnd w:id="2769"/>
      <w:bookmarkEnd w:id="2770"/>
      <w:bookmarkEnd w:id="2771"/>
      <w:bookmarkEnd w:id="2772"/>
      <w:bookmarkEnd w:id="2773"/>
      <w:bookmarkEnd w:id="2774"/>
      <w:bookmarkEnd w:id="277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承包人应按照专用合同条件的约定为运抵现场的施工设备、材料、工程设备和临时工程等办理财产保险，保险期限自上述货物运抵现场至其不再为工程所需要为止。</w:t>
      </w:r>
    </w:p>
    <w:p>
      <w:pPr>
        <w:widowControl/>
        <w:wordWrap w:val="0"/>
        <w:topLinePunct/>
        <w:adjustRightInd w:val="0"/>
        <w:snapToGrid w:val="0"/>
        <w:spacing w:after="163" w:afterLines="50" w:line="360" w:lineRule="auto"/>
        <w:outlineLvl w:val="2"/>
        <w:rPr>
          <w:rFonts w:ascii="宋体" w:hAnsi="宋体" w:cs="宋体"/>
        </w:rPr>
      </w:pPr>
      <w:bookmarkStart w:id="2776" w:name="_Ref4692238"/>
      <w:bookmarkEnd w:id="2776"/>
      <w:bookmarkStart w:id="2777" w:name="_Toc20171859"/>
      <w:bookmarkEnd w:id="2777"/>
      <w:bookmarkStart w:id="2778" w:name="_Ref4692231"/>
      <w:bookmarkStart w:id="2779" w:name="_Toc51766711"/>
      <w:bookmarkStart w:id="2780" w:name="_Toc58860298"/>
      <w:bookmarkStart w:id="2781" w:name="_Toc32567"/>
      <w:bookmarkStart w:id="2782" w:name="_Toc27325"/>
      <w:bookmarkStart w:id="2783" w:name="_Toc3108"/>
      <w:bookmarkStart w:id="2784" w:name="_Toc5961"/>
      <w:bookmarkStart w:id="2785" w:name="_Toc84930847"/>
      <w:bookmarkStart w:id="2786" w:name="_Toc13491"/>
      <w:bookmarkStart w:id="2787" w:name="_Toc24878"/>
      <w:r>
        <w:rPr>
          <w:rFonts w:hint="eastAsia" w:ascii="宋体" w:hAnsi="宋体" w:cs="宋体"/>
          <w:szCs w:val="21"/>
          <w:lang w:bidi="ar"/>
        </w:rPr>
        <w:t>1</w:t>
      </w:r>
      <w:bookmarkEnd w:id="2778"/>
      <w:r>
        <w:rPr>
          <w:rFonts w:hint="eastAsia" w:ascii="宋体" w:hAnsi="宋体" w:cs="宋体"/>
          <w:szCs w:val="21"/>
          <w:lang w:bidi="ar"/>
        </w:rPr>
        <w:t>8.4  其他保险</w:t>
      </w:r>
      <w:bookmarkEnd w:id="2779"/>
      <w:bookmarkEnd w:id="2780"/>
      <w:bookmarkEnd w:id="2781"/>
      <w:bookmarkEnd w:id="2782"/>
      <w:bookmarkEnd w:id="2783"/>
      <w:bookmarkEnd w:id="2784"/>
      <w:bookmarkEnd w:id="2785"/>
      <w:bookmarkEnd w:id="2786"/>
      <w:bookmarkEnd w:id="278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w:t>
      </w:r>
      <w:bookmarkStart w:id="2788" w:name="_Toc296503126"/>
      <w:bookmarkEnd w:id="2788"/>
      <w:bookmarkStart w:id="2789" w:name="_Toc296346627"/>
      <w:bookmarkEnd w:id="2789"/>
      <w:bookmarkStart w:id="2790" w:name="_Toc351203617"/>
      <w:bookmarkEnd w:id="2790"/>
      <w:bookmarkStart w:id="2791" w:name="_Toc337558832"/>
      <w:bookmarkEnd w:id="2791"/>
      <w:r>
        <w:rPr>
          <w:rFonts w:hint="eastAsia" w:ascii="宋体" w:hAnsi="宋体" w:cs="宋体"/>
          <w:kern w:val="0"/>
          <w:szCs w:val="21"/>
          <w:lang w:bidi="ar"/>
        </w:rPr>
        <w:t>第13条[变更与调整]的约定增加合同价款。</w:t>
      </w:r>
    </w:p>
    <w:p>
      <w:pPr>
        <w:widowControl/>
        <w:wordWrap w:val="0"/>
        <w:topLinePunct/>
        <w:adjustRightInd w:val="0"/>
        <w:snapToGrid w:val="0"/>
        <w:spacing w:after="163" w:afterLines="50" w:line="360" w:lineRule="auto"/>
        <w:outlineLvl w:val="2"/>
        <w:rPr>
          <w:rFonts w:ascii="宋体" w:hAnsi="宋体" w:cs="宋体"/>
        </w:rPr>
      </w:pPr>
      <w:bookmarkStart w:id="2792" w:name="_Toc20171860"/>
      <w:bookmarkEnd w:id="2792"/>
      <w:bookmarkStart w:id="2793" w:name="_Ref3840659"/>
      <w:bookmarkStart w:id="2794" w:name="_Toc9676"/>
      <w:bookmarkStart w:id="2795" w:name="_Toc84930848"/>
      <w:bookmarkStart w:id="2796" w:name="_Toc4721"/>
      <w:bookmarkStart w:id="2797" w:name="_Toc58860299"/>
      <w:bookmarkStart w:id="2798" w:name="_Toc17266"/>
      <w:bookmarkStart w:id="2799" w:name="_Toc907"/>
      <w:bookmarkStart w:id="2800" w:name="_Toc51766712"/>
      <w:bookmarkStart w:id="2801" w:name="_Toc24339"/>
      <w:bookmarkStart w:id="2802" w:name="_Toc6938"/>
      <w:r>
        <w:rPr>
          <w:rFonts w:hint="eastAsia" w:ascii="宋体" w:hAnsi="宋体" w:cs="宋体"/>
          <w:szCs w:val="21"/>
          <w:lang w:bidi="ar"/>
        </w:rPr>
        <w:t>1</w:t>
      </w:r>
      <w:bookmarkEnd w:id="2793"/>
      <w:r>
        <w:rPr>
          <w:rFonts w:hint="eastAsia" w:ascii="宋体" w:hAnsi="宋体" w:cs="宋体"/>
          <w:szCs w:val="21"/>
          <w:lang w:bidi="ar"/>
        </w:rPr>
        <w:t>8.5  对各项保险的一般要求</w:t>
      </w:r>
      <w:bookmarkEnd w:id="2794"/>
      <w:bookmarkEnd w:id="2795"/>
      <w:bookmarkEnd w:id="2796"/>
      <w:bookmarkEnd w:id="2797"/>
      <w:bookmarkEnd w:id="2798"/>
      <w:bookmarkEnd w:id="2799"/>
      <w:bookmarkEnd w:id="2800"/>
      <w:bookmarkEnd w:id="2801"/>
      <w:bookmarkEnd w:id="2802"/>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18.5.1持续保险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合同当事人应与保险人保持联系，使保险人能够随时了解工程实施中的变动，并确保按保险合同条款要求持续保险。</w:t>
      </w:r>
    </w:p>
    <w:p>
      <w:pPr>
        <w:widowControl/>
        <w:wordWrap w:val="0"/>
        <w:topLinePunct/>
        <w:adjustRightInd w:val="0"/>
        <w:snapToGrid w:val="0"/>
        <w:spacing w:after="163" w:afterLines="50" w:line="360" w:lineRule="auto"/>
        <w:ind w:left="480"/>
        <w:outlineLvl w:val="3"/>
        <w:rPr>
          <w:rFonts w:ascii="宋体" w:hAnsi="宋体" w:cs="宋体"/>
        </w:rPr>
      </w:pPr>
      <w:bookmarkStart w:id="2803" w:name="_Ref4777650"/>
      <w:bookmarkEnd w:id="2803"/>
      <w:r>
        <w:rPr>
          <w:rFonts w:hint="eastAsia" w:ascii="宋体" w:hAnsi="宋体" w:cs="宋体"/>
          <w:szCs w:val="21"/>
          <w:lang w:bidi="ar"/>
        </w:rPr>
        <w:t>18.5.2保险凭证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合同当事人应及时向另一方当事人提交其已投保的各项保险的凭证和保险单复印件，保险单必须与专用合同条件约定的条件保持一致。</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18.5.3未按约定投保的补救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负有投保义务的一方当事人未按合同约定办理保险，或未能使保险持续有效的，则另一方当事人可代为办理，所需费用由负有投保义务的一方当事人承担。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负有投保</w:t>
      </w:r>
      <w:bookmarkStart w:id="2804" w:name="_Toc351203619"/>
      <w:bookmarkEnd w:id="2804"/>
      <w:bookmarkStart w:id="2805" w:name="_Toc337558834"/>
      <w:r>
        <w:rPr>
          <w:rFonts w:hint="eastAsia" w:ascii="宋体" w:hAnsi="宋体" w:cs="宋体"/>
          <w:kern w:val="0"/>
          <w:szCs w:val="21"/>
          <w:lang w:bidi="ar"/>
        </w:rPr>
        <w:t>义务的一方当事人未</w:t>
      </w:r>
      <w:bookmarkEnd w:id="2805"/>
      <w:r>
        <w:rPr>
          <w:rFonts w:hint="eastAsia" w:ascii="宋体" w:hAnsi="宋体" w:cs="宋体"/>
          <w:kern w:val="0"/>
          <w:szCs w:val="21"/>
          <w:lang w:bidi="ar"/>
        </w:rPr>
        <w:t>按合同约定办理某项保险，导致受益人未能得到足额赔偿的，由负有投保义务的一方当事人负责按照原应从该项保险得到的保险金数额进行补足。</w:t>
      </w:r>
    </w:p>
    <w:p>
      <w:pPr>
        <w:widowControl/>
        <w:wordWrap w:val="0"/>
        <w:topLinePunct/>
        <w:adjustRightInd w:val="0"/>
        <w:snapToGrid w:val="0"/>
        <w:spacing w:after="163" w:afterLines="50" w:line="360" w:lineRule="auto"/>
        <w:ind w:left="480"/>
        <w:outlineLvl w:val="3"/>
        <w:rPr>
          <w:rFonts w:ascii="宋体" w:hAnsi="宋体" w:cs="宋体"/>
        </w:rPr>
      </w:pPr>
      <w:bookmarkStart w:id="2806" w:name="_Ref4692685"/>
      <w:bookmarkEnd w:id="2806"/>
      <w:r>
        <w:rPr>
          <w:rFonts w:hint="eastAsia" w:ascii="宋体" w:hAnsi="宋体" w:cs="宋体"/>
          <w:szCs w:val="21"/>
          <w:lang w:bidi="ar"/>
        </w:rPr>
        <w:t>18.5.4通知义务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除专用合同条件另有约定外，任何一方当事人变更除工伤保险之外的保险合同时，应事先征得另一方当事人同意，并通知工程师。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保险事故发生时，投保人应按照保险合同规定的条件和期限及时向保险人报告。发包人和承包人应当在知道保险事故发生后及时通知对方。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双方按本条规定投保不减少双方在合同下的其他义务。</w:t>
      </w:r>
    </w:p>
    <w:p>
      <w:pPr>
        <w:widowControl/>
        <w:wordWrap w:val="0"/>
        <w:topLinePunct/>
        <w:adjustRightInd w:val="0"/>
        <w:snapToGrid w:val="0"/>
        <w:spacing w:after="163" w:afterLines="50" w:line="360" w:lineRule="auto"/>
        <w:outlineLvl w:val="1"/>
        <w:rPr>
          <w:rFonts w:ascii="宋体" w:hAnsi="宋体" w:cs="宋体"/>
          <w:kern w:val="0"/>
        </w:rPr>
      </w:pPr>
      <w:bookmarkStart w:id="2807" w:name="_Toc20171861"/>
      <w:bookmarkEnd w:id="2807"/>
      <w:bookmarkStart w:id="2808" w:name="_Ref11874997"/>
      <w:bookmarkStart w:id="2809" w:name="_Toc1500"/>
      <w:bookmarkStart w:id="2810" w:name="_Toc19093"/>
      <w:bookmarkStart w:id="2811" w:name="_Toc15307"/>
      <w:bookmarkStart w:id="2812" w:name="_Toc21261"/>
      <w:r>
        <w:rPr>
          <w:rFonts w:hint="eastAsia" w:ascii="宋体" w:hAnsi="宋体" w:cs="宋体"/>
          <w:kern w:val="0"/>
          <w:szCs w:val="21"/>
          <w:lang w:bidi="ar"/>
        </w:rPr>
        <w:t>第1</w:t>
      </w:r>
      <w:bookmarkEnd w:id="2808"/>
      <w:r>
        <w:rPr>
          <w:rFonts w:hint="eastAsia" w:ascii="宋体" w:hAnsi="宋体" w:cs="宋体"/>
          <w:kern w:val="0"/>
          <w:szCs w:val="21"/>
          <w:lang w:bidi="ar"/>
        </w:rPr>
        <w:t>9条  索赔</w:t>
      </w:r>
      <w:bookmarkEnd w:id="2809"/>
      <w:bookmarkEnd w:id="2810"/>
      <w:bookmarkEnd w:id="2811"/>
      <w:bookmarkEnd w:id="2812"/>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813" w:name="_Ref4798164"/>
      <w:bookmarkEnd w:id="2813"/>
      <w:bookmarkStart w:id="2814" w:name="_Toc20171862"/>
      <w:bookmarkEnd w:id="2814"/>
      <w:bookmarkStart w:id="2815" w:name="_Ref4798173"/>
      <w:bookmarkStart w:id="2816" w:name="_Toc51766714"/>
      <w:bookmarkStart w:id="2817" w:name="_Toc20063"/>
      <w:bookmarkStart w:id="2818" w:name="_Toc27067"/>
      <w:bookmarkStart w:id="2819" w:name="_Toc58860301"/>
      <w:bookmarkStart w:id="2820" w:name="_Toc29365"/>
      <w:bookmarkStart w:id="2821" w:name="_Toc22603"/>
      <w:bookmarkStart w:id="2822" w:name="_Toc13553"/>
      <w:bookmarkStart w:id="2823" w:name="_Toc84930850"/>
      <w:bookmarkStart w:id="2824" w:name="_Toc24381"/>
      <w:r>
        <w:rPr>
          <w:rFonts w:hint="eastAsia" w:ascii="宋体" w:hAnsi="宋体" w:cs="宋体"/>
          <w:szCs w:val="21"/>
          <w:lang w:bidi="ar"/>
        </w:rPr>
        <w:t>1</w:t>
      </w:r>
      <w:bookmarkEnd w:id="2815"/>
      <w:r>
        <w:rPr>
          <w:rFonts w:hint="eastAsia" w:ascii="宋体" w:hAnsi="宋体" w:cs="宋体"/>
          <w:szCs w:val="21"/>
          <w:lang w:bidi="ar"/>
        </w:rPr>
        <w:t xml:space="preserve">9.1  </w:t>
      </w:r>
      <w:bookmarkEnd w:id="2816"/>
      <w:bookmarkEnd w:id="2817"/>
      <w:r>
        <w:rPr>
          <w:rFonts w:hint="eastAsia" w:ascii="宋体" w:hAnsi="宋体" w:cs="宋体"/>
          <w:szCs w:val="21"/>
          <w:lang w:bidi="ar"/>
        </w:rPr>
        <w:t>索赔的提出</w:t>
      </w:r>
      <w:bookmarkEnd w:id="2818"/>
      <w:bookmarkEnd w:id="2819"/>
      <w:bookmarkEnd w:id="2820"/>
      <w:bookmarkEnd w:id="2821"/>
      <w:bookmarkEnd w:id="2822"/>
      <w:bookmarkEnd w:id="2823"/>
      <w:bookmarkEnd w:id="2824"/>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根据合同约定，任意一方认为有权得到追加/减少付款、延长缺陷责任期和（或）延长工期的，应按以下程序向对方提出索赔：</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（2）索赔方应在发出索赔意向通知书后28天内，向对方正式递交索赔报告；索赔报告应详细说明索赔理由以及要求追加/减少的付款金额、延长缺陷责任期和（或）延长的工期，并附必要的记录和证明材料；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（3）索赔事件具有持续影响的，索赔方应每月递交延续索赔通知，说明持续影响的实际情况和记录，列出累计的追加/减少付款金额、延长缺陷责任期和（或）工期延长天数；</w:t>
      </w:r>
    </w:p>
    <w:p>
      <w:pPr>
        <w:widowControl/>
        <w:adjustRightInd w:val="0"/>
        <w:snapToGrid w:val="0"/>
        <w:spacing w:after="163" w:afterLines="50" w:line="360" w:lineRule="auto"/>
        <w:ind w:firstLine="420" w:firstLineChars="200"/>
        <w:rPr>
          <w:rFonts w:ascii="宋体" w:hAnsi="宋体" w:cs="宋体"/>
          <w:kern w:val="0"/>
          <w:szCs w:val="21"/>
          <w:lang w:bidi="ar"/>
        </w:rPr>
      </w:pPr>
      <w:bookmarkStart w:id="2825" w:name="_Ref4796178"/>
      <w:bookmarkEnd w:id="2825"/>
      <w:r>
        <w:rPr>
          <w:rFonts w:hint="eastAsia" w:ascii="宋体" w:hAnsi="宋体" w:cs="宋体"/>
          <w:kern w:val="0"/>
          <w:szCs w:val="21"/>
          <w:lang w:bidi="ar"/>
        </w:rPr>
        <w:t>（4）在索赔事件影响结束后28天内，索赔方应向对方递交最终索赔报告，说明最终要求索赔的追加/减少付款金额、延长缺陷责任期和（或）延长的工期，并附必要的记录和证明材料。</w:t>
      </w:r>
    </w:p>
    <w:p>
      <w:pPr>
        <w:widowControl/>
        <w:adjustRightInd w:val="0"/>
        <w:snapToGrid w:val="0"/>
        <w:spacing w:after="163" w:afterLines="50" w:line="360" w:lineRule="auto"/>
        <w:ind w:firstLine="420" w:firstLineChars="200"/>
      </w:pPr>
      <w:r>
        <w:rPr>
          <w:rFonts w:hint="eastAsia"/>
        </w:rPr>
        <w:t>（5） 承包人作为索赔方时，其索赔意向通知书、索赔报告及相关索赔文件应向工程师提出；发包人作为索赔方时，其索赔意向通知书、索赔报告及相关索赔文件可自行向承包人提出或由工程师向承包人提出。</w:t>
      </w:r>
    </w:p>
    <w:p>
      <w:pPr>
        <w:widowControl/>
        <w:wordWrap w:val="0"/>
        <w:topLinePunct/>
        <w:adjustRightInd w:val="0"/>
        <w:snapToGrid w:val="0"/>
        <w:spacing w:after="163" w:afterLines="50" w:line="360" w:lineRule="auto"/>
        <w:outlineLvl w:val="2"/>
        <w:rPr>
          <w:rFonts w:ascii="宋体" w:hAnsi="宋体" w:cs="宋体"/>
        </w:rPr>
      </w:pPr>
      <w:bookmarkStart w:id="2826" w:name="_Toc20171863"/>
      <w:bookmarkEnd w:id="2826"/>
      <w:bookmarkStart w:id="2827" w:name="_Ref4796254"/>
      <w:bookmarkEnd w:id="2827"/>
      <w:bookmarkStart w:id="2828" w:name="_Ref4796262"/>
      <w:bookmarkStart w:id="2829" w:name="_Toc51766715"/>
      <w:bookmarkStart w:id="2830" w:name="_Toc22504"/>
      <w:bookmarkStart w:id="2831" w:name="_Toc58860302"/>
      <w:bookmarkStart w:id="2832" w:name="_Toc1590"/>
      <w:bookmarkStart w:id="2833" w:name="_Toc29558"/>
      <w:bookmarkStart w:id="2834" w:name="_Toc24714"/>
      <w:bookmarkStart w:id="2835" w:name="_Toc2896"/>
      <w:bookmarkStart w:id="2836" w:name="_Toc84930851"/>
      <w:bookmarkStart w:id="2837" w:name="_Toc12035"/>
      <w:r>
        <w:rPr>
          <w:rFonts w:hint="eastAsia" w:ascii="宋体" w:hAnsi="宋体" w:cs="宋体"/>
          <w:szCs w:val="21"/>
          <w:lang w:bidi="ar"/>
        </w:rPr>
        <w:t>1</w:t>
      </w:r>
      <w:bookmarkEnd w:id="2828"/>
      <w:r>
        <w:rPr>
          <w:rFonts w:hint="eastAsia" w:ascii="宋体" w:hAnsi="宋体" w:cs="宋体"/>
          <w:szCs w:val="21"/>
          <w:lang w:bidi="ar"/>
        </w:rPr>
        <w:t>9.2  承包人索赔的处理程序</w:t>
      </w:r>
      <w:bookmarkEnd w:id="2829"/>
      <w:bookmarkEnd w:id="2830"/>
      <w:bookmarkEnd w:id="2831"/>
      <w:bookmarkEnd w:id="2832"/>
      <w:bookmarkEnd w:id="2833"/>
      <w:bookmarkEnd w:id="2834"/>
      <w:bookmarkEnd w:id="2835"/>
      <w:bookmarkEnd w:id="2836"/>
      <w:bookmarkEnd w:id="283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（1）工程师收到承包人提交的索赔报告后，应及时审查索赔报告的内容、查验承包人的记录和证明材料，必要时工程师可要求承包人提交全部原始记录副本。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（3）承包人接受索赔处理结果的，发包人应在作出索赔处理结果答复后28天内完成支付。承包人不接受索赔处理结果的，按照第20条[争议解决]约定处理。</w:t>
      </w:r>
    </w:p>
    <w:p>
      <w:pPr>
        <w:widowControl/>
        <w:wordWrap w:val="0"/>
        <w:topLinePunct/>
        <w:adjustRightInd w:val="0"/>
        <w:snapToGrid w:val="0"/>
        <w:spacing w:after="163" w:afterLines="50" w:line="360" w:lineRule="auto"/>
        <w:outlineLvl w:val="2"/>
        <w:rPr>
          <w:rFonts w:ascii="宋体" w:hAnsi="宋体" w:cs="宋体"/>
        </w:rPr>
      </w:pPr>
      <w:bookmarkStart w:id="2838" w:name="_Ref16542153"/>
      <w:bookmarkEnd w:id="2838"/>
      <w:bookmarkStart w:id="2839" w:name="_Toc20171865"/>
      <w:bookmarkEnd w:id="2839"/>
      <w:bookmarkStart w:id="2840" w:name="_Ref16542123"/>
      <w:bookmarkEnd w:id="2840"/>
      <w:bookmarkStart w:id="2841" w:name="_Toc2719"/>
      <w:bookmarkStart w:id="2842" w:name="_Toc58860303"/>
      <w:bookmarkStart w:id="2843" w:name="_Toc51766717"/>
      <w:bookmarkStart w:id="2844" w:name="_Toc8743"/>
      <w:bookmarkStart w:id="2845" w:name="_Toc20957"/>
      <w:bookmarkStart w:id="2846" w:name="_Toc84930852"/>
      <w:bookmarkStart w:id="2847" w:name="_Toc21043"/>
      <w:bookmarkStart w:id="2848" w:name="_Toc28462"/>
      <w:bookmarkStart w:id="2849" w:name="_Toc29029"/>
      <w:r>
        <w:rPr>
          <w:rFonts w:hint="eastAsia" w:ascii="宋体" w:hAnsi="宋体" w:cs="宋体"/>
          <w:szCs w:val="21"/>
          <w:lang w:bidi="ar"/>
        </w:rPr>
        <w:t>19.3  发包人索赔的处理程序</w:t>
      </w:r>
      <w:bookmarkEnd w:id="2841"/>
      <w:bookmarkEnd w:id="2842"/>
      <w:bookmarkEnd w:id="2843"/>
      <w:bookmarkEnd w:id="2844"/>
      <w:bookmarkEnd w:id="2845"/>
      <w:bookmarkEnd w:id="2846"/>
      <w:bookmarkEnd w:id="2847"/>
      <w:bookmarkEnd w:id="2848"/>
      <w:bookmarkEnd w:id="284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（1）承包人收到发包人提交的索赔报告后，应及时审查索赔报告的内容、查验发包人证明材料；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（2）承包人应在收到上述索赔报告或有关索赔的进一步证明材料后42天内，将索赔处理结果答复发包人。承包人在收到索赔通知书或有关索赔的进一步证明材料后的42天内不予答复的，视为认可索赔。</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（3）发包人接受索赔处理结果的，发包人可从应支付给承包人的合同价款中扣除赔付的金额或延长缺陷责任期；发包人不接受索赔处理结果的，按第20条[争议解决]约定处理。</w:t>
      </w:r>
    </w:p>
    <w:p>
      <w:pPr>
        <w:widowControl/>
        <w:wordWrap w:val="0"/>
        <w:topLinePunct/>
        <w:adjustRightInd w:val="0"/>
        <w:snapToGrid w:val="0"/>
        <w:spacing w:after="163" w:afterLines="50" w:line="360" w:lineRule="auto"/>
        <w:outlineLvl w:val="2"/>
        <w:rPr>
          <w:rFonts w:ascii="宋体" w:hAnsi="宋体" w:cs="宋体"/>
        </w:rPr>
      </w:pPr>
      <w:bookmarkStart w:id="2850" w:name="_Toc20171866"/>
      <w:bookmarkEnd w:id="2850"/>
      <w:bookmarkStart w:id="2851" w:name="_Toc58860304"/>
      <w:bookmarkStart w:id="2852" w:name="_Toc12092"/>
      <w:bookmarkStart w:id="2853" w:name="_Toc84930853"/>
      <w:bookmarkStart w:id="2854" w:name="_Toc11875"/>
      <w:bookmarkStart w:id="2855" w:name="_Toc2166"/>
      <w:bookmarkStart w:id="2856" w:name="_Toc12705"/>
      <w:bookmarkStart w:id="2857" w:name="_Toc32531"/>
      <w:bookmarkStart w:id="2858" w:name="_Toc51766718"/>
      <w:bookmarkStart w:id="2859" w:name="_Toc10514"/>
      <w:r>
        <w:rPr>
          <w:rFonts w:hint="eastAsia" w:ascii="宋体" w:hAnsi="宋体" w:cs="宋体"/>
          <w:szCs w:val="21"/>
          <w:lang w:bidi="ar"/>
        </w:rPr>
        <w:t>19.4  提出索赔的期限</w:t>
      </w:r>
      <w:bookmarkEnd w:id="2851"/>
      <w:bookmarkEnd w:id="2852"/>
      <w:bookmarkEnd w:id="2853"/>
      <w:bookmarkEnd w:id="2854"/>
      <w:bookmarkEnd w:id="2855"/>
      <w:bookmarkEnd w:id="2856"/>
      <w:bookmarkEnd w:id="2857"/>
      <w:bookmarkEnd w:id="2858"/>
      <w:bookmarkEnd w:id="285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（1）承包人按第14.5款[竣工结算]约定接收竣工付款证书后，应被认为已无权再提出在合同工程接收证书颁发前所发生的任何索赔。</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（2）承包人按第14.7款[最终结清]提交的最终结清申请单中，只限于提出工程接收证书颁发后发生的索赔。提出索赔的期限均自接受最终结清证书时终止。</w:t>
      </w:r>
    </w:p>
    <w:p>
      <w:pPr>
        <w:widowControl/>
        <w:wordWrap w:val="0"/>
        <w:topLinePunct/>
        <w:adjustRightInd w:val="0"/>
        <w:snapToGrid w:val="0"/>
        <w:spacing w:after="163" w:afterLines="50" w:line="360" w:lineRule="auto"/>
        <w:outlineLvl w:val="1"/>
        <w:rPr>
          <w:rFonts w:ascii="宋体" w:hAnsi="宋体" w:cs="宋体"/>
          <w:kern w:val="0"/>
        </w:rPr>
      </w:pPr>
      <w:bookmarkStart w:id="2860" w:name="_Ref532142075"/>
      <w:bookmarkEnd w:id="2860"/>
      <w:bookmarkStart w:id="2861" w:name="_Toc20171867"/>
      <w:bookmarkEnd w:id="2861"/>
      <w:bookmarkStart w:id="2862" w:name="_Ref532197861"/>
      <w:bookmarkStart w:id="2863" w:name="_Toc11275"/>
      <w:bookmarkStart w:id="2864" w:name="_Toc8529"/>
      <w:bookmarkStart w:id="2865" w:name="_Toc7203"/>
      <w:bookmarkStart w:id="2866" w:name="_Toc2497"/>
      <w:r>
        <w:rPr>
          <w:rFonts w:hint="eastAsia" w:ascii="宋体" w:hAnsi="宋体" w:cs="宋体"/>
          <w:kern w:val="0"/>
          <w:szCs w:val="21"/>
          <w:lang w:bidi="ar"/>
        </w:rPr>
        <w:t>第2</w:t>
      </w:r>
      <w:bookmarkEnd w:id="2862"/>
      <w:r>
        <w:rPr>
          <w:rFonts w:hint="eastAsia" w:ascii="宋体" w:hAnsi="宋体" w:cs="宋体"/>
          <w:kern w:val="0"/>
          <w:szCs w:val="21"/>
          <w:lang w:bidi="ar"/>
        </w:rPr>
        <w:t>0条  争议解决</w:t>
      </w:r>
      <w:bookmarkEnd w:id="2863"/>
      <w:bookmarkEnd w:id="2864"/>
      <w:bookmarkEnd w:id="2865"/>
      <w:bookmarkEnd w:id="2866"/>
      <w:r>
        <w:rPr>
          <w:rFonts w:hint="eastAsia" w:ascii="宋体" w:hAnsi="宋体" w:cs="宋体"/>
          <w:kern w:val="0"/>
          <w:szCs w:val="21"/>
          <w:lang w:bidi="ar"/>
        </w:rPr>
        <w:t xml:space="preserve"> </w:t>
      </w:r>
    </w:p>
    <w:p>
      <w:pPr>
        <w:widowControl/>
        <w:wordWrap w:val="0"/>
        <w:topLinePunct/>
        <w:adjustRightInd w:val="0"/>
        <w:snapToGrid w:val="0"/>
        <w:spacing w:after="163" w:afterLines="50" w:line="360" w:lineRule="auto"/>
        <w:outlineLvl w:val="2"/>
        <w:rPr>
          <w:rFonts w:ascii="宋体" w:hAnsi="宋体" w:cs="宋体"/>
        </w:rPr>
      </w:pPr>
      <w:bookmarkStart w:id="2867" w:name="_Toc20171868"/>
      <w:bookmarkEnd w:id="2867"/>
      <w:bookmarkStart w:id="2868" w:name="_Ref415507198"/>
      <w:bookmarkStart w:id="2869" w:name="_Toc51766720"/>
      <w:bookmarkStart w:id="2870" w:name="_Toc19970"/>
      <w:bookmarkStart w:id="2871" w:name="_Toc29882"/>
      <w:bookmarkStart w:id="2872" w:name="_Toc58860306"/>
      <w:bookmarkStart w:id="2873" w:name="_Toc4865"/>
      <w:bookmarkStart w:id="2874" w:name="_Toc18972"/>
      <w:bookmarkStart w:id="2875" w:name="_Toc84930855"/>
      <w:bookmarkStart w:id="2876" w:name="_Toc9119"/>
      <w:bookmarkStart w:id="2877" w:name="_Toc26122"/>
      <w:r>
        <w:rPr>
          <w:rFonts w:hint="eastAsia" w:ascii="宋体" w:hAnsi="宋体" w:cs="宋体"/>
          <w:szCs w:val="21"/>
          <w:lang w:bidi="ar"/>
        </w:rPr>
        <w:t>2</w:t>
      </w:r>
      <w:bookmarkEnd w:id="2868"/>
      <w:r>
        <w:rPr>
          <w:rFonts w:hint="eastAsia" w:ascii="宋体" w:hAnsi="宋体" w:cs="宋体"/>
          <w:szCs w:val="21"/>
          <w:lang w:bidi="ar"/>
        </w:rPr>
        <w:t>0.1  和解</w:t>
      </w:r>
      <w:bookmarkEnd w:id="2869"/>
      <w:bookmarkEnd w:id="2870"/>
      <w:bookmarkEnd w:id="2871"/>
      <w:bookmarkEnd w:id="2872"/>
      <w:bookmarkEnd w:id="2873"/>
      <w:bookmarkEnd w:id="2874"/>
      <w:bookmarkEnd w:id="2875"/>
      <w:bookmarkEnd w:id="2876"/>
      <w:bookmarkEnd w:id="287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合同当事人可以就争议自行和解，自行和解达成协议的经双方签名并盖章后作为合同补充文件，双方均应遵照执行。</w:t>
      </w:r>
    </w:p>
    <w:p>
      <w:pPr>
        <w:widowControl/>
        <w:wordWrap w:val="0"/>
        <w:topLinePunct/>
        <w:adjustRightInd w:val="0"/>
        <w:snapToGrid w:val="0"/>
        <w:spacing w:after="163" w:afterLines="50" w:line="360" w:lineRule="auto"/>
        <w:outlineLvl w:val="2"/>
        <w:rPr>
          <w:rFonts w:ascii="宋体" w:hAnsi="宋体" w:cs="宋体"/>
        </w:rPr>
      </w:pPr>
      <w:bookmarkStart w:id="2878" w:name="_Toc20171869"/>
      <w:bookmarkEnd w:id="2878"/>
      <w:bookmarkStart w:id="2879" w:name="_Toc445"/>
      <w:bookmarkStart w:id="2880" w:name="_Toc18346"/>
      <w:bookmarkStart w:id="2881" w:name="_Toc51766721"/>
      <w:bookmarkStart w:id="2882" w:name="_Toc20305"/>
      <w:bookmarkStart w:id="2883" w:name="_Toc84930856"/>
      <w:bookmarkStart w:id="2884" w:name="_Toc24901"/>
      <w:bookmarkStart w:id="2885" w:name="_Toc16833"/>
      <w:bookmarkStart w:id="2886" w:name="_Toc58860307"/>
      <w:bookmarkStart w:id="2887" w:name="_Toc7305"/>
      <w:r>
        <w:rPr>
          <w:rFonts w:hint="eastAsia" w:ascii="宋体" w:hAnsi="宋体" w:cs="宋体"/>
          <w:szCs w:val="21"/>
          <w:lang w:bidi="ar"/>
        </w:rPr>
        <w:t>20.2  调解</w:t>
      </w:r>
      <w:bookmarkEnd w:id="2879"/>
      <w:bookmarkEnd w:id="2880"/>
      <w:bookmarkEnd w:id="2881"/>
      <w:bookmarkEnd w:id="2882"/>
      <w:bookmarkEnd w:id="2883"/>
      <w:bookmarkEnd w:id="2884"/>
      <w:bookmarkEnd w:id="2885"/>
      <w:bookmarkEnd w:id="2886"/>
      <w:bookmarkEnd w:id="2887"/>
      <w:r>
        <w:rPr>
          <w:rFonts w:hint="eastAsia" w:ascii="宋体" w:hAnsi="宋体" w:cs="宋体"/>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合同当事人可以就争议请求建设行政主管部门、行业协会或其他第三方进行调解，调解达成协议的，经双方签名盖章后作为合同补充文件，双方均应遵照执行。</w:t>
      </w:r>
    </w:p>
    <w:p>
      <w:pPr>
        <w:widowControl/>
        <w:wordWrap w:val="0"/>
        <w:topLinePunct/>
        <w:adjustRightInd w:val="0"/>
        <w:snapToGrid w:val="0"/>
        <w:spacing w:after="163" w:afterLines="50" w:line="360" w:lineRule="auto"/>
        <w:outlineLvl w:val="2"/>
        <w:rPr>
          <w:rFonts w:ascii="宋体" w:hAnsi="宋体" w:cs="宋体"/>
        </w:rPr>
      </w:pPr>
      <w:bookmarkStart w:id="2888" w:name="_Toc20171870"/>
      <w:bookmarkEnd w:id="2888"/>
      <w:bookmarkStart w:id="2889" w:name="_Ref532221532"/>
      <w:bookmarkEnd w:id="2889"/>
      <w:bookmarkStart w:id="2890" w:name="_Ref532221527"/>
      <w:bookmarkStart w:id="2891" w:name="_Toc11725"/>
      <w:bookmarkStart w:id="2892" w:name="_Toc84930857"/>
      <w:bookmarkStart w:id="2893" w:name="_Toc24716"/>
      <w:bookmarkStart w:id="2894" w:name="_Toc58860308"/>
      <w:bookmarkStart w:id="2895" w:name="_Toc26772"/>
      <w:bookmarkStart w:id="2896" w:name="_Toc26564"/>
      <w:bookmarkStart w:id="2897" w:name="_Toc11295"/>
      <w:bookmarkStart w:id="2898" w:name="_Toc51766722"/>
      <w:bookmarkStart w:id="2899" w:name="_Toc13931"/>
      <w:r>
        <w:rPr>
          <w:rFonts w:hint="eastAsia" w:ascii="宋体" w:hAnsi="宋体" w:cs="宋体"/>
          <w:szCs w:val="21"/>
          <w:lang w:bidi="ar"/>
        </w:rPr>
        <w:t>2</w:t>
      </w:r>
      <w:bookmarkEnd w:id="2890"/>
      <w:r>
        <w:rPr>
          <w:rFonts w:hint="eastAsia" w:ascii="宋体" w:hAnsi="宋体" w:cs="宋体"/>
          <w:szCs w:val="21"/>
          <w:lang w:bidi="ar"/>
        </w:rPr>
        <w:t>0.3  争议评审</w:t>
      </w:r>
      <w:bookmarkEnd w:id="2891"/>
      <w:bookmarkEnd w:id="2892"/>
      <w:bookmarkEnd w:id="2893"/>
      <w:bookmarkEnd w:id="2894"/>
      <w:bookmarkEnd w:id="2895"/>
      <w:bookmarkEnd w:id="2896"/>
      <w:bookmarkEnd w:id="2897"/>
      <w:bookmarkEnd w:id="2898"/>
      <w:bookmarkEnd w:id="289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合同当事人在专用合同条件中约定采取争议评审方式及评审规则解决争议的，按下列约定执行：</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20.3.1争议评审小组的确定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除专用合同条件另有约定外，争议评审员报酬由发包人和承包人各承担一半。</w:t>
      </w:r>
    </w:p>
    <w:p>
      <w:pPr>
        <w:widowControl/>
        <w:wordWrap w:val="0"/>
        <w:topLinePunct/>
        <w:adjustRightInd w:val="0"/>
        <w:snapToGrid w:val="0"/>
        <w:spacing w:after="163" w:afterLines="50" w:line="360" w:lineRule="auto"/>
        <w:ind w:left="480"/>
        <w:outlineLvl w:val="3"/>
        <w:rPr>
          <w:rFonts w:ascii="宋体" w:hAnsi="宋体" w:cs="宋体"/>
        </w:rPr>
      </w:pPr>
      <w:bookmarkStart w:id="2900" w:name="_Ref532287270"/>
      <w:bookmarkEnd w:id="2900"/>
      <w:r>
        <w:rPr>
          <w:rFonts w:hint="eastAsia" w:ascii="宋体" w:hAnsi="宋体" w:cs="宋体"/>
          <w:szCs w:val="21"/>
          <w:lang w:bidi="ar"/>
        </w:rPr>
        <w:t>20.3.2争议的避免</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合同当事人协商一致，可以共同书面请求争议评审小组，就合同履行过程中可能出现争议的情况提供协助或进行非正式讨论，争议评审小组应给出公正的意见或建议。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此类协助或非正式讨论可在任何会议、施工现场视察或其他场合进行，并且除专用合同条件另有约定外，发包人和承包人均应出席。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争议评审小组在此类非正式讨论上给出的任何意见或建议，无论是口头还是书面的，对发包人和承包人不具有约束力，争议评审小组在之后的争议评审程序或决定中也不受此类意见或建议的约束。</w:t>
      </w:r>
    </w:p>
    <w:p>
      <w:pPr>
        <w:widowControl/>
        <w:wordWrap w:val="0"/>
        <w:topLinePunct/>
        <w:adjustRightInd w:val="0"/>
        <w:snapToGrid w:val="0"/>
        <w:spacing w:after="163" w:afterLines="50" w:line="360" w:lineRule="auto"/>
        <w:ind w:left="480"/>
        <w:outlineLvl w:val="3"/>
        <w:rPr>
          <w:rFonts w:ascii="宋体" w:hAnsi="宋体" w:cs="宋体"/>
        </w:rPr>
      </w:pPr>
      <w:bookmarkStart w:id="2901" w:name="_Ref4695594"/>
      <w:bookmarkEnd w:id="2901"/>
      <w:r>
        <w:rPr>
          <w:rFonts w:hint="eastAsia" w:ascii="宋体" w:hAnsi="宋体" w:cs="宋体"/>
          <w:szCs w:val="21"/>
          <w:lang w:bidi="ar"/>
        </w:rPr>
        <w:t>20.3.3争议评审小组的决定</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20.3.4争议评审小组决定的效力</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争议评审小组作出的书面决定经合同当事人签名确认后，对双方具有约束力，双方应遵照执行。</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任何一方当事人不接受争议评审小组决定或不履行争议评审小组决定的，双方可选择采用其他争议解决方式。</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任何一方当事人不接受争议评审小组的决定，并不影响暂时执行争议评审小组的决定，直到在后续的采用其他争议解决方式中对争议评审小组的决定进行了改变。</w:t>
      </w:r>
    </w:p>
    <w:p>
      <w:pPr>
        <w:widowControl/>
        <w:wordWrap w:val="0"/>
        <w:topLinePunct/>
        <w:adjustRightInd w:val="0"/>
        <w:snapToGrid w:val="0"/>
        <w:spacing w:after="163" w:afterLines="50" w:line="360" w:lineRule="auto"/>
        <w:outlineLvl w:val="2"/>
        <w:rPr>
          <w:rFonts w:ascii="宋体" w:hAnsi="宋体" w:cs="宋体"/>
        </w:rPr>
      </w:pPr>
      <w:bookmarkStart w:id="2902" w:name="_Ref532221748"/>
      <w:bookmarkEnd w:id="2902"/>
      <w:bookmarkStart w:id="2903" w:name="_Toc20171871"/>
      <w:bookmarkEnd w:id="2903"/>
      <w:bookmarkStart w:id="2904" w:name="_Ref532221752"/>
      <w:bookmarkStart w:id="2905" w:name="_Toc51766723"/>
      <w:bookmarkStart w:id="2906" w:name="_Toc26665"/>
      <w:bookmarkStart w:id="2907" w:name="_Toc30486"/>
      <w:bookmarkStart w:id="2908" w:name="_Toc58860309"/>
      <w:bookmarkStart w:id="2909" w:name="_Toc84930858"/>
      <w:bookmarkStart w:id="2910" w:name="_Toc16764"/>
      <w:bookmarkStart w:id="2911" w:name="_Toc26896"/>
      <w:bookmarkStart w:id="2912" w:name="_Toc11926"/>
      <w:bookmarkStart w:id="2913" w:name="_Toc12113"/>
      <w:r>
        <w:rPr>
          <w:rFonts w:hint="eastAsia" w:ascii="宋体" w:hAnsi="宋体" w:cs="宋体"/>
          <w:szCs w:val="21"/>
          <w:lang w:bidi="ar"/>
        </w:rPr>
        <w:t>2</w:t>
      </w:r>
      <w:bookmarkEnd w:id="2904"/>
      <w:r>
        <w:rPr>
          <w:rFonts w:hint="eastAsia" w:ascii="宋体" w:hAnsi="宋体" w:cs="宋体"/>
          <w:szCs w:val="21"/>
          <w:lang w:bidi="ar"/>
        </w:rPr>
        <w:t>0.4  仲裁或诉讼</w:t>
      </w:r>
      <w:bookmarkEnd w:id="2905"/>
      <w:bookmarkEnd w:id="2906"/>
      <w:bookmarkEnd w:id="2907"/>
      <w:bookmarkEnd w:id="2908"/>
      <w:bookmarkEnd w:id="2909"/>
      <w:bookmarkEnd w:id="2910"/>
      <w:bookmarkEnd w:id="2911"/>
      <w:bookmarkEnd w:id="2912"/>
      <w:bookmarkEnd w:id="291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因合同及合同有关事项产生的争议，合同当事人可以在专用合同条件中约定以下一种方式解决争议：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（1）向约定的仲裁委员会申请仲裁；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（2）向有管辖权的人民法院起诉。</w:t>
      </w:r>
    </w:p>
    <w:p>
      <w:pPr>
        <w:widowControl/>
        <w:wordWrap w:val="0"/>
        <w:topLinePunct/>
        <w:adjustRightInd w:val="0"/>
        <w:snapToGrid w:val="0"/>
        <w:spacing w:after="163" w:afterLines="50" w:line="360" w:lineRule="auto"/>
        <w:outlineLvl w:val="2"/>
        <w:rPr>
          <w:rFonts w:ascii="宋体" w:hAnsi="宋体" w:cs="宋体"/>
        </w:rPr>
      </w:pPr>
      <w:bookmarkStart w:id="2914" w:name="_Toc20171872"/>
      <w:bookmarkEnd w:id="2914"/>
      <w:bookmarkStart w:id="2915" w:name="_Toc20256"/>
      <w:bookmarkStart w:id="2916" w:name="_Toc84930859"/>
      <w:bookmarkStart w:id="2917" w:name="_Toc9803"/>
      <w:bookmarkStart w:id="2918" w:name="_Toc51766724"/>
      <w:bookmarkStart w:id="2919" w:name="_Toc7709"/>
      <w:bookmarkStart w:id="2920" w:name="_Toc15171"/>
      <w:bookmarkStart w:id="2921" w:name="_Toc58860310"/>
      <w:bookmarkStart w:id="2922" w:name="_Toc6499"/>
      <w:bookmarkStart w:id="2923" w:name="_Toc30411"/>
      <w:r>
        <w:rPr>
          <w:rFonts w:hint="eastAsia" w:ascii="宋体" w:hAnsi="宋体" w:cs="宋体"/>
          <w:szCs w:val="21"/>
          <w:lang w:bidi="ar"/>
        </w:rPr>
        <w:t>20.5  争议解决条款效力</w:t>
      </w:r>
      <w:bookmarkEnd w:id="2915"/>
      <w:bookmarkEnd w:id="2916"/>
      <w:bookmarkEnd w:id="2917"/>
      <w:bookmarkEnd w:id="2918"/>
      <w:bookmarkEnd w:id="2919"/>
      <w:bookmarkEnd w:id="2920"/>
      <w:bookmarkEnd w:id="2921"/>
      <w:bookmarkEnd w:id="2922"/>
      <w:bookmarkEnd w:id="292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合同有关争议解决的条款独立存在，合同的不生效、无效、被撤销或者终止的，不影响合同中有关争议解决条款的效力。</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szCs w:val="21"/>
          <w:lang w:bidi="ar"/>
        </w:rPr>
        <w:br w:type="page"/>
      </w:r>
    </w:p>
    <w:p>
      <w:pPr>
        <w:widowControl/>
        <w:adjustRightInd w:val="0"/>
        <w:snapToGrid w:val="0"/>
        <w:spacing w:after="50" w:line="360" w:lineRule="auto"/>
        <w:jc w:val="center"/>
        <w:outlineLvl w:val="0"/>
        <w:rPr>
          <w:rFonts w:ascii="宋体" w:hAnsi="宋体" w:cs="宋体"/>
          <w:b/>
          <w:kern w:val="44"/>
        </w:rPr>
      </w:pPr>
      <w:bookmarkStart w:id="2924" w:name="_Toc20171873"/>
      <w:bookmarkEnd w:id="2924"/>
      <w:bookmarkStart w:id="2925" w:name="_Toc31256"/>
      <w:bookmarkStart w:id="2926" w:name="_Toc11388"/>
      <w:bookmarkStart w:id="2927" w:name="_Toc21115"/>
      <w:r>
        <w:rPr>
          <w:rFonts w:hint="eastAsia" w:ascii="宋体" w:hAnsi="宋体" w:cs="宋体"/>
          <w:b/>
          <w:kern w:val="44"/>
          <w:szCs w:val="21"/>
          <w:lang w:bidi="ar"/>
        </w:rPr>
        <w:t>第三部分 专用合同条件</w:t>
      </w:r>
      <w:bookmarkEnd w:id="2925"/>
      <w:bookmarkEnd w:id="2926"/>
      <w:bookmarkEnd w:id="2927"/>
    </w:p>
    <w:p>
      <w:pPr>
        <w:widowControl/>
        <w:adjustRightInd w:val="0"/>
        <w:snapToGrid w:val="0"/>
        <w:spacing w:after="163" w:afterLines="50" w:line="360" w:lineRule="auto"/>
        <w:outlineLvl w:val="1"/>
        <w:rPr>
          <w:rFonts w:ascii="宋体" w:hAnsi="宋体" w:cs="Times"/>
          <w:kern w:val="0"/>
        </w:rPr>
      </w:pPr>
      <w:bookmarkStart w:id="2928" w:name="_Toc20171874"/>
      <w:bookmarkEnd w:id="2928"/>
      <w:bookmarkStart w:id="2929" w:name="_Toc29518"/>
      <w:bookmarkStart w:id="2930" w:name="_Toc3026"/>
      <w:bookmarkStart w:id="2931" w:name="_Toc7398"/>
      <w:bookmarkStart w:id="2932" w:name="_Toc16171"/>
      <w:r>
        <w:rPr>
          <w:rFonts w:hint="eastAsia" w:ascii="宋体" w:hAnsi="宋体" w:cs="Times"/>
          <w:kern w:val="0"/>
          <w:szCs w:val="21"/>
          <w:lang w:bidi="ar"/>
        </w:rPr>
        <w:t xml:space="preserve">第1条 </w:t>
      </w:r>
      <w:bookmarkStart w:id="2933" w:name="_Toc521267453"/>
      <w:bookmarkEnd w:id="2933"/>
      <w:r>
        <w:rPr>
          <w:rFonts w:hint="eastAsia" w:ascii="宋体" w:hAnsi="宋体" w:cs="Times"/>
          <w:kern w:val="0"/>
          <w:szCs w:val="21"/>
          <w:lang w:bidi="ar"/>
        </w:rPr>
        <w:t>一般约定</w:t>
      </w:r>
      <w:bookmarkEnd w:id="2929"/>
      <w:bookmarkEnd w:id="2930"/>
      <w:bookmarkEnd w:id="2931"/>
      <w:bookmarkEnd w:id="2932"/>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 词语定义和解释</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1.1.1 合同</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1.1.1.7项目清单：是指发包人提供的载明工程总承包项目勘察费（如果有）、设计费、建筑安装工程费、专业设备材料费（如果有）、暂估价、暂列金额和双方约定的其他费用的名称和相应数量等内容的项目明细。本合同所称“专业设备材料费”是指：为实现项目的生产、处置等特殊功能需要的专业设备材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1.1.1.10 其他合同文件：</w:t>
      </w:r>
      <w:r>
        <w:rPr>
          <w:rFonts w:hint="eastAsia" w:ascii="宋体" w:hAnsi="宋体" w:cs="宋体"/>
          <w:kern w:val="0"/>
          <w:szCs w:val="21"/>
          <w:u w:val="single"/>
          <w:lang w:bidi="ar"/>
        </w:rPr>
        <w:t>按照合同协议书[第六条]约定执行</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本项补充1.1.1.11～1.1.1.12目：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1.1.1.11 招标文件：指本工程的招标文件、图纸、其他技术资料及招标人发出的对招标文件所作的澄清、修改等资料。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1.1.1.12 投标文件：指承包人参与本工程招标所提供的满足招标文件要求的文件及承包人对投标文件所作的澄清、修改等资料。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 合同当事人及其他相关方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本项补充1.1.2.12～1.1.2.14目：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1.1.2.12 监理人：是指在专用合同条件中指明的，受发包人委托按照法律规定进行工程监督管理的法人或其他组织。</w:t>
      </w:r>
      <w:r>
        <w:rPr>
          <w:rFonts w:hint="eastAsia" w:ascii="宋体" w:hAnsi="宋体" w:cs="宋体"/>
          <w:szCs w:val="21"/>
          <w:lang w:bidi="ar"/>
        </w:rPr>
        <w:t>属于强制监理项目的，应委托监理人进行工程监督管理。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1.1.2.13 设计人：是指在专用合同条件中指明的，受发包人委托负责工程方案设计和初步设计并具备相应工程设计资质的法人或其他组织。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1.1.2.14 总监理工程师：是指由监理人任命并派驻现场进行工程监理的总负责人。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工程和设备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1.1.3.5 单位/区段工程的范围：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1.1.3.9 作为施工场所组成部分的其他场所包括：</w:t>
      </w:r>
      <w:r>
        <w:rPr>
          <w:rFonts w:hint="eastAsia" w:ascii="宋体" w:hAnsi="宋体" w:cs="宋体"/>
          <w:kern w:val="0"/>
          <w:szCs w:val="21"/>
          <w:u w:val="single"/>
          <w:lang w:bidi="ar"/>
        </w:rPr>
        <w:t>永久占地、临时占地以及为修建临时工程而租用、占用的土地</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1.1.3.10 永久占地包括：</w:t>
      </w:r>
      <w:r>
        <w:rPr>
          <w:rFonts w:hint="eastAsia" w:ascii="宋体" w:hAnsi="宋体" w:cs="宋体"/>
          <w:kern w:val="0"/>
          <w:szCs w:val="21"/>
          <w:u w:val="single"/>
          <w:lang w:bidi="ar"/>
        </w:rPr>
        <w:t>为实施合同工程而需要的一切永久占用的土地，即合同工程用地红线范围内的土地</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1.1.3.11临时占地包括：</w:t>
      </w:r>
      <w:r>
        <w:rPr>
          <w:rFonts w:hint="eastAsia" w:ascii="宋体" w:hAnsi="宋体" w:cs="宋体"/>
          <w:kern w:val="0"/>
          <w:szCs w:val="21"/>
          <w:u w:val="single"/>
          <w:lang w:bidi="ar"/>
        </w:rPr>
        <w:t>为实施合同工程而需要的一切临时占用的土地，包括施工所用的临时便道等的临时出入道，以及生产（办公）、生活等临时设施用地</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补充1.1.6.4～1.1.6.</w:t>
      </w:r>
      <w:r>
        <w:rPr>
          <w:rFonts w:ascii="宋体" w:hAnsi="宋体" w:cs="宋体"/>
          <w:kern w:val="0"/>
          <w:szCs w:val="21"/>
          <w:lang w:bidi="ar"/>
        </w:rPr>
        <w:t>7</w:t>
      </w:r>
      <w:r>
        <w:rPr>
          <w:rFonts w:hint="eastAsia" w:ascii="宋体" w:hAnsi="宋体" w:cs="宋体"/>
          <w:kern w:val="0"/>
          <w:szCs w:val="21"/>
          <w:lang w:bidi="ar"/>
        </w:rPr>
        <w:t>目：</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1.1.6.4 重大设计变更：指《重庆市房屋建筑和市政基础设施工程勘察设计变更管理办法》规定的以下设计变更：（1）《重庆市房屋建筑和市政基础设施工程重大设计变更分类表》所列变更内容；（2）其他涉及工程建设标准强制性条文、公共利益、公众安全的变更内容；（3）法律、法规、规章规定的其他重大设计变更内容。</w:t>
      </w:r>
    </w:p>
    <w:p>
      <w:pPr>
        <w:widowControl/>
        <w:adjustRightInd w:val="0"/>
        <w:snapToGrid w:val="0"/>
        <w:spacing w:after="163" w:afterLines="50" w:line="360" w:lineRule="auto"/>
        <w:ind w:firstLine="420" w:firstLineChars="200"/>
        <w:rPr>
          <w:lang w:bidi="ar"/>
        </w:rPr>
      </w:pPr>
      <w:r>
        <w:rPr>
          <w:rFonts w:hint="eastAsia" w:ascii="宋体" w:hAnsi="宋体" w:cs="宋体"/>
          <w:kern w:val="0"/>
          <w:szCs w:val="21"/>
          <w:lang w:bidi="ar"/>
        </w:rPr>
        <w:t>1.1.6.</w:t>
      </w:r>
      <w:r>
        <w:rPr>
          <w:rFonts w:ascii="宋体" w:hAnsi="宋体" w:cs="宋体"/>
          <w:kern w:val="0"/>
          <w:szCs w:val="21"/>
          <w:lang w:bidi="ar"/>
        </w:rPr>
        <w:t>5</w:t>
      </w:r>
      <w:r>
        <w:rPr>
          <w:rFonts w:hint="eastAsia" w:ascii="宋体" w:hAnsi="宋体" w:cs="宋体"/>
          <w:kern w:val="0"/>
          <w:szCs w:val="21"/>
          <w:lang w:bidi="ar"/>
        </w:rPr>
        <w:t xml:space="preserve"> 一般设计变更：指除重大设计变更以外的其它设计变更。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1.1.6.</w:t>
      </w:r>
      <w:r>
        <w:rPr>
          <w:rFonts w:ascii="宋体" w:hAnsi="宋体" w:cs="宋体"/>
          <w:kern w:val="0"/>
          <w:szCs w:val="21"/>
          <w:lang w:bidi="ar"/>
        </w:rPr>
        <w:t>6</w:t>
      </w:r>
      <w:r>
        <w:rPr>
          <w:rFonts w:hint="eastAsia" w:ascii="宋体" w:hAnsi="宋体" w:cs="宋体"/>
          <w:kern w:val="0"/>
          <w:szCs w:val="21"/>
          <w:lang w:bidi="ar"/>
        </w:rPr>
        <w:t xml:space="preserve"> 转包、违法分包及挂靠：指符合《住房和城乡建设部关于印发建筑工程施工发包与承包违法行为认定查处管理办法的通知》（建市规〔2019〕1号）规定认定条件的违法行为。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1.1.6.</w:t>
      </w:r>
      <w:r>
        <w:rPr>
          <w:rFonts w:ascii="宋体" w:hAnsi="宋体" w:cs="宋体"/>
          <w:kern w:val="0"/>
          <w:szCs w:val="21"/>
          <w:lang w:bidi="ar"/>
        </w:rPr>
        <w:t>7</w:t>
      </w:r>
      <w:r>
        <w:rPr>
          <w:rFonts w:hint="eastAsia" w:ascii="宋体" w:hAnsi="宋体" w:cs="宋体"/>
          <w:kern w:val="0"/>
          <w:szCs w:val="21"/>
          <w:lang w:bidi="ar"/>
        </w:rPr>
        <w:t xml:space="preserve">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 语言文字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本合同除使用汉语外，还使用</w:t>
      </w:r>
      <w:r>
        <w:rPr>
          <w:rFonts w:hint="eastAsia" w:ascii="宋体" w:hAnsi="宋体" w:cs="宋体"/>
          <w:kern w:val="0"/>
          <w:szCs w:val="21"/>
          <w:u w:val="single"/>
          <w:lang w:bidi="ar"/>
        </w:rPr>
        <w:t xml:space="preserve"> / </w:t>
      </w:r>
      <w:r>
        <w:rPr>
          <w:rFonts w:hint="eastAsia" w:ascii="宋体" w:hAnsi="宋体" w:cs="宋体"/>
          <w:kern w:val="0"/>
          <w:szCs w:val="21"/>
          <w:lang w:bidi="ar"/>
        </w:rPr>
        <w:t>语言。</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 法律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适用于合同的其他规范性文件：</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 标准和规范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 适用于本合同的标准、规范（名称）包括：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（1）施工图所涉及的技术标准、规范、规程、图集等；</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（2）国家、行业或重庆市与本工程有关的标准，以及相应的规范、规程等，当这些标准、规范、规程不一致时，以标准、规范、规程要求最高的为准。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 xml:space="preserve">（3）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 发包人提供的国外标准、规范的名称：</w:t>
      </w:r>
      <w:r>
        <w:rPr>
          <w:rFonts w:hint="eastAsia" w:ascii="宋体" w:hAnsi="宋体" w:cs="宋体"/>
          <w:kern w:val="0"/>
          <w:szCs w:val="21"/>
          <w:u w:val="single"/>
          <w:lang w:bidi="ar"/>
        </w:rPr>
        <w:t xml:space="preserve"> / </w:t>
      </w:r>
      <w:r>
        <w:rPr>
          <w:rFonts w:hint="eastAsia" w:ascii="宋体" w:hAnsi="宋体" w:cs="宋体"/>
          <w:kern w:val="0"/>
          <w:szCs w:val="21"/>
          <w:lang w:bidi="ar"/>
        </w:rPr>
        <w:t>；发包人提供的国外标准、规范的份数：</w:t>
      </w:r>
      <w:r>
        <w:rPr>
          <w:rFonts w:hint="eastAsia" w:ascii="宋体" w:hAnsi="宋体" w:cs="宋体"/>
          <w:kern w:val="0"/>
          <w:szCs w:val="21"/>
          <w:u w:val="single"/>
          <w:lang w:bidi="ar"/>
        </w:rPr>
        <w:t xml:space="preserve"> / </w:t>
      </w:r>
      <w:r>
        <w:rPr>
          <w:rFonts w:hint="eastAsia" w:ascii="宋体" w:hAnsi="宋体" w:cs="宋体"/>
          <w:kern w:val="0"/>
          <w:szCs w:val="21"/>
          <w:lang w:bidi="ar"/>
        </w:rPr>
        <w:t>；发包人提供的国外标准、规范的时间：</w:t>
      </w:r>
      <w:r>
        <w:rPr>
          <w:rFonts w:hint="eastAsia" w:ascii="宋体" w:hAnsi="宋体" w:cs="宋体"/>
          <w:kern w:val="0"/>
          <w:szCs w:val="21"/>
          <w:u w:val="single"/>
          <w:lang w:bidi="ar"/>
        </w:rPr>
        <w:t xml:space="preserve"> /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 没有成文规范、标准规定的约定：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1.4.4 发包人对于工程的技术标准、功能要求：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 合同文件的优先顺序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合同文件组成及优先顺序为：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（1）合同协议书；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（2）中标通知书（如果有）；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（3）投标函及投标函附录（如果有）；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（4）专用合同条件及《发包人要求》等附件；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（5）通用合同条件；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（6）招标文件及其澄清修改文件；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（7）投标文件和（或）承包人建议书；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（8）价格清单；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（9）双方约定的其他合同文件。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 文件的提供和照管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 发包人文件的提供</w:t>
      </w:r>
    </w:p>
    <w:p>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发包人文件的提供期限：通用合同条件第8.1.2项[开始工作通知]载明的开始工作日期前14天；</w:t>
      </w:r>
    </w:p>
    <w:p>
      <w:pPr>
        <w:widowControl/>
        <w:adjustRightInd w:val="0"/>
        <w:snapToGrid w:val="0"/>
        <w:spacing w:after="163" w:afterLines="50" w:line="360" w:lineRule="auto"/>
        <w:ind w:firstLine="420" w:firstLineChars="200"/>
        <w:jc w:val="left"/>
        <w:rPr>
          <w:lang w:bidi="ar"/>
        </w:rPr>
      </w:pPr>
      <w:r>
        <w:rPr>
          <w:rFonts w:hint="eastAsia" w:ascii="宋体" w:hAnsi="宋体" w:cs="宋体"/>
          <w:kern w:val="0"/>
          <w:szCs w:val="21"/>
          <w:lang w:bidi="ar"/>
        </w:rPr>
        <w:t>发包人文件的名称：</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发包人文件的数量：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发包人文件的形式：纸质和电子形式。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1.6.2 承包人文件的提供</w:t>
      </w:r>
    </w:p>
    <w:p>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承包人提供的文件包括：施工图设计成果文件、施工组织设计、专项施工方案、危险性较大分部分项工程施工方案（如有）、安全应急方案、进度计划、报表及计划、竣工资料及施工过程中因工程变更需要报送的施工方案、施工过程中涉及工程价款变更的相关资料、完整的竣工结算资料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承包人文件的提供期限：</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承包人文件的数量：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承包人文件的形式：纸质和电子形式。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1.6.4 文件的照管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关于现场文件准备的约定：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 联络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1.7.1 发包人和承包人应当在 1 天内将与合同有关的通知、批准、证明、证书、指示、指令、要求、请求、同意、意见、确定和决定等函件以书面形式送达对方当事人，并办理书面签收手续。商定采用电子传输方式的函件，双方应商定签收的方式，并留存相应的电子记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1.7.2发包人指定的送达方式（包括电子传输方式）：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发包人的送达地址：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发包人的接收人：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承包人指定的送达方式（包括电子传输方式）：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承包人的送达地址：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承包人的接收人：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 知识产权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1.10.1 由发包人（或以发包人名义）编制的《发包人要求》和其他文件的著作权归属：</w:t>
      </w:r>
      <w:r>
        <w:rPr>
          <w:rFonts w:hint="eastAsia" w:ascii="宋体" w:hAnsi="宋体" w:cs="宋体"/>
          <w:kern w:val="0"/>
          <w:szCs w:val="21"/>
          <w:u w:val="single"/>
          <w:lang w:bidi="ar"/>
        </w:rPr>
        <w:t>属于发包人</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1.10.2 由承包人（或以承包人名义）为实施工程所编制的文件、承包人完成的设计工作成果和建造完成的建筑物的知识产权归属：</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1.10.4 承包人在投标文件中采用的专利、专有技术、技术秘密的使用费的承担方式：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 保密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双方订立的商业保密协议（名称）：</w:t>
      </w:r>
      <w:r>
        <w:rPr>
          <w:rFonts w:hint="eastAsia" w:ascii="宋体" w:hAnsi="宋体" w:cs="宋体"/>
          <w:kern w:val="0"/>
          <w:szCs w:val="21"/>
          <w:u w:val="single"/>
          <w:lang w:bidi="ar"/>
        </w:rPr>
        <w:t xml:space="preserve">              </w:t>
      </w:r>
      <w:r>
        <w:rPr>
          <w:rFonts w:hint="eastAsia" w:ascii="宋体" w:hAnsi="宋体" w:cs="宋体"/>
          <w:kern w:val="0"/>
          <w:szCs w:val="21"/>
          <w:lang w:bidi="ar"/>
        </w:rPr>
        <w:t>，作为本合同附件。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双方订立的技术保密协议（名称）：</w:t>
      </w:r>
      <w:r>
        <w:rPr>
          <w:rFonts w:hint="eastAsia" w:ascii="宋体" w:hAnsi="宋体" w:cs="宋体"/>
          <w:kern w:val="0"/>
          <w:szCs w:val="21"/>
          <w:u w:val="single"/>
          <w:lang w:bidi="ar"/>
        </w:rPr>
        <w:t xml:space="preserve">             </w:t>
      </w:r>
      <w:r>
        <w:rPr>
          <w:rFonts w:hint="eastAsia" w:ascii="宋体" w:hAnsi="宋体" w:cs="宋体"/>
          <w:kern w:val="0"/>
          <w:szCs w:val="21"/>
          <w:lang w:bidi="ar"/>
        </w:rPr>
        <w:t>，作为本合同附件。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责任限制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承包人对发包人赔偿责任的最高限额为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1.14 建筑信息模型技术的应用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关于建筑信息模型技术的开发、使用、存储、传输、交付及费用约定如下：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34" w:name="_Toc20171875"/>
      <w:bookmarkEnd w:id="2934"/>
      <w:bookmarkStart w:id="2935" w:name="_Toc6811"/>
      <w:bookmarkStart w:id="2936" w:name="_Toc13635"/>
      <w:bookmarkStart w:id="2937" w:name="_Toc14655"/>
      <w:bookmarkStart w:id="2938" w:name="_Toc30716"/>
      <w:r>
        <w:rPr>
          <w:rFonts w:hint="eastAsia" w:ascii="宋体" w:hAnsi="宋体" w:cs="Times"/>
          <w:kern w:val="0"/>
          <w:szCs w:val="21"/>
          <w:lang w:bidi="ar"/>
        </w:rPr>
        <w:t>第2条 发包人</w:t>
      </w:r>
      <w:bookmarkEnd w:id="2935"/>
      <w:bookmarkEnd w:id="2936"/>
      <w:bookmarkEnd w:id="2937"/>
      <w:bookmarkEnd w:id="293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 提供施工现场和工作条件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2.2.1 提供施工现场</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关于发包人提供施工现场的范围和期限，采用以下第</w:t>
      </w:r>
      <w:r>
        <w:rPr>
          <w:rFonts w:ascii="宋体" w:hAnsi="宋体" w:cs="宋体"/>
          <w:kern w:val="0"/>
          <w:szCs w:val="21"/>
          <w:u w:val="single"/>
          <w:lang w:bidi="ar"/>
        </w:rPr>
        <w:t xml:space="preserve">    </w:t>
      </w:r>
      <w:r>
        <w:rPr>
          <w:rFonts w:hint="eastAsia" w:ascii="宋体" w:hAnsi="宋体" w:cs="宋体"/>
          <w:kern w:val="0"/>
          <w:szCs w:val="21"/>
          <w:lang w:bidi="ar"/>
        </w:rPr>
        <w:t>种方式：</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（1）一次提供全部施工场地：发包人于开工前向承包人提供合同工程用地红线范围内的施工场地。</w:t>
      </w:r>
    </w:p>
    <w:p>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（2）分次提供全部施工场地：发包人按约定的时间分次向承包人提供合同工程用地红线范围内的施工场地。</w:t>
      </w:r>
    </w:p>
    <w:p>
      <w:pPr>
        <w:widowControl/>
        <w:adjustRightInd w:val="0"/>
        <w:snapToGrid w:val="0"/>
        <w:spacing w:after="163" w:afterLines="50" w:line="360" w:lineRule="auto"/>
        <w:ind w:firstLine="420" w:firstLineChars="200"/>
        <w:jc w:val="left"/>
        <w:rPr>
          <w:lang w:bidi="ar"/>
        </w:rPr>
      </w:pPr>
      <w:r>
        <w:rPr>
          <w:rFonts w:hint="eastAsia"/>
          <w:lang w:bidi="ar"/>
        </w:rPr>
        <w:t>（3）其他方式：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承包人编制的施工组织计划已充分考虑了施工场地提供的因素。</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2.2.2 提供工作条件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关于发包人应负责提供的工作条件包括：</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2.3 提供基础资料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关于发包人应提供的基础资料的范围和期限：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 支付合同价款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w:t>
      </w:r>
      <w:r>
        <w:rPr>
          <w:rFonts w:ascii="宋体" w:hAnsi="宋体" w:cs="宋体"/>
          <w:kern w:val="0"/>
          <w:szCs w:val="21"/>
          <w:lang w:bidi="ar"/>
        </w:rPr>
        <w:t>2</w:t>
      </w:r>
      <w:r>
        <w:rPr>
          <w:rFonts w:hint="eastAsia" w:ascii="宋体" w:hAnsi="宋体" w:cs="宋体"/>
          <w:kern w:val="0"/>
          <w:szCs w:val="21"/>
          <w:lang w:bidi="ar"/>
        </w:rPr>
        <w:t xml:space="preserve"> 发包人提供资金来源证明及资金安排的期限要求：</w:t>
      </w:r>
      <w:r>
        <w:rPr>
          <w:rFonts w:hint="eastAsia" w:ascii="宋体" w:hAnsi="宋体" w:cs="宋体"/>
          <w:kern w:val="0"/>
          <w:szCs w:val="21"/>
          <w:u w:val="single"/>
          <w:lang w:bidi="ar"/>
        </w:rPr>
        <w:t>不采用</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2.5.3 发包人提供支付担保的形式、金额（或比例）、期限：</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支付担保的形式：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支付担保的金额（或比例）：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支付担保的提供时间：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支付担保的担保期限：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支付担保的退还时间：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2.7 其他义务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发包人应履行的其他义务：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39" w:name="_Toc20171876"/>
      <w:bookmarkEnd w:id="2939"/>
      <w:bookmarkStart w:id="2940" w:name="_Toc9395"/>
      <w:bookmarkStart w:id="2941" w:name="_Toc25559"/>
      <w:bookmarkStart w:id="2942" w:name="_Toc28358"/>
      <w:bookmarkStart w:id="2943" w:name="_Toc11324"/>
      <w:r>
        <w:rPr>
          <w:rFonts w:hint="eastAsia" w:ascii="宋体" w:hAnsi="宋体" w:cs="Times"/>
          <w:kern w:val="0"/>
          <w:szCs w:val="21"/>
          <w:lang w:bidi="ar"/>
        </w:rPr>
        <w:t>第3条 发包人的管理</w:t>
      </w:r>
      <w:bookmarkEnd w:id="2940"/>
      <w:bookmarkEnd w:id="2941"/>
      <w:bookmarkEnd w:id="2942"/>
      <w:bookmarkEnd w:id="294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3.1 发包人代表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发包人代表的身份证号：</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发包人代表的职务：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发包人代表的联系电话：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发包人代表的电子邮箱：</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发包人代表的通信地址：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发包人对发包人代表的授权范围如下：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发包人代表的职责：</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3.2 发包人人员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发包人人员职务：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发包人人员职责：</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3.3 工程师</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.3.1</w:t>
      </w:r>
      <w:r>
        <w:rPr>
          <w:rFonts w:hint="eastAsia" w:ascii="宋体" w:hAnsi="宋体" w:cs="宋体"/>
          <w:kern w:val="0"/>
          <w:szCs w:val="21"/>
          <w:lang w:bidi="ar"/>
        </w:rPr>
        <w:t>工程师（监理人）名称</w:t>
      </w:r>
      <w:r>
        <w:rPr>
          <w:rFonts w:ascii="宋体" w:hAnsi="宋体" w:cs="宋体"/>
          <w:kern w:val="0"/>
          <w:szCs w:val="21"/>
          <w:lang w:bidi="ar"/>
        </w:rPr>
        <w:t>：</w:t>
      </w:r>
      <w:r>
        <w:rPr>
          <w:rFonts w:ascii="宋体" w:hAnsi="宋体" w:cs="宋体"/>
          <w:kern w:val="0"/>
          <w:szCs w:val="21"/>
          <w:u w:val="single"/>
          <w:lang w:bidi="ar"/>
        </w:rPr>
        <w:t xml:space="preserve">                          </w:t>
      </w:r>
      <w:r>
        <w:rPr>
          <w:rFonts w:ascii="宋体" w:hAnsi="宋体" w:cs="宋体"/>
          <w:kern w:val="0"/>
          <w:szCs w:val="21"/>
          <w:lang w:bidi="ar"/>
        </w:rPr>
        <w:t>；</w:t>
      </w:r>
      <w:r>
        <w:rPr>
          <w:rFonts w:hint="eastAsia" w:ascii="宋体" w:hAnsi="宋体" w:cs="宋体"/>
          <w:kern w:val="0"/>
          <w:szCs w:val="21"/>
          <w:lang w:bidi="ar"/>
        </w:rPr>
        <w:t>工程师（监理人）监督管理</w:t>
      </w:r>
      <w:r>
        <w:rPr>
          <w:rFonts w:ascii="宋体" w:hAnsi="宋体" w:cs="宋体"/>
          <w:kern w:val="0"/>
          <w:szCs w:val="21"/>
          <w:lang w:bidi="ar"/>
        </w:rPr>
        <w:t>范围</w:t>
      </w:r>
      <w:r>
        <w:rPr>
          <w:rFonts w:hint="eastAsia" w:ascii="宋体" w:hAnsi="宋体" w:cs="宋体"/>
          <w:kern w:val="0"/>
          <w:szCs w:val="21"/>
          <w:lang w:bidi="ar"/>
        </w:rPr>
        <w:t>、内容</w:t>
      </w:r>
      <w:r>
        <w:rPr>
          <w:rFonts w:ascii="宋体" w:hAnsi="宋体" w:cs="宋体"/>
          <w:kern w:val="0"/>
          <w:szCs w:val="21"/>
          <w:lang w:bidi="ar"/>
        </w:rPr>
        <w:t>：</w:t>
      </w:r>
      <w:r>
        <w:rPr>
          <w:rFonts w:ascii="宋体" w:hAnsi="宋体" w:cs="宋体"/>
          <w:kern w:val="0"/>
          <w:szCs w:val="21"/>
          <w:u w:val="single"/>
          <w:lang w:bidi="ar"/>
        </w:rPr>
        <w:t xml:space="preserve">                          </w:t>
      </w:r>
      <w:r>
        <w:rPr>
          <w:rFonts w:hint="eastAsia" w:ascii="宋体" w:hAnsi="宋体" w:cs="宋体"/>
          <w:kern w:val="0"/>
          <w:szCs w:val="21"/>
          <w:lang w:bidi="ar"/>
        </w:rPr>
        <w:t>；工程师（监理人）</w:t>
      </w:r>
      <w:r>
        <w:rPr>
          <w:rFonts w:ascii="宋体" w:hAnsi="宋体" w:cs="宋体"/>
          <w:kern w:val="0"/>
          <w:szCs w:val="21"/>
          <w:lang w:bidi="ar"/>
        </w:rPr>
        <w:t>权限：</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本合同工程为强制监理项目，采用</w:t>
      </w:r>
      <w:r>
        <w:rPr>
          <w:rFonts w:hint="eastAsia" w:ascii="宋体" w:hAnsi="宋体" w:cs="宋体"/>
          <w:szCs w:val="21"/>
          <w:lang w:bidi="ar"/>
        </w:rPr>
        <w:t>委托监理人进行工程监督管理的方式。通用合同条件中凡涉及工程师的义务及职责，均为监理人的义务及职责，与《</w:t>
      </w:r>
      <w:r>
        <w:rPr>
          <w:rFonts w:ascii="宋体" w:hAnsi="宋体" w:cs="宋体"/>
          <w:szCs w:val="21"/>
          <w:lang w:bidi="ar"/>
        </w:rPr>
        <w:t>建设工程监理规范</w:t>
      </w:r>
      <w:r>
        <w:rPr>
          <w:rFonts w:hint="eastAsia" w:ascii="宋体" w:hAnsi="宋体" w:cs="宋体"/>
          <w:szCs w:val="21"/>
          <w:lang w:bidi="ar"/>
        </w:rPr>
        <w:t>》</w:t>
      </w:r>
      <w:r>
        <w:rPr>
          <w:rFonts w:ascii="宋体" w:hAnsi="宋体" w:cs="宋体"/>
          <w:szCs w:val="21"/>
          <w:lang w:bidi="ar"/>
        </w:rPr>
        <w:t>（GB/T50319—2013）</w:t>
      </w:r>
      <w:r>
        <w:rPr>
          <w:rFonts w:hint="eastAsia" w:ascii="宋体" w:hAnsi="宋体" w:cs="宋体"/>
          <w:szCs w:val="21"/>
          <w:lang w:bidi="ar"/>
        </w:rPr>
        <w:t>的</w:t>
      </w:r>
      <w:r>
        <w:rPr>
          <w:rFonts w:hint="eastAsia" w:ascii="宋体" w:hAnsi="宋体" w:cs="宋体"/>
          <w:kern w:val="0"/>
          <w:szCs w:val="21"/>
          <w:lang w:bidi="ar"/>
        </w:rPr>
        <w:t>相关规定存在不一致的，以</w:t>
      </w:r>
      <w:r>
        <w:rPr>
          <w:rFonts w:hint="eastAsia" w:ascii="宋体" w:hAnsi="宋体" w:cs="宋体"/>
          <w:szCs w:val="21"/>
          <w:lang w:bidi="ar"/>
        </w:rPr>
        <w:t>《</w:t>
      </w:r>
      <w:r>
        <w:rPr>
          <w:rFonts w:ascii="宋体" w:hAnsi="宋体" w:cs="宋体"/>
          <w:szCs w:val="21"/>
          <w:lang w:bidi="ar"/>
        </w:rPr>
        <w:t>建设工程监理规范</w:t>
      </w:r>
      <w:r>
        <w:rPr>
          <w:rFonts w:hint="eastAsia" w:ascii="宋体" w:hAnsi="宋体" w:cs="宋体"/>
          <w:szCs w:val="21"/>
          <w:lang w:bidi="ar"/>
        </w:rPr>
        <w:t>》</w:t>
      </w:r>
      <w:r>
        <w:rPr>
          <w:rFonts w:ascii="宋体" w:hAnsi="宋体" w:cs="宋体"/>
          <w:szCs w:val="21"/>
          <w:lang w:bidi="ar"/>
        </w:rPr>
        <w:t>（GB/T50319—2013）</w:t>
      </w:r>
      <w:r>
        <w:rPr>
          <w:rFonts w:hint="eastAsia" w:ascii="宋体" w:hAnsi="宋体" w:cs="宋体"/>
          <w:kern w:val="0"/>
          <w:szCs w:val="21"/>
          <w:lang w:bidi="ar"/>
        </w:rPr>
        <w:t>为准</w:t>
      </w:r>
      <w:r>
        <w:rPr>
          <w:rFonts w:hint="eastAsia" w:ascii="宋体" w:hAnsi="宋体" w:cs="宋体"/>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增加总监理工程师：</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姓    名：</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职    务：</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监理工程师执业资格证书号：</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联系方式：</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关于监理人的其他约定：见发包人与监理人就本合同工程订立的监理合同。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3.6 商定或确定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.6.2 </w:t>
      </w:r>
      <w:r>
        <w:rPr>
          <w:rFonts w:hint="eastAsia" w:ascii="宋体" w:hAnsi="宋体" w:cs="宋体"/>
          <w:kern w:val="0"/>
          <w:szCs w:val="21"/>
          <w:lang w:bidi="ar"/>
        </w:rPr>
        <w:t>关于商定时间限制的具体约定：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.6.3 </w:t>
      </w:r>
      <w:r>
        <w:rPr>
          <w:rFonts w:hint="eastAsia" w:ascii="宋体" w:hAnsi="宋体" w:cs="宋体"/>
          <w:kern w:val="0"/>
          <w:szCs w:val="21"/>
          <w:lang w:bidi="ar"/>
        </w:rPr>
        <w:t>关于商定或确定效力的具体约定：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关于对监理人的确定提出异议的具体约定：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3.7 会议</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 xml:space="preserve">.7.1 </w:t>
      </w:r>
      <w:r>
        <w:rPr>
          <w:rFonts w:hint="eastAsia" w:ascii="宋体" w:hAnsi="宋体" w:cs="宋体"/>
          <w:kern w:val="0"/>
          <w:szCs w:val="21"/>
          <w:lang w:bidi="ar"/>
        </w:rPr>
        <w:t>关于召开会议的具体约定：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.7.2 </w:t>
      </w:r>
      <w:r>
        <w:rPr>
          <w:rFonts w:hint="eastAsia" w:ascii="宋体" w:hAnsi="宋体" w:cs="宋体"/>
          <w:kern w:val="0"/>
          <w:szCs w:val="21"/>
          <w:lang w:bidi="ar"/>
        </w:rPr>
        <w:t>关于保存和提供会议纪要的具体约定：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44" w:name="_Toc20171877"/>
      <w:bookmarkEnd w:id="2944"/>
      <w:bookmarkStart w:id="2945" w:name="_Toc20609"/>
      <w:bookmarkStart w:id="2946" w:name="_Toc19928"/>
      <w:bookmarkStart w:id="2947" w:name="_Toc2871"/>
      <w:bookmarkStart w:id="2948" w:name="_Toc29665"/>
      <w:r>
        <w:rPr>
          <w:rFonts w:hint="eastAsia" w:ascii="宋体" w:hAnsi="宋体" w:cs="Times"/>
          <w:kern w:val="0"/>
          <w:szCs w:val="21"/>
          <w:lang w:bidi="ar"/>
        </w:rPr>
        <w:t>第4条 承包人</w:t>
      </w:r>
      <w:bookmarkEnd w:id="2945"/>
      <w:bookmarkEnd w:id="2946"/>
      <w:bookmarkEnd w:id="2947"/>
      <w:bookmarkEnd w:id="2948"/>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4.1 承包人的一般义务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承包人应履行的其他义务：</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1）在开始施工之前，承包人应核查、复测本工程的各种基准标志。承包人应及时将上述基准标志中存在的错误、不完整或其他缺陷通知发包人，以便发包人核实后重新确认。</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4）承包人应服从发包人要求的管理模式、工作方式和工作要求，同时接受监理人的管理和全程监督，配合项目结、决算的办理。</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5）承包人应为本工程开立专用账户，接受发包人的监管。</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6）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环境与生态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w:t>
      </w:r>
      <w:r>
        <w:rPr>
          <w:rFonts w:ascii="宋体" w:hAnsi="宋体" w:cs="宋体"/>
          <w:kern w:val="0"/>
          <w:szCs w:val="21"/>
          <w:u w:val="single"/>
          <w:lang w:bidi="ar"/>
        </w:rPr>
        <w:t>7）承包人提交的竣工资料的内容：工程施工技术资料、工程质量保证资料、工程检验评定资料、竣工图及其他应交资料，应符合《建设工程文件归档整理规范</w:t>
      </w:r>
      <w:r>
        <w:rPr>
          <w:rFonts w:hint="eastAsia" w:ascii="宋体" w:hAnsi="宋体" w:cs="宋体"/>
          <w:kern w:val="0"/>
          <w:szCs w:val="21"/>
          <w:u w:val="single"/>
          <w:lang w:eastAsia="zh-CN" w:bidi="ar"/>
        </w:rPr>
        <w:t>（</w:t>
      </w:r>
      <w:r>
        <w:rPr>
          <w:rFonts w:hint="eastAsia" w:ascii="宋体" w:hAnsi="宋体" w:cs="宋体"/>
          <w:kern w:val="0"/>
          <w:szCs w:val="21"/>
          <w:u w:val="single"/>
          <w:lang w:val="en-US" w:eastAsia="zh-CN" w:bidi="ar"/>
        </w:rPr>
        <w:t>2019年版</w:t>
      </w:r>
      <w:r>
        <w:rPr>
          <w:rFonts w:hint="eastAsia" w:ascii="宋体" w:hAnsi="宋体" w:cs="宋体"/>
          <w:kern w:val="0"/>
          <w:szCs w:val="21"/>
          <w:u w:val="single"/>
          <w:lang w:eastAsia="zh-CN" w:bidi="ar"/>
        </w:rPr>
        <w:t>）</w:t>
      </w:r>
      <w:r>
        <w:rPr>
          <w:rFonts w:ascii="宋体" w:hAnsi="宋体" w:cs="宋体"/>
          <w:kern w:val="0"/>
          <w:szCs w:val="21"/>
          <w:u w:val="single"/>
          <w:lang w:bidi="ar"/>
        </w:rPr>
        <w:t>》（GB/T50328-2014）和重庆市有关文件规定。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4.2 履约担保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承包人提供履约担保的方式、金额、期限：</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（1）承包人是否提供履约担保：</w:t>
      </w:r>
      <w:r>
        <w:rPr>
          <w:rFonts w:hint="eastAsia" w:ascii="宋体" w:hAnsi="宋体" w:cs="宋体"/>
          <w:kern w:val="0"/>
          <w:szCs w:val="21"/>
          <w:u w:val="single"/>
          <w:lang w:bidi="ar"/>
        </w:rPr>
        <w:t>提供</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hint="eastAsia" w:ascii="宋体" w:hAnsi="宋体"/>
          <w:kern w:val="0"/>
          <w:szCs w:val="21"/>
        </w:rPr>
      </w:pPr>
      <w:r>
        <w:rPr>
          <w:rFonts w:hint="eastAsia" w:ascii="宋体" w:hAnsi="宋体" w:cs="宋体"/>
          <w:kern w:val="0"/>
          <w:szCs w:val="21"/>
          <w:lang w:bidi="ar"/>
        </w:rPr>
        <w:t>（2）履约担保的方式：</w:t>
      </w:r>
      <w:r>
        <w:rPr>
          <w:rFonts w:hint="eastAsia" w:ascii="宋体" w:hAnsi="宋体"/>
          <w:kern w:val="0"/>
          <w:szCs w:val="21"/>
        </w:rPr>
        <w:t>现金或</w:t>
      </w:r>
      <w:r>
        <w:rPr>
          <w:rFonts w:hint="eastAsia" w:ascii="宋体" w:hAnsi="宋体"/>
          <w:kern w:val="0"/>
          <w:szCs w:val="21"/>
          <w:lang w:eastAsia="zh-CN"/>
        </w:rPr>
        <w:t>履约</w:t>
      </w:r>
      <w:r>
        <w:rPr>
          <w:rFonts w:hint="eastAsia" w:ascii="宋体" w:hAnsi="宋体"/>
          <w:kern w:val="0"/>
          <w:szCs w:val="21"/>
        </w:rPr>
        <w:t>保函或现金+</w:t>
      </w:r>
      <w:r>
        <w:rPr>
          <w:rFonts w:hint="eastAsia" w:ascii="宋体" w:hAnsi="宋体"/>
          <w:kern w:val="0"/>
          <w:szCs w:val="21"/>
          <w:lang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保函包括银行保函、保证保险和担保保函，其示范文本详见合同附件。承包人提交的</w:t>
      </w:r>
      <w:r>
        <w:rPr>
          <w:rFonts w:hint="eastAsia" w:ascii="宋体" w:hAnsi="宋体"/>
          <w:kern w:val="0"/>
          <w:szCs w:val="21"/>
          <w:lang w:eastAsia="zh-CN"/>
        </w:rPr>
        <w:t>履约</w:t>
      </w:r>
      <w:r>
        <w:rPr>
          <w:rFonts w:hint="eastAsia" w:ascii="宋体" w:hAnsi="宋体"/>
          <w:kern w:val="0"/>
          <w:szCs w:val="21"/>
        </w:rPr>
        <w:t>保函应严格执行其示范文本，不得对示范文本中的实质性内容进行修改。承包人</w:t>
      </w:r>
      <w:r>
        <w:rPr>
          <w:rFonts w:hint="eastAsia" w:ascii="宋体" w:hAnsi="宋体"/>
          <w:kern w:val="0"/>
          <w:szCs w:val="21"/>
          <w:lang w:val="en-US" w:eastAsia="zh-CN"/>
        </w:rPr>
        <w:t>若</w:t>
      </w:r>
      <w:r>
        <w:rPr>
          <w:rFonts w:hint="eastAsia" w:ascii="宋体" w:hAnsi="宋体"/>
          <w:kern w:val="0"/>
          <w:szCs w:val="21"/>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宋体" w:hAnsi="宋体"/>
          <w:kern w:val="0"/>
          <w:szCs w:val="21"/>
          <w:lang w:eastAsia="zh-CN"/>
        </w:rPr>
        <w:t>履约</w:t>
      </w:r>
      <w:r>
        <w:rPr>
          <w:rFonts w:hint="eastAsia" w:ascii="宋体" w:hAnsi="宋体"/>
          <w:kern w:val="0"/>
          <w:szCs w:val="21"/>
        </w:rPr>
        <w:t>保函置换。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）具体要求：</w:t>
      </w:r>
      <w:r>
        <w:rPr>
          <w:rFonts w:hint="eastAsia" w:ascii="宋体" w:hAnsi="宋体"/>
          <w:kern w:val="0"/>
          <w:szCs w:val="21"/>
          <w:lang w:eastAsia="zh-CN"/>
        </w:rPr>
        <w:t>履约</w:t>
      </w:r>
      <w:r>
        <w:rPr>
          <w:rFonts w:hint="eastAsia" w:ascii="宋体" w:hAnsi="宋体"/>
          <w:kern w:val="0"/>
          <w:szCs w:val="21"/>
        </w:rPr>
        <w:t>保函的开立人应当是具有相应资格的银行、保险机构、融资担保公司，其信用资质、履约能力、担保能力、赔付流程、安全保密等应符合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履约</w:t>
      </w:r>
      <w:r>
        <w:rPr>
          <w:rFonts w:hint="eastAsia" w:ascii="宋体" w:hAnsi="宋体"/>
          <w:kern w:val="0"/>
          <w:szCs w:val="21"/>
        </w:rPr>
        <w:t>保函应合法合规，符合招投标行政监督部门、行业主管部门和金融监管部门的相关规定，满足招标文件约定要求。承包人应选择在渝依法设立总部或者设有分支机构的金融机构开具</w:t>
      </w:r>
      <w:r>
        <w:rPr>
          <w:rFonts w:hint="eastAsia" w:ascii="宋体" w:hAnsi="宋体"/>
          <w:kern w:val="0"/>
          <w:szCs w:val="21"/>
          <w:lang w:eastAsia="zh-CN"/>
        </w:rPr>
        <w:t>履约</w:t>
      </w:r>
      <w:r>
        <w:rPr>
          <w:rFonts w:hint="eastAsia" w:ascii="宋体" w:hAnsi="宋体"/>
          <w:kern w:val="0"/>
          <w:szCs w:val="21"/>
        </w:rPr>
        <w:t>保函（包括纸质保函或电子保函）。</w:t>
      </w:r>
      <w:r>
        <w:rPr>
          <w:rFonts w:hint="eastAsia" w:ascii="宋体" w:hAnsi="宋体"/>
          <w:kern w:val="0"/>
          <w:szCs w:val="21"/>
          <w:lang w:eastAsia="zh-CN"/>
        </w:rPr>
        <w:t>履约</w:t>
      </w:r>
      <w:r>
        <w:rPr>
          <w:rFonts w:hint="eastAsia" w:ascii="宋体" w:hAnsi="宋体"/>
          <w:kern w:val="0"/>
          <w:szCs w:val="21"/>
        </w:rPr>
        <w:t>保函为纸质保函的，纸质保函应注明在重庆市辖区范围内的核验地址和核验方式，并确保该纸质保函能在开立人在渝的总部或者分支机构进行核验。承包人对所提交的</w:t>
      </w:r>
      <w:r>
        <w:rPr>
          <w:rFonts w:hint="eastAsia" w:ascii="宋体" w:hAnsi="宋体"/>
          <w:kern w:val="0"/>
          <w:szCs w:val="21"/>
          <w:lang w:eastAsia="zh-CN"/>
        </w:rPr>
        <w:t>履约</w:t>
      </w:r>
      <w:r>
        <w:rPr>
          <w:rFonts w:hint="eastAsia" w:ascii="宋体" w:hAnsi="宋体"/>
          <w:kern w:val="0"/>
          <w:szCs w:val="21"/>
        </w:rPr>
        <w:t>保函的真实性、合法性、有效性负责</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4</w:t>
      </w:r>
      <w:r>
        <w:rPr>
          <w:rFonts w:hint="eastAsia" w:ascii="宋体" w:hAnsi="宋体" w:cs="宋体"/>
          <w:kern w:val="0"/>
          <w:szCs w:val="21"/>
          <w:lang w:bidi="ar"/>
        </w:rPr>
        <w:t>）履约担保的金额：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5</w:t>
      </w:r>
      <w:r>
        <w:rPr>
          <w:rFonts w:hint="eastAsia" w:ascii="宋体" w:hAnsi="宋体" w:cs="宋体"/>
          <w:kern w:val="0"/>
          <w:szCs w:val="21"/>
          <w:lang w:bidi="ar"/>
        </w:rPr>
        <w:t>）履约担保的提交时间：</w:t>
      </w:r>
      <w:r>
        <w:rPr>
          <w:rFonts w:hint="eastAsia" w:ascii="宋体" w:hAnsi="宋体" w:cs="宋体"/>
          <w:kern w:val="0"/>
          <w:szCs w:val="21"/>
          <w:u w:val="single"/>
          <w:lang w:bidi="ar"/>
        </w:rPr>
        <w:t>在合同订立前，承包人按担保金额向发包人提交履约担保</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6</w:t>
      </w:r>
      <w:r>
        <w:rPr>
          <w:rFonts w:hint="eastAsia" w:ascii="宋体" w:hAnsi="宋体" w:cs="宋体"/>
          <w:kern w:val="0"/>
          <w:szCs w:val="21"/>
          <w:lang w:bidi="ar"/>
        </w:rPr>
        <w:t>）履约担保的期限：</w:t>
      </w:r>
      <w:r>
        <w:rPr>
          <w:rFonts w:hint="eastAsia" w:ascii="宋体" w:hAnsi="宋体" w:cs="宋体"/>
          <w:kern w:val="0"/>
          <w:szCs w:val="21"/>
          <w:u w:val="single"/>
          <w:lang w:bidi="ar"/>
        </w:rPr>
        <w:t>自提交履约担保之日起至竣工验收合格之日止</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7</w:t>
      </w:r>
      <w:r>
        <w:rPr>
          <w:rFonts w:hint="eastAsia" w:ascii="宋体" w:hAnsi="宋体" w:cs="宋体"/>
          <w:kern w:val="0"/>
          <w:szCs w:val="21"/>
          <w:lang w:bidi="ar"/>
        </w:rPr>
        <w:t>）履约担保的退还时间：</w:t>
      </w:r>
      <w:r>
        <w:rPr>
          <w:rFonts w:hint="eastAsia" w:ascii="宋体" w:hAnsi="宋体" w:cs="宋体"/>
          <w:kern w:val="0"/>
          <w:szCs w:val="21"/>
          <w:u w:val="single"/>
          <w:lang w:bidi="ar"/>
        </w:rPr>
        <w:t>采用现金担保的，工程竣工验收合格后</w:t>
      </w:r>
      <w:r>
        <w:rPr>
          <w:rFonts w:ascii="宋体" w:hAnsi="宋体" w:cs="宋体"/>
          <w:kern w:val="0"/>
          <w:szCs w:val="21"/>
          <w:u w:val="single"/>
          <w:lang w:bidi="ar"/>
        </w:rPr>
        <w:t>14天内退还，或按工程实际情况约定分阶段退还，阶段划分按</w:t>
      </w:r>
      <w:r>
        <w:rPr>
          <w:rFonts w:hint="eastAsia" w:ascii="宋体" w:hAnsi="宋体" w:cs="宋体"/>
          <w:kern w:val="0"/>
          <w:szCs w:val="21"/>
          <w:u w:val="single"/>
          <w:lang w:bidi="ar"/>
        </w:rPr>
        <w:t xml:space="preserve">            标准执行；采用</w:t>
      </w:r>
      <w:r>
        <w:rPr>
          <w:rFonts w:hint="eastAsia" w:ascii="宋体" w:hAnsi="宋体" w:cs="宋体"/>
          <w:kern w:val="0"/>
          <w:szCs w:val="21"/>
          <w:u w:val="single"/>
          <w:lang w:val="en-US" w:eastAsia="zh-CN" w:bidi="ar"/>
        </w:rPr>
        <w:t>履约</w:t>
      </w:r>
      <w:r>
        <w:rPr>
          <w:rFonts w:hint="eastAsia" w:ascii="宋体" w:hAnsi="宋体" w:cs="宋体"/>
          <w:kern w:val="0"/>
          <w:szCs w:val="21"/>
          <w:u w:val="single"/>
          <w:lang w:bidi="ar"/>
        </w:rPr>
        <w:t>保函的，工程竣工验收合格后</w:t>
      </w:r>
      <w:r>
        <w:rPr>
          <w:rFonts w:ascii="宋体" w:hAnsi="宋体" w:cs="宋体"/>
          <w:kern w:val="0"/>
          <w:szCs w:val="21"/>
          <w:u w:val="single"/>
          <w:lang w:bidi="ar"/>
        </w:rPr>
        <w:t>14天内退还，或按工程实际情况约定分阶段退还，阶段划分按</w:t>
      </w:r>
      <w:r>
        <w:rPr>
          <w:rFonts w:hint="eastAsia" w:ascii="宋体" w:hAnsi="宋体" w:cs="宋体"/>
          <w:kern w:val="0"/>
          <w:szCs w:val="21"/>
          <w:u w:val="single"/>
          <w:lang w:bidi="ar"/>
        </w:rPr>
        <w:t xml:space="preserve">            标准执行</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 工程总承包项目经理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4.3.1 工程总承包项目经理姓名：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执业资格或职称类型：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执业资格证或职称证号码：</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联系电话：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电子邮箱：</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通信地址：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承包人应在本合同订立前提交与总承包项目经理签订的劳动合同及为总承包项目经理缴纳社会保险的证明，承包人未在限期内提交的，总承包项目经理无权履行职责，发包人有权要求更换总承包项目经理。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4.3.2 工程总承包项目经理每月在现场的时间要求：</w:t>
      </w:r>
      <w:r>
        <w:rPr>
          <w:rFonts w:hint="eastAsia" w:ascii="宋体" w:hAnsi="宋体" w:cs="宋体"/>
          <w:kern w:val="0"/>
          <w:szCs w:val="21"/>
          <w:u w:val="single"/>
          <w:lang w:bidi="ar"/>
        </w:rPr>
        <w:t>不少于  天，由监理人负责工程总承包项目经理的考勤</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工程总承包项目经理未经批准擅自离开施工现场的违约责任：按照第15.2款[承包人违约]约定执行。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4.3.3 承包人对工程总承包项目经理的授权范围:</w:t>
      </w:r>
      <w:r>
        <w:rPr>
          <w:rFonts w:hint="eastAsia" w:ascii="宋体" w:hAnsi="宋体" w:cs="宋体"/>
          <w:kern w:val="0"/>
          <w:szCs w:val="21"/>
          <w:u w:val="single"/>
          <w:lang w:bidi="ar"/>
        </w:rPr>
        <w:t>严格按《发包人要求》、现行国家设计规范、施工规范及验收规范组织设计、采购和施工，保证工程质量、进度、安全；及时向监理人、发包人报告现场情况（以承包人书面授权范围为准）</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4.3.4 承包人擅自更换工程总承包项目经理的违约责任：按照第15.2款[承包人违约]约定执行。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4.3.5 承包人无正当理由拒绝更换工程总承包项目经理的违约责任:按照第15.2款[承包人违约]约定执行。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 承包人人员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4.4.1 人员安排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增加：</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（1）设计负责人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设计负责人姓名：</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证书名称及注册号：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设计负责人职责：负责本项目的施工图设计，负责施工图设计质量控制、进度控制、信息管理和设计现场的组织协调。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设计负责人权限：执行法律法规规章、建设项目工程总承包合同和规范等文件规定的承包人应做的设计工作（以承包人书面授权范围为准）。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设计期间，设计负责人应按照设计需要和发包人要求提供现场服务。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承包人应在本合同订立前提交与设计负责人签订的劳动合同及为设计负责人缴纳社会保险的证明，承包人未在限期内提交的，设计负责人无权履行职责，发包人有权要求更换设计负责人。</w:t>
      </w:r>
    </w:p>
    <w:p>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kern w:val="0"/>
          <w:szCs w:val="21"/>
          <w:lang w:bidi="ar"/>
        </w:rPr>
        <w:t>（</w:t>
      </w:r>
      <w:r>
        <w:rPr>
          <w:rFonts w:ascii="宋体" w:hAnsi="宋体" w:cs="宋体"/>
          <w:kern w:val="0"/>
          <w:szCs w:val="21"/>
          <w:lang w:bidi="ar"/>
        </w:rPr>
        <w:t>2</w:t>
      </w:r>
      <w:r>
        <w:rPr>
          <w:rFonts w:hint="eastAsia" w:ascii="宋体" w:hAnsi="宋体" w:cs="宋体"/>
          <w:kern w:val="0"/>
          <w:szCs w:val="21"/>
          <w:lang w:bidi="ar"/>
        </w:rPr>
        <w:t>）采购负责人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采购负责人姓名：</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采购负责人职责：负责本项目的专业设备材料采购，负责采购的质量控制、进度控制、信息管理和施工现场的组织协调。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采购负责人权限：执行法律法规规章、建设项目工程总承包合同和规范等文件规定的承包人应做的采购工作（以承包人书面授权范围为准）。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承包人应在本合同订立前提交与采购负责人签订的劳动合同及为采购负责人缴纳社会保险的证明，承包人未在限期内提交的，采购负责人无权履行职责，发包人有权要求更换采购负责人。</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）施工负责人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施工负责人姓名：</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证书名称及注册号：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施工负责人职责：负责本项目的工程施工，负责工程施工质量控制、进度控制、信息管理和施工现场的组织协调。</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施工负责人权限：执行法律法规规章、建设项目工程总承包合同和规范等文件规定的承包人应做的施工工作（以承包人书面授权范围为准）。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施工负责人每月在现场的时间要求：</w:t>
      </w:r>
      <w:r>
        <w:rPr>
          <w:rFonts w:hint="eastAsia" w:ascii="宋体" w:hAnsi="宋体" w:cs="宋体"/>
          <w:kern w:val="0"/>
          <w:szCs w:val="21"/>
          <w:u w:val="single"/>
          <w:lang w:bidi="ar"/>
        </w:rPr>
        <w:t>不少于  天，由监理人负责施工负责人的考勤</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承包人应在本合同订立前提交与施工负责人签订的劳动合同及为施工负责人缴纳社会保险的证明，承包人未在限期内提交的，施工负责人无权履行职责，发包人有权要求更换施工负责人。</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w:t>
      </w:r>
      <w:r>
        <w:rPr>
          <w:rFonts w:ascii="宋体" w:hAnsi="宋体" w:cs="宋体"/>
          <w:kern w:val="0"/>
          <w:szCs w:val="21"/>
          <w:lang w:bidi="ar"/>
        </w:rPr>
        <w:t>4</w:t>
      </w:r>
      <w:r>
        <w:rPr>
          <w:rFonts w:hint="eastAsia" w:ascii="宋体" w:hAnsi="宋体" w:cs="宋体"/>
          <w:kern w:val="0"/>
          <w:szCs w:val="21"/>
          <w:lang w:bidi="ar"/>
        </w:rPr>
        <w:t>）施工技术负责人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施工技术负责人姓名：</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证书名称及号码：</w:t>
      </w:r>
      <w:r>
        <w:rPr>
          <w:rFonts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施工技术负责人每月在现场的时间要求：</w:t>
      </w:r>
      <w:r>
        <w:rPr>
          <w:rFonts w:hint="eastAsia" w:ascii="宋体" w:hAnsi="宋体" w:cs="宋体"/>
          <w:kern w:val="0"/>
          <w:szCs w:val="21"/>
          <w:u w:val="single"/>
          <w:lang w:bidi="ar"/>
        </w:rPr>
        <w:t>不少于  天，由监理人负责施工技术负责人的考勤</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承包人应在本合同订立前提交与施工技术负责人签订的劳动合同及为施工技术负责人缴纳社会保险的证明，承包人未在限期内提交的，施工技术负责人无权履行职责，发包人有权要求更换施工技术负责人。</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（5）其他要求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承包人提交项目管理机构及施工现场人员安排的报告的期限：合同订立后7天内。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承包人提交关键人员信息及注册执业资格等证明其具备担任关键人员能力的相关文件的期限：合同订立后7天内。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4.4.2 关键人员更换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承包人擅自更换关键人员的违约责任：</w:t>
      </w:r>
      <w:r>
        <w:rPr>
          <w:rFonts w:hint="eastAsia" w:ascii="宋体" w:hAnsi="宋体" w:cs="宋体"/>
          <w:kern w:val="0"/>
          <w:szCs w:val="21"/>
          <w:u w:val="single"/>
          <w:lang w:bidi="ar"/>
        </w:rPr>
        <w:t>按照第15.2款[承包人违约]约定执行。</w:t>
      </w:r>
    </w:p>
    <w:p>
      <w:pPr>
        <w:widowControl/>
        <w:adjustRightInd w:val="0"/>
        <w:snapToGrid w:val="0"/>
        <w:spacing w:after="163" w:afterLines="50" w:line="360" w:lineRule="auto"/>
        <w:ind w:left="420" w:leftChars="200"/>
        <w:rPr>
          <w:rFonts w:ascii="宋体" w:hAnsi="宋体" w:cs="宋体"/>
          <w:kern w:val="0"/>
        </w:rPr>
      </w:pPr>
      <w:r>
        <w:rPr>
          <w:rFonts w:hint="eastAsia" w:ascii="宋体" w:hAnsi="宋体" w:cs="宋体"/>
          <w:kern w:val="0"/>
          <w:szCs w:val="21"/>
          <w:lang w:bidi="ar"/>
        </w:rPr>
        <w:t>承包人无正当理由拒绝撤换关键人员的违约责任：</w:t>
      </w:r>
      <w:bookmarkStart w:id="2949" w:name="_Hlk58838700"/>
      <w:r>
        <w:rPr>
          <w:rFonts w:hint="eastAsia" w:ascii="宋体" w:hAnsi="宋体" w:cs="宋体"/>
          <w:kern w:val="0"/>
          <w:szCs w:val="21"/>
          <w:lang w:bidi="ar"/>
        </w:rPr>
        <w:t>按照第15.2款[承包人违约]约定执行。</w:t>
      </w:r>
      <w:bookmarkEnd w:id="2949"/>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4.4.3 现场管理关键人员在岗要求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承包人现场管理关键人员离开施工现场的批准要求：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承包人现场管理关键人员擅自离开施工现场的违约责任：按照第15.2款[承包人违约]约定执行。</w:t>
      </w:r>
    </w:p>
    <w:p>
      <w:pPr>
        <w:widowControl/>
        <w:adjustRightInd w:val="0"/>
        <w:snapToGrid w:val="0"/>
        <w:spacing w:after="163" w:afterLines="50" w:line="360" w:lineRule="auto"/>
        <w:ind w:firstLine="420" w:firstLineChars="200"/>
        <w:jc w:val="left"/>
        <w:rPr>
          <w:rFonts w:ascii="宋体" w:hAnsi="宋体" w:cs="宋体"/>
          <w:kern w:val="0"/>
        </w:rPr>
      </w:pPr>
      <w:bookmarkStart w:id="2950" w:name="_Hlk528927718"/>
      <w:bookmarkEnd w:id="2950"/>
      <w:r>
        <w:rPr>
          <w:rFonts w:hint="eastAsia" w:ascii="宋体" w:hAnsi="宋体" w:cs="宋体"/>
          <w:kern w:val="0"/>
          <w:szCs w:val="21"/>
          <w:lang w:bidi="ar"/>
        </w:rPr>
        <w:t>本款补充4.4.4、4.4.5项：</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4.4.4 发包人有权书面通知承包人更换其认为不称职/不履职的工程总承包项目经理、设计负责人、施工负责人或施工技术负责人，通知中应当载明要求更换的理由。承包人应在接到更换通知后7天内向发包人提出书面的整改报告。发包人收到整改报告后仍要求更换的，承包人应在接到第二次更换通知的14天内进行更换，并将新任命人员的注册执业资格、职称证书、管理经验等资料书面报送发包人审核批准。继任人员继续履行合同约定的职责。</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若总承包项目经理、设计负责人、施工负责人或施工技术负责人出现下列情形需更换的，承包人应向发包人发出通知，经发包人领导班子集体决策同意后予以批准，并将变更信息推送给行业主管部门：</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（1）死亡；</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（2）非承包人原因导致工期延长，而致使项目经理和技术负责人达到法定退休年龄且确需退休；</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（3）按《职工非因工伤残或因病丧失劳动能力程度鉴定标准（试行）》规定鉴定为完全丧失劳动能力和大部分丧失劳动能力；</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（4）非承包人原因导致中标3个月不能开工；</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（5）被公安或者司法机关限制人身自由；</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（6）被取消职称或者执业资格，不满足项目管理要求；</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（7）非承包人原因导致确需变更的其它情形。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4.4.5 国有资金投资项目其他主要人员变更参照《重庆市政府投资项目合同变更管理暂行办法》的规定。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 分包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4.5.1 一般约定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禁止分包的工程包括：</w:t>
      </w:r>
      <w:r>
        <w:rPr>
          <w:rFonts w:hint="eastAsia" w:ascii="宋体" w:hAnsi="宋体" w:cs="宋体"/>
          <w:kern w:val="0"/>
          <w:szCs w:val="21"/>
          <w:u w:val="single"/>
          <w:lang w:bidi="ar"/>
        </w:rPr>
        <w:t>主体结构、关键性工作等国家法律、法规禁止分包的工程的设计和施工</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主体结构、关键性工作的范围：国家法律、法规、规范、标准等所约束的范围。如房建工程主体结构指混凝土工程、砌体工程；关键性工作指梁、板、柱等部位。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4.5.2 分包的确定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允许分包的工程包括：</w:t>
      </w:r>
      <w:r>
        <w:rPr>
          <w:rFonts w:hint="eastAsia" w:ascii="宋体" w:hAnsi="宋体" w:cs="宋体"/>
          <w:kern w:val="0"/>
          <w:szCs w:val="21"/>
          <w:u w:val="single"/>
          <w:lang w:bidi="ar"/>
        </w:rPr>
        <w:t>符合《中华人民共和国建筑法》和《中华人民共和国招标投标法》的相关规定</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其他关于分包的约定：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严禁违法分包。违法分包一经查实，承包人的履约担保不予退还，终止合同；同时发包人有权向相关行政监管部门举报，根据《住房和城乡建设部关于印发建筑工程施工发包与承包违法行为认定查处管理办法的通知》（建市规〔2019〕1号）相关规定条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在合同履行过程中实行设计、施工人员实名制管理，发包人有权核查承包人管理人员的资格证件、工程价款往来银行账户、施工单位的材料构配件、设备的发票等资料，配合相关行政主管部门加大对转包、违法分包行为的查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4.5.5 分包合同价款支付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关于分包合同价款支付的约定：</w:t>
      </w:r>
      <w:r>
        <w:rPr>
          <w:rFonts w:hint="eastAsia" w:ascii="宋体" w:hAnsi="宋体" w:cs="宋体"/>
          <w:kern w:val="0"/>
          <w:szCs w:val="21"/>
          <w:u w:val="single"/>
          <w:lang w:bidi="ar"/>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4.6 联合体</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w:t>
      </w:r>
      <w:r>
        <w:rPr>
          <w:rFonts w:ascii="宋体" w:hAnsi="宋体" w:cs="宋体"/>
          <w:kern w:val="0"/>
          <w:szCs w:val="21"/>
          <w:lang w:bidi="ar"/>
        </w:rPr>
        <w:t xml:space="preserve">.6.2 </w:t>
      </w:r>
      <w:r>
        <w:rPr>
          <w:rFonts w:hint="eastAsia" w:ascii="宋体" w:hAnsi="宋体" w:cs="宋体"/>
          <w:kern w:val="0"/>
          <w:szCs w:val="21"/>
          <w:lang w:bidi="ar"/>
        </w:rPr>
        <w:t>联合体各成员的分工、费用收取、发票开具等事项：由</w:t>
      </w:r>
      <w:r>
        <w:rPr>
          <w:rFonts w:hint="eastAsia" w:ascii="宋体" w:hAnsi="宋体" w:cs="宋体"/>
          <w:kern w:val="0"/>
          <w:szCs w:val="21"/>
          <w:u w:val="single"/>
          <w:lang w:bidi="ar"/>
        </w:rPr>
        <w:t>联合体各成员在</w:t>
      </w:r>
      <w:r>
        <w:rPr>
          <w:rFonts w:hint="eastAsia" w:ascii="宋体" w:hAnsi="宋体" w:cs="宋体"/>
          <w:kern w:val="0"/>
          <w:szCs w:val="21"/>
          <w:u w:val="single"/>
          <w:lang w:eastAsia="zh-CN" w:bidi="ar"/>
        </w:rPr>
        <w:t>共同投标协议</w:t>
      </w:r>
      <w:r>
        <w:rPr>
          <w:rFonts w:hint="eastAsia" w:ascii="宋体" w:hAnsi="宋体" w:cs="宋体"/>
          <w:kern w:val="0"/>
          <w:szCs w:val="21"/>
          <w:u w:val="single"/>
          <w:lang w:bidi="ar"/>
        </w:rPr>
        <w:t>中约定</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4.7 承包人现场查勘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w:t>
      </w:r>
      <w:r>
        <w:rPr>
          <w:rFonts w:ascii="宋体" w:hAnsi="宋体" w:cs="宋体"/>
          <w:kern w:val="0"/>
          <w:szCs w:val="21"/>
          <w:lang w:bidi="ar"/>
        </w:rPr>
        <w:t xml:space="preserve">.7.1 </w:t>
      </w:r>
      <w:r>
        <w:rPr>
          <w:rFonts w:hint="eastAsia" w:ascii="宋体" w:hAnsi="宋体" w:cs="宋体"/>
          <w:kern w:val="0"/>
          <w:szCs w:val="21"/>
          <w:lang w:bidi="ar"/>
        </w:rPr>
        <w:t>双方当事人对现场查勘的责任承担的约定：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4.8 不可预见的困难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不可预见的困难包括：</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4.9 工程质量管理</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工程质量的特殊标准或要求：</w:t>
      </w:r>
      <w:r>
        <w:rPr>
          <w:rFonts w:hint="eastAsia" w:ascii="宋体" w:hAnsi="宋体" w:cs="宋体"/>
          <w:kern w:val="0"/>
          <w:szCs w:val="21"/>
          <w:u w:val="single"/>
          <w:lang w:bidi="ar"/>
        </w:rPr>
        <w:t>在工程建设中，参建各方应严格执行以下规定（包括但不限于）：</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（1）《建筑工程施工质量验收统一标准》（GB50300-2013）；</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（2）《住房城乡建设部关于印发工程质量安全提升行动方案的通知》（建质〔2017〕57）；</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（3）《房屋建筑和市政基础设施工程竣工验收规定》（建质〔2013〕171）；</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（4）《建设部关于贯彻执行建筑工程勘察设计及施工质量验收规范若干问题的通知》（建标〔2002〕212号）；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（5）《重庆市住房和城乡建设委员会关于印发&lt;重庆市房屋建筑和市政基础设施工程质量常见问题防治要点（2019年版）&gt;的通知》（渝建〔2019〕198号）；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（6）《关于印发&lt;重庆市房屋建筑和市政基础设施工程预拌商品砂浆应用推进工作方案&gt;的通知》（渝建〔2018〕375号）；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（7）《重庆市城乡建设委员会关于印发2018年房屋建筑和市政基础设施工程质量要点的通知》（渝建〔2018〕94号）；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（8）《重庆市城乡建设委员会关于进一步推广应用预拌商品砂浆的通知》（渝建〔2016〕318号）；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（9）《重庆市建设委员会关于发布&lt;建筑工程施工质量验收规范用表（建筑节能分部工程）&gt;和&lt;建设工程技术用表（建筑节能工程）&gt;的通知》（渝建发〔2008〕76号）；</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（10）国家和本市现行有关建设工程质量验收标准、规范和要求；</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（11）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承包人、监理人和发包人在工程建设中，应严格执行国家及重庆市现行标准，如上述标准及规范要求有出入则以较严格者为准。</w:t>
      </w:r>
    </w:p>
    <w:p>
      <w:pPr>
        <w:widowControl/>
        <w:adjustRightInd w:val="0"/>
        <w:snapToGrid w:val="0"/>
        <w:spacing w:after="163" w:afterLines="50" w:line="360" w:lineRule="auto"/>
        <w:outlineLvl w:val="1"/>
        <w:rPr>
          <w:rFonts w:ascii="宋体" w:hAnsi="宋体" w:cs="Times"/>
          <w:kern w:val="0"/>
        </w:rPr>
      </w:pPr>
      <w:bookmarkStart w:id="2951" w:name="_Toc20171878"/>
      <w:bookmarkEnd w:id="2951"/>
      <w:bookmarkStart w:id="2952" w:name="_Toc18774"/>
      <w:bookmarkStart w:id="2953" w:name="_Toc5679"/>
      <w:bookmarkStart w:id="2954" w:name="_Toc31459"/>
      <w:bookmarkStart w:id="2955" w:name="_Toc22635"/>
      <w:r>
        <w:rPr>
          <w:rFonts w:hint="eastAsia" w:ascii="宋体" w:hAnsi="宋体" w:cs="Times"/>
          <w:kern w:val="0"/>
          <w:szCs w:val="21"/>
          <w:lang w:bidi="ar"/>
        </w:rPr>
        <w:t>第5条 设计</w:t>
      </w:r>
      <w:bookmarkEnd w:id="2952"/>
      <w:bookmarkEnd w:id="2953"/>
      <w:bookmarkEnd w:id="2954"/>
      <w:bookmarkEnd w:id="2955"/>
      <w:r>
        <w:rPr>
          <w:rFonts w:hint="eastAsia" w:ascii="宋体" w:hAnsi="宋体" w:cs="Times"/>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5.2 </w:t>
      </w:r>
      <w:r>
        <w:rPr>
          <w:rFonts w:hint="eastAsia" w:ascii="宋体" w:hAnsi="宋体" w:cs="宋体"/>
          <w:szCs w:val="21"/>
          <w:lang w:bidi="ar"/>
        </w:rPr>
        <w:t>承包人文件</w:t>
      </w:r>
      <w:r>
        <w:rPr>
          <w:rFonts w:hint="eastAsia" w:ascii="宋体" w:hAnsi="宋体" w:cs="宋体"/>
          <w:kern w:val="0"/>
          <w:szCs w:val="21"/>
          <w:lang w:bidi="ar"/>
        </w:rPr>
        <w:t>审查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5.2.1</w:t>
      </w:r>
      <w:r>
        <w:rPr>
          <w:rFonts w:ascii="宋体" w:hAnsi="宋体" w:cs="宋体"/>
          <w:kern w:val="0"/>
          <w:szCs w:val="21"/>
          <w:lang w:bidi="ar"/>
        </w:rPr>
        <w:t xml:space="preserve"> </w:t>
      </w:r>
      <w:r>
        <w:rPr>
          <w:rFonts w:hint="eastAsia" w:ascii="宋体" w:hAnsi="宋体" w:cs="宋体"/>
          <w:szCs w:val="21"/>
          <w:lang w:bidi="ar"/>
        </w:rPr>
        <w:t>承包人</w:t>
      </w:r>
      <w:r>
        <w:rPr>
          <w:rFonts w:hint="eastAsia" w:ascii="宋体" w:hAnsi="宋体" w:cs="宋体"/>
          <w:kern w:val="0"/>
          <w:szCs w:val="21"/>
          <w:lang w:bidi="ar"/>
        </w:rPr>
        <w:t>文件审查的期限：</w:t>
      </w:r>
      <w:r>
        <w:rPr>
          <w:rFonts w:hint="eastAsia" w:ascii="宋体" w:hAnsi="宋体" w:cs="宋体"/>
          <w:kern w:val="0"/>
          <w:szCs w:val="21"/>
          <w:u w:val="single"/>
          <w:lang w:bidi="ar"/>
        </w:rPr>
        <w:t>自监理人收到承包人文件以及承包人的通知之日起，发包人对承包人文件审查期不超过21天</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5.2.</w:t>
      </w:r>
      <w:r>
        <w:rPr>
          <w:rFonts w:ascii="宋体" w:hAnsi="宋体" w:cs="宋体"/>
          <w:kern w:val="0"/>
          <w:szCs w:val="21"/>
          <w:lang w:bidi="ar"/>
        </w:rPr>
        <w:t xml:space="preserve">2 </w:t>
      </w:r>
      <w:r>
        <w:rPr>
          <w:rFonts w:hint="eastAsia" w:ascii="宋体" w:hAnsi="宋体" w:cs="宋体"/>
          <w:kern w:val="0"/>
          <w:szCs w:val="21"/>
          <w:lang w:bidi="ar"/>
        </w:rPr>
        <w:t>审查会议的审查形式和时间安排为：</w:t>
      </w:r>
      <w:r>
        <w:rPr>
          <w:rFonts w:hint="eastAsia" w:ascii="宋体" w:hAnsi="宋体" w:cs="宋体"/>
          <w:kern w:val="0"/>
          <w:szCs w:val="21"/>
          <w:u w:val="single"/>
          <w:lang w:bidi="ar"/>
        </w:rPr>
        <w:t xml:space="preserve">            </w:t>
      </w:r>
      <w:r>
        <w:rPr>
          <w:rFonts w:hint="eastAsia" w:ascii="宋体" w:hAnsi="宋体" w:cs="宋体"/>
          <w:kern w:val="0"/>
          <w:szCs w:val="21"/>
          <w:lang w:bidi="ar"/>
        </w:rPr>
        <w:t>，审查会议的相关费用由</w:t>
      </w:r>
      <w:r>
        <w:rPr>
          <w:rFonts w:hint="eastAsia" w:ascii="宋体" w:hAnsi="宋体" w:cs="宋体"/>
          <w:kern w:val="0"/>
          <w:szCs w:val="21"/>
          <w:u w:val="single"/>
          <w:lang w:bidi="ar"/>
        </w:rPr>
        <w:t xml:space="preserve">                  承包人</w:t>
      </w:r>
      <w:r>
        <w:rPr>
          <w:rFonts w:hint="eastAsia" w:ascii="宋体" w:hAnsi="宋体" w:cs="宋体"/>
          <w:kern w:val="0"/>
          <w:szCs w:val="21"/>
          <w:lang w:bidi="ar"/>
        </w:rPr>
        <w:t>承担。</w:t>
      </w:r>
    </w:p>
    <w:p>
      <w:pPr>
        <w:widowControl/>
        <w:adjustRightInd w:val="0"/>
        <w:snapToGrid w:val="0"/>
        <w:spacing w:after="163" w:afterLines="50" w:line="360" w:lineRule="auto"/>
        <w:ind w:firstLine="420" w:firstLineChars="200"/>
        <w:rPr>
          <w:lang w:bidi="ar"/>
        </w:rPr>
      </w:pPr>
      <w:r>
        <w:rPr>
          <w:rFonts w:ascii="宋体" w:hAnsi="宋体" w:cs="宋体"/>
          <w:kern w:val="0"/>
          <w:szCs w:val="21"/>
          <w:lang w:bidi="ar"/>
        </w:rPr>
        <w:t>5.2.3</w:t>
      </w:r>
      <w:r>
        <w:rPr>
          <w:lang w:bidi="ar"/>
        </w:rPr>
        <w:t xml:space="preserve"> </w:t>
      </w:r>
      <w:r>
        <w:rPr>
          <w:rFonts w:hint="eastAsia"/>
          <w:lang w:bidi="ar"/>
        </w:rPr>
        <w:t>关于第三方审查单位的约定：</w:t>
      </w:r>
      <w:r>
        <w:rPr>
          <w:u w:val="single"/>
          <w:lang w:bidi="ar"/>
        </w:rPr>
        <w:t xml:space="preserve">                  </w:t>
      </w:r>
      <w:r>
        <w:rPr>
          <w:rFonts w:hint="eastAsia"/>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5.3 培训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培训的时长为</w:t>
      </w:r>
      <w:r>
        <w:rPr>
          <w:rFonts w:hint="eastAsia" w:ascii="宋体" w:hAnsi="宋体" w:cs="宋体"/>
          <w:kern w:val="0"/>
          <w:szCs w:val="21"/>
          <w:u w:val="single"/>
          <w:lang w:bidi="ar"/>
        </w:rPr>
        <w:t xml:space="preserve">             </w:t>
      </w:r>
      <w:r>
        <w:rPr>
          <w:rFonts w:hint="eastAsia" w:ascii="宋体" w:hAnsi="宋体" w:cs="宋体"/>
          <w:kern w:val="0"/>
          <w:szCs w:val="21"/>
          <w:lang w:bidi="ar"/>
        </w:rPr>
        <w:t>，承包人应为培训提供的人员、设施和其它必要条件为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5.4 竣工文件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5.4.1 承包人提交的竣工文件的内容：工程施工技术资料、工程质量保证资料、工程检验评定资料、竣工图及其他应交资料，应符合《建设工程文件归档整理规范</w:t>
      </w:r>
      <w:r>
        <w:rPr>
          <w:rFonts w:hint="eastAsia" w:ascii="宋体" w:hAnsi="宋体" w:cs="宋体"/>
          <w:kern w:val="0"/>
          <w:szCs w:val="21"/>
          <w:lang w:eastAsia="zh-CN" w:bidi="ar"/>
        </w:rPr>
        <w:t>（</w:t>
      </w:r>
      <w:r>
        <w:rPr>
          <w:rFonts w:hint="eastAsia" w:ascii="宋体" w:hAnsi="宋体" w:cs="宋体"/>
          <w:kern w:val="0"/>
          <w:szCs w:val="21"/>
          <w:lang w:val="en-US" w:eastAsia="zh-CN" w:bidi="ar"/>
        </w:rPr>
        <w:t>2019年版</w:t>
      </w:r>
      <w:r>
        <w:rPr>
          <w:rFonts w:hint="eastAsia" w:ascii="宋体" w:hAnsi="宋体" w:cs="宋体"/>
          <w:kern w:val="0"/>
          <w:szCs w:val="21"/>
          <w:lang w:eastAsia="zh-CN" w:bidi="ar"/>
        </w:rPr>
        <w:t>）</w:t>
      </w:r>
      <w:r>
        <w:rPr>
          <w:rFonts w:hint="eastAsia" w:ascii="宋体" w:hAnsi="宋体" w:cs="宋体"/>
          <w:kern w:val="0"/>
          <w:szCs w:val="21"/>
          <w:lang w:bidi="ar"/>
        </w:rPr>
        <w:t>》（GB/T50328-2014）和重庆市有关文件规定。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承包人需要提交的竣工文件套数：完整竣工文件一式</w:t>
      </w:r>
      <w:r>
        <w:rPr>
          <w:rFonts w:hint="eastAsia" w:ascii="宋体" w:hAnsi="宋体" w:cs="宋体"/>
          <w:kern w:val="0"/>
          <w:szCs w:val="21"/>
          <w:u w:val="single"/>
          <w:lang w:bidi="ar"/>
        </w:rPr>
        <w:t xml:space="preserve">    </w:t>
      </w:r>
      <w:r>
        <w:rPr>
          <w:rFonts w:hint="eastAsia" w:ascii="宋体" w:hAnsi="宋体" w:cs="宋体"/>
          <w:kern w:val="0"/>
          <w:szCs w:val="21"/>
          <w:lang w:bidi="ar"/>
        </w:rPr>
        <w:t>套（含纸质版竣工图三套，电子版竣工图二套）。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承包人提交的竣工文件的费用承担：由承包人承担。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承包人提交的竣工文件移交时间：工程竣工验收合格后</w:t>
      </w:r>
      <w:r>
        <w:rPr>
          <w:rFonts w:hint="eastAsia" w:ascii="宋体" w:hAnsi="宋体" w:cs="宋体"/>
          <w:kern w:val="0"/>
          <w:szCs w:val="21"/>
          <w:u w:val="single"/>
          <w:lang w:bidi="ar"/>
        </w:rPr>
        <w:t xml:space="preserve">  </w:t>
      </w:r>
      <w:r>
        <w:rPr>
          <w:rFonts w:hint="eastAsia" w:ascii="宋体" w:hAnsi="宋体" w:cs="宋体"/>
          <w:kern w:val="0"/>
          <w:szCs w:val="21"/>
          <w:lang w:bidi="ar"/>
        </w:rPr>
        <w:t>个月内移交给发包人。</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承包人提交的竣工文件形式要求：完整的书面文件及电子文档。</w:t>
      </w:r>
    </w:p>
    <w:p>
      <w:pPr>
        <w:widowControl/>
        <w:adjustRightInd w:val="0"/>
        <w:snapToGrid w:val="0"/>
        <w:spacing w:after="163" w:afterLines="50" w:line="360" w:lineRule="auto"/>
        <w:ind w:firstLine="420" w:firstLineChars="200"/>
        <w:rPr>
          <w:lang w:bidi="ar"/>
        </w:rPr>
      </w:pPr>
      <w:r>
        <w:rPr>
          <w:rFonts w:ascii="宋体" w:hAnsi="宋体" w:cs="宋体"/>
          <w:kern w:val="0"/>
          <w:szCs w:val="21"/>
          <w:lang w:bidi="ar"/>
        </w:rPr>
        <w:t>5.4.3</w:t>
      </w:r>
      <w:r>
        <w:rPr>
          <w:lang w:bidi="ar"/>
        </w:rPr>
        <w:t xml:space="preserve"> </w:t>
      </w:r>
      <w:r>
        <w:rPr>
          <w:rFonts w:hint="eastAsia"/>
          <w:lang w:bidi="ar"/>
        </w:rPr>
        <w:t>关于竣工文件的其他约定：</w:t>
      </w:r>
      <w:r>
        <w:rPr>
          <w:u w:val="single"/>
          <w:lang w:bidi="ar"/>
        </w:rPr>
        <w:t xml:space="preserve">                    </w:t>
      </w:r>
      <w:r>
        <w:rPr>
          <w:rFonts w:hint="eastAsia"/>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5.5 操作和维修手册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5.5.</w:t>
      </w:r>
      <w:r>
        <w:rPr>
          <w:rFonts w:ascii="宋体" w:hAnsi="宋体" w:cs="宋体"/>
          <w:kern w:val="0"/>
          <w:szCs w:val="21"/>
          <w:lang w:bidi="ar"/>
        </w:rPr>
        <w:t>3</w:t>
      </w:r>
      <w:r>
        <w:rPr>
          <w:rFonts w:hint="eastAsia" w:ascii="宋体" w:hAnsi="宋体" w:cs="宋体"/>
          <w:kern w:val="0"/>
          <w:szCs w:val="21"/>
          <w:lang w:bidi="ar"/>
        </w:rPr>
        <w:t xml:space="preserve"> 对最终操作和维修手册的约定：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56" w:name="_Toc20171879"/>
      <w:bookmarkEnd w:id="2956"/>
      <w:bookmarkStart w:id="2957" w:name="_Toc3359"/>
      <w:bookmarkStart w:id="2958" w:name="_Toc18090"/>
      <w:bookmarkStart w:id="2959" w:name="_Toc14103"/>
      <w:bookmarkStart w:id="2960" w:name="_Toc27225"/>
      <w:r>
        <w:rPr>
          <w:rFonts w:hint="eastAsia" w:ascii="宋体" w:hAnsi="宋体" w:cs="Times"/>
          <w:kern w:val="0"/>
          <w:szCs w:val="21"/>
          <w:lang w:bidi="ar"/>
        </w:rPr>
        <w:t>第6条 材料、工程设备</w:t>
      </w:r>
      <w:bookmarkEnd w:id="2957"/>
      <w:bookmarkEnd w:id="2958"/>
      <w:bookmarkEnd w:id="2959"/>
      <w:bookmarkEnd w:id="2960"/>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6.1 实施方法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双方当事人约定的实施方法、设备、设施和材料：</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 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6.2.1 发包人提供的材料和工程设备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发包人应提供甲供材料的明细表，结算时按经监理人、承包人共同确认的供应数量乘以招标时甲供材料暂定价格，在支付工程款时扣除。</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发包人提供的材料和工程设备验收后，由</w:t>
      </w:r>
      <w:r>
        <w:rPr>
          <w:rFonts w:hint="eastAsia" w:ascii="宋体" w:hAnsi="宋体" w:cs="宋体"/>
          <w:kern w:val="0"/>
          <w:szCs w:val="21"/>
          <w:u w:val="single"/>
          <w:lang w:bidi="ar"/>
        </w:rPr>
        <w:t>承包人</w:t>
      </w:r>
      <w:r>
        <w:rPr>
          <w:rFonts w:hint="eastAsia" w:ascii="宋体" w:hAnsi="宋体" w:cs="宋体"/>
          <w:kern w:val="0"/>
          <w:szCs w:val="21"/>
          <w:lang w:bidi="ar"/>
        </w:rPr>
        <w:t>负责接收、运输和保管。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发包人按约定的内容提供材料设备并对提供的材料设备质量负责，承包人按施工规范和检测规范对一切进场材料进行质量检验，承包人有权退回检验不合格的材料；承包人对投入使用的材料质量负责。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6.2.2 承包人提供的材料和工程设备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材料和工程设备的类别、估算数量：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竣工后试验的生产性材料的类别或（和）清单：</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由承包人自行采购。承包人采购材料设备必须经监理人和发包人批准，结算时由监理人和发包人按招标文件规定审核的数量和合同约定价格计算。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6.2.3材料和工程设备的保管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发包人供应的材料和工程设备的保管费用由</w:t>
      </w:r>
      <w:r>
        <w:rPr>
          <w:rFonts w:hint="eastAsia" w:ascii="宋体" w:hAnsi="宋体" w:cs="宋体"/>
          <w:kern w:val="0"/>
          <w:szCs w:val="21"/>
          <w:u w:val="single"/>
          <w:lang w:bidi="ar"/>
        </w:rPr>
        <w:t xml:space="preserve">        </w:t>
      </w:r>
      <w:r>
        <w:rPr>
          <w:rFonts w:hint="eastAsia" w:ascii="宋体" w:hAnsi="宋体" w:cs="宋体"/>
          <w:kern w:val="0"/>
          <w:szCs w:val="21"/>
          <w:lang w:bidi="ar"/>
        </w:rPr>
        <w:t>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承包人提交保管、维护方案的时间：材料和工程设备到货</w:t>
      </w:r>
      <w:r>
        <w:rPr>
          <w:rFonts w:hint="eastAsia" w:ascii="宋体" w:hAnsi="宋体" w:cs="宋体"/>
          <w:kern w:val="0"/>
          <w:szCs w:val="21"/>
          <w:u w:val="single"/>
          <w:lang w:bidi="ar"/>
        </w:rPr>
        <w:t>7天前</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发包人提供的库房、堆场、设施和设备：</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本款补充6.2.4项：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6.2.4承包人选择的材料和工程设备满足下列要求：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A.承包人选择的专业设备材料供应商应满足：</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B.承包人选择的混凝土、钢材、水泥供应商应满足：</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C.承包人采购的材料与设计或标准要求不符时，承包人应按发包人和监理人要求的时间运出施工场地，并重新采购符合要求的产品，并承担由此发生的费用，因此延误的工期不予顺延。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D.承包人采购的材料在使用前，应按发包人和监理人的要求进行检验或试验，不合格的不得使用。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E.</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6.3 样品</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w:t>
      </w:r>
      <w:r>
        <w:rPr>
          <w:rFonts w:ascii="宋体" w:hAnsi="宋体" w:cs="宋体"/>
          <w:kern w:val="0"/>
          <w:szCs w:val="21"/>
          <w:lang w:bidi="ar"/>
        </w:rPr>
        <w:t xml:space="preserve">.3.1 </w:t>
      </w:r>
      <w:r>
        <w:rPr>
          <w:rFonts w:hint="eastAsia" w:ascii="宋体" w:hAnsi="宋体" w:cs="宋体"/>
          <w:kern w:val="0"/>
          <w:szCs w:val="21"/>
          <w:lang w:bidi="ar"/>
        </w:rPr>
        <w:t>样品的报送与封存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需要承包人报送样品的材料或工程设备，样品的种类、名称、规格、数量要求：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 质量检查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6.4.1 工程质量要求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（1）设计的质量要求：</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（2）专业设备材料的质量要求：</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（3）工程施工的质量要求：</w:t>
      </w:r>
      <w:r>
        <w:rPr>
          <w:rFonts w:hint="eastAsia" w:ascii="宋体" w:hAnsi="宋体" w:cs="宋体"/>
          <w:kern w:val="0"/>
          <w:szCs w:val="21"/>
          <w:u w:val="single"/>
          <w:lang w:bidi="ar"/>
        </w:rPr>
        <w:t>工程质量符合强制性质量标准，符合国家和重庆市现行有关施工质量验收规范要求，并达到合格标准</w:t>
      </w:r>
      <w:r>
        <w:rPr>
          <w:rFonts w:hint="eastAsia" w:ascii="宋体" w:hAnsi="宋体" w:cs="宋体"/>
          <w:kern w:val="0"/>
          <w:szCs w:val="21"/>
          <w:lang w:bidi="ar"/>
        </w:rPr>
        <w:t>。强制性质量标准有（包括但不限于）：</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6.4.2 质量检查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除通用合同条件已列明的质量检查的地点外，发包人有权进行质量检查的其他地点：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6.4.3 隐蔽工程检查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工程隐蔽部位经承包人自检确认具备覆盖条件的，承包人应在共同检查前</w:t>
      </w:r>
      <w:r>
        <w:rPr>
          <w:rFonts w:hint="eastAsia" w:ascii="宋体" w:hAnsi="宋体" w:cs="宋体"/>
          <w:kern w:val="0"/>
          <w:szCs w:val="21"/>
          <w:u w:val="single"/>
          <w:lang w:bidi="ar"/>
        </w:rPr>
        <w:t xml:space="preserve">    </w:t>
      </w:r>
      <w:r>
        <w:rPr>
          <w:rFonts w:hint="eastAsia" w:ascii="宋体" w:hAnsi="宋体" w:cs="宋体"/>
          <w:kern w:val="0"/>
          <w:szCs w:val="21"/>
          <w:lang w:bidi="ar"/>
        </w:rPr>
        <w:t>小时书面通知监理人检查，通知中应载明隐蔽检查的内容、时间和地点，并应附有自检记录和必要的检查资料。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关于隐蔽工程和中间验收的特别约定：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 由承包人试验和检验</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w:t>
      </w:r>
      <w:r>
        <w:rPr>
          <w:rFonts w:ascii="宋体" w:hAnsi="宋体" w:cs="宋体"/>
          <w:kern w:val="0"/>
          <w:szCs w:val="21"/>
          <w:lang w:bidi="ar"/>
        </w:rPr>
        <w:t xml:space="preserve">.5.1 </w:t>
      </w:r>
      <w:r>
        <w:rPr>
          <w:rFonts w:hint="eastAsia" w:ascii="宋体" w:hAnsi="宋体" w:cs="宋体"/>
          <w:kern w:val="0"/>
          <w:szCs w:val="21"/>
          <w:lang w:bidi="ar"/>
        </w:rPr>
        <w:t>试验设备与试验人员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试验的内容、时间和地点：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试验所需要的试验设备、取样装置、试验场所和试验条件：</w:t>
      </w:r>
      <w:r>
        <w:rPr>
          <w:rFonts w:hint="eastAsia" w:ascii="宋体" w:hAnsi="宋体" w:cs="宋体"/>
          <w:kern w:val="0"/>
          <w:szCs w:val="21"/>
          <w:u w:val="single"/>
          <w:lang w:bidi="ar"/>
        </w:rPr>
        <w:t>满足工程设计、施工的需要</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本款补充6.5.5～6.5.9项：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6.5.5一般检验试验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实施前，由发包人、承包人和第三方检测试验机构订立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6.5.6特殊检验试验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发包人委托的第三方检测试验机构检测试验的试件所需的材料、取样、送检及相关配合工作由承包人负责完成并承担由此产生的所有相关费用。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（2）施工措施的检测、试验：因施工措施需要而做的相关检测、试验由承包人负责实施，其费用由承包人承担。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6.5.7专项检测：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6.5.8若因承包人取样、制样、送检及相关配合不及时而导致工程的工期和费用增加，影响的工期不予延长，增加费用由承包人承担。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6.5.9检测试验不合格的项目，其缺陷处理和复测费用由承包人承担，工期不予延长。</w:t>
      </w:r>
    </w:p>
    <w:p>
      <w:pPr>
        <w:widowControl/>
        <w:adjustRightInd w:val="0"/>
        <w:snapToGrid w:val="0"/>
        <w:spacing w:after="163" w:afterLines="50" w:line="360" w:lineRule="auto"/>
        <w:outlineLvl w:val="1"/>
        <w:rPr>
          <w:rFonts w:ascii="宋体" w:hAnsi="宋体" w:cs="Times"/>
          <w:b/>
          <w:kern w:val="0"/>
        </w:rPr>
      </w:pPr>
      <w:bookmarkStart w:id="2961" w:name="_Toc20171880"/>
      <w:bookmarkEnd w:id="2961"/>
      <w:bookmarkStart w:id="2962" w:name="_Toc9946"/>
      <w:bookmarkStart w:id="2963" w:name="_Toc10024"/>
      <w:bookmarkStart w:id="2964" w:name="_Toc17822"/>
      <w:bookmarkStart w:id="2965" w:name="_Toc28535"/>
      <w:r>
        <w:rPr>
          <w:rFonts w:hint="eastAsia" w:ascii="宋体" w:hAnsi="宋体" w:cs="Times"/>
          <w:b/>
          <w:kern w:val="0"/>
          <w:szCs w:val="21"/>
          <w:lang w:bidi="ar"/>
        </w:rPr>
        <w:t>第7条 施工</w:t>
      </w:r>
      <w:bookmarkEnd w:id="2962"/>
      <w:bookmarkEnd w:id="2963"/>
      <w:bookmarkEnd w:id="2964"/>
      <w:bookmarkEnd w:id="296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 交通运输</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7.1.1 出入现场的权利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关于出入现场的权利的约定：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7.1.2 场外交通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关于场外交通的特别约定：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7.1.3 场内交通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关于场内交通的特别约定：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关于场内交通与场外交通边界的约定：</w:t>
      </w:r>
      <w:r>
        <w:rPr>
          <w:rFonts w:hint="eastAsia" w:ascii="宋体" w:hAnsi="宋体" w:cs="宋体"/>
          <w:kern w:val="0"/>
          <w:szCs w:val="21"/>
          <w:u w:val="single"/>
          <w:lang w:bidi="ar"/>
        </w:rPr>
        <w:t>以合同工程用地红线为界，用地红线范围内为场内交通（场外道路穿越场内的除外），用地红线外为场外交通</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关于发包人向承包人免费提供满足工程施工需要的场内道路和交通设施的约定：以施工场地移交时的现状为准。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7.1.4 超大件和超重件的运输</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运输超大件或超重件所需的道路和桥梁临时加固改造费用和其他有关费用由</w:t>
      </w:r>
      <w:r>
        <w:rPr>
          <w:rFonts w:hint="eastAsia" w:ascii="宋体" w:hAnsi="宋体" w:cs="宋体"/>
          <w:kern w:val="0"/>
          <w:szCs w:val="21"/>
          <w:u w:val="single"/>
          <w:lang w:bidi="ar"/>
        </w:rPr>
        <w:t xml:space="preserve">            </w:t>
      </w:r>
      <w:r>
        <w:rPr>
          <w:rFonts w:hint="eastAsia" w:ascii="宋体" w:hAnsi="宋体" w:cs="宋体"/>
          <w:kern w:val="0"/>
          <w:szCs w:val="21"/>
          <w:lang w:bidi="ar"/>
        </w:rPr>
        <w:t>承担。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 施工设备和临时设施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7.2.1 承包人提供的施工设备和临时设施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临时设施的费用和临时占地手续和费用承担的特别约定：</w:t>
      </w:r>
      <w:r>
        <w:rPr>
          <w:rFonts w:hint="eastAsia" w:ascii="宋体" w:hAnsi="宋体" w:cs="宋体"/>
          <w:kern w:val="0"/>
          <w:szCs w:val="21"/>
          <w:u w:val="single"/>
          <w:lang w:bidi="ar"/>
        </w:rPr>
        <w:t>由承包人承担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7.2.2 发包人提供的施工设备和临时设施</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发包人提供的施工设备或临时设施范围：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7.3现场合作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关于现场合作费用的特别约定：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7.4 测量放线</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w:t>
      </w:r>
      <w:r>
        <w:rPr>
          <w:rFonts w:ascii="宋体" w:hAnsi="宋体" w:cs="宋体"/>
          <w:kern w:val="0"/>
          <w:szCs w:val="21"/>
          <w:lang w:bidi="ar"/>
        </w:rPr>
        <w:t xml:space="preserve">.4.1 </w:t>
      </w:r>
      <w:r>
        <w:rPr>
          <w:rFonts w:hint="eastAsia" w:ascii="宋体" w:hAnsi="宋体" w:cs="宋体"/>
          <w:kern w:val="0"/>
          <w:szCs w:val="21"/>
          <w:lang w:bidi="ar"/>
        </w:rPr>
        <w:t>关于测量放线的特别约定的技术规范：</w:t>
      </w:r>
      <w:r>
        <w:rPr>
          <w:rFonts w:hint="eastAsia" w:ascii="宋体" w:hAnsi="宋体" w:cs="宋体"/>
          <w:kern w:val="0"/>
          <w:szCs w:val="21"/>
          <w:u w:val="single"/>
          <w:lang w:bidi="ar"/>
        </w:rPr>
        <w:t xml:space="preserve">                                 </w:t>
      </w:r>
      <w:r>
        <w:rPr>
          <w:rFonts w:hint="eastAsia" w:ascii="宋体" w:hAnsi="宋体" w:cs="宋体"/>
          <w:kern w:val="0"/>
          <w:szCs w:val="21"/>
          <w:lang w:bidi="ar"/>
        </w:rPr>
        <w:t>。施工控制网资料的告知期限：</w:t>
      </w:r>
      <w:r>
        <w:rPr>
          <w:rFonts w:hint="eastAsia" w:ascii="宋体" w:hAnsi="宋体" w:cs="宋体"/>
          <w:kern w:val="0"/>
          <w:szCs w:val="21"/>
          <w:u w:val="single"/>
          <w:lang w:bidi="ar"/>
        </w:rPr>
        <w:t>工程开工前7天内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 现场劳动用工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7.5.2 合同当事人对建筑工人工资清偿事宜和违约责任的约定：</w:t>
      </w:r>
      <w:r>
        <w:rPr>
          <w:rFonts w:hint="eastAsia" w:ascii="宋体" w:hAnsi="宋体" w:cs="宋体"/>
          <w:kern w:val="0"/>
          <w:szCs w:val="21"/>
          <w:u w:val="single"/>
          <w:lang w:bidi="ar"/>
        </w:rPr>
        <w:t>详见合同附件1</w:t>
      </w:r>
      <w:r>
        <w:rPr>
          <w:rFonts w:ascii="宋体" w:hAnsi="宋体" w:cs="宋体"/>
          <w:kern w:val="0"/>
          <w:szCs w:val="21"/>
          <w:u w:val="single"/>
          <w:lang w:bidi="ar"/>
        </w:rPr>
        <w:t>0</w:t>
      </w:r>
      <w:r>
        <w:rPr>
          <w:rFonts w:hint="eastAsia" w:ascii="宋体" w:hAnsi="宋体" w:cs="宋体"/>
          <w:kern w:val="0"/>
          <w:szCs w:val="21"/>
          <w:u w:val="single"/>
          <w:lang w:bidi="ar"/>
        </w:rPr>
        <w:t>《保障建筑工人工资支付协议》</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7.6 安全文明施工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7.6.1 安全生产要求</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合同当事人对安全施工的要求：</w:t>
      </w:r>
      <w:r>
        <w:rPr>
          <w:rFonts w:hint="eastAsia" w:ascii="宋体" w:hAnsi="宋体" w:cs="宋体"/>
          <w:kern w:val="0"/>
          <w:szCs w:val="21"/>
          <w:u w:val="single"/>
          <w:lang w:bidi="ar"/>
        </w:rPr>
        <w:t>达到《建筑施工安全检查标准》（JGJ59-2011）的要求。</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（1）按现行安全文明施工费计取及使用管理的政策文件规定及发包人制订的安全管理制度执行。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（2）承包人的原因造成事故，由此产生的法律责任和事故责任及费用由承包人全部承担。</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（3）承包人向发包人做出安全承诺，并签订《安全生产目标责任书》和《安全承诺书》。</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（4）承包人在施工过程中，必须严格执行安全生产法的相关规定和强制性安全标准，制定切实可靠的安全技术措施。</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（5）接受发包人安全监督和管理，在施工中违反安全管理规定和操作规程、违章作业的，承担违约责任。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7.6.3 文明施工 </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合同当事人对文明施工的要求：</w:t>
      </w:r>
      <w:r>
        <w:rPr>
          <w:rFonts w:hint="eastAsia" w:ascii="宋体" w:hAnsi="宋体" w:cs="宋体"/>
          <w:kern w:val="0"/>
          <w:szCs w:val="21"/>
          <w:u w:val="single"/>
          <w:lang w:bidi="ar"/>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安全文明施工费的要求与内容、提取支付方法以及违反约定造成损失的赔偿等条款，按照现行规范要求执行，做到专款专用。</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 xml:space="preserve">7.8 环境保护 </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本款补充7.8.4～7.8.11项：</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7.8.4 承包人应严格按照项目环境影响评价文件批准书结合发包人报送的环境影响报告书的要求进行环境保护的相关工作。如行政主管部门有新标准，则按最新标准执行，执行新标准增加的费用由发包人承担。</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7.8.5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7.8.6 承包人应加强生态环境保护工作。施工期间，采取边坡防护，挡渣坝、排水沟、沉淀池、表土剥离和绿化恢复等水土保持措施减少水土流失量，绿化恢复宜采用适于当地生长的植物。</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7.8.7 承包人应认真落实水污染防治措施。施工期间，加强机械设备维护，减少跑冒滴漏等现象；做好含油废水处理措施；施工场地生活污水经生化处理后达到《污水综合排放标准》（GB8978-1996）一级标准后排放。</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7.8.8 承包人应重视大气污染物污染防治措施。施工期间，严格执行市政府“蓝天行动”方案等有关规定，通过洒水防尘，严格控制施工场地扬尘和运输扬尘污染。</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7.8.9 承包人应落实固体废物污染防治措施。施工期间，项目产生的弃方不可合理利用的，应运往指定的弃渣场内堆存；建筑垃圾运至指定的建筑垃圾消纳场处置；生活垃圾由当地环卫部门统一处置。</w:t>
      </w:r>
    </w:p>
    <w:p>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7.8.10 承包人应认真落实噪声污染防治措施。施工期间，优选低噪声设备，合理安排施工时间，严格控制夜间施工，昼、夜施工场界需满足《建筑施工场界环境噪声排放标准》（GB12523-2011）。</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7.8.11 承包人自行负责办理有关施工场地交通、环卫和施工噪音管理等手续，并应按要求结合自身实际和重庆市相关规定，考虑不低于以上标准的此类工作。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7.9 临时性公用设施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关于临时性公用设施的特别约定：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7.10 现场安保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承包人现场安保义务的特别约定：</w:t>
      </w:r>
      <w:r>
        <w:rPr>
          <w:rFonts w:hint="eastAsia" w:ascii="宋体" w:hAnsi="宋体" w:cs="宋体"/>
          <w:kern w:val="0"/>
          <w:szCs w:val="21"/>
          <w:u w:val="single"/>
          <w:lang w:bidi="ar"/>
        </w:rPr>
        <w:t>承包人负责组建施工现场治安管理机构或联防组织；承包人负责编制施工场地治安管理计划和突发治安事件紧急预案。</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66" w:name="_Toc20171881"/>
      <w:bookmarkEnd w:id="2966"/>
      <w:bookmarkStart w:id="2967" w:name="_Toc18903"/>
      <w:bookmarkStart w:id="2968" w:name="_Toc25168"/>
      <w:bookmarkStart w:id="2969" w:name="_Toc20559"/>
      <w:bookmarkStart w:id="2970" w:name="_Toc18327"/>
      <w:r>
        <w:rPr>
          <w:rFonts w:hint="eastAsia" w:ascii="宋体" w:hAnsi="宋体" w:cs="Times"/>
          <w:kern w:val="0"/>
          <w:szCs w:val="21"/>
          <w:lang w:bidi="ar"/>
        </w:rPr>
        <w:t>第8条 工期和进度</w:t>
      </w:r>
      <w:bookmarkEnd w:id="2967"/>
      <w:bookmarkEnd w:id="2968"/>
      <w:bookmarkEnd w:id="2969"/>
      <w:bookmarkEnd w:id="2970"/>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 开始工作</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8.1.1 开始准备工作：</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8.1.2 发包人可在计划开始工作之日起84日后发出开始工作通知的特殊情形：</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8.2 竣工日期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竣工日期的约定：</w:t>
      </w:r>
      <w:r>
        <w:rPr>
          <w:rFonts w:hint="eastAsia" w:ascii="宋体" w:hAnsi="宋体" w:cs="宋体"/>
          <w:kern w:val="0"/>
          <w:szCs w:val="21"/>
          <w:u w:val="single"/>
          <w:lang w:bidi="ar"/>
        </w:rPr>
        <w:t>计划竣工日期为         ，实际竣工日期以提交竣工验收申请报告的日期为准</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 项目实施计划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8.3.1 项目实施计划的内容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项目实施计划的内容：</w:t>
      </w:r>
      <w:r>
        <w:rPr>
          <w:rFonts w:hint="eastAsia" w:ascii="宋体" w:hAnsi="宋体" w:cs="宋体"/>
          <w:kern w:val="0"/>
          <w:szCs w:val="21"/>
          <w:u w:val="single"/>
          <w:lang w:bidi="ar"/>
        </w:rPr>
        <w:t>应采用文字并结合图表形式说明工程总承包</w:t>
      </w:r>
      <w:r>
        <w:rPr>
          <w:rFonts w:hint="eastAsia" w:ascii="宋体" w:hAnsi="宋体" w:cs="宋体"/>
          <w:kern w:val="0"/>
          <w:szCs w:val="21"/>
          <w:lang w:bidi="ar"/>
        </w:rPr>
        <w:t>总体实施方案、施工图设计方案、采购计划以及施工方法</w:t>
      </w:r>
      <w:r>
        <w:rPr>
          <w:rFonts w:hint="eastAsia" w:ascii="宋体" w:hAnsi="宋体" w:cs="宋体"/>
          <w:kern w:val="0"/>
          <w:szCs w:val="21"/>
          <w:u w:val="single"/>
          <w:lang w:bidi="ar"/>
        </w:rPr>
        <w:t>；列表说明拟投入工程的主要施工设备情况、拟配备工程的试验和检测仪器设备情况、劳动力计划等；结合工程特点提出切实可行的设计思路、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8.3.2 项目实施计划的提交和修改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项目实施计划的提交及修改期限：</w:t>
      </w:r>
      <w:r>
        <w:rPr>
          <w:rFonts w:hint="eastAsia" w:ascii="宋体" w:hAnsi="宋体" w:cs="宋体"/>
          <w:kern w:val="0"/>
          <w:szCs w:val="21"/>
          <w:u w:val="single"/>
          <w:lang w:bidi="ar"/>
        </w:rPr>
        <w:t>合同订立后  天内，但最迟不得晚于开始工作通知载明的开始工作日期前7天</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 项目进度计划</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8.4.1监理人在收到进度计划后确认或提出修改意见的期限：</w:t>
      </w:r>
      <w:r>
        <w:rPr>
          <w:rFonts w:hint="eastAsia" w:ascii="宋体" w:hAnsi="宋体" w:cs="宋体"/>
          <w:kern w:val="0"/>
          <w:szCs w:val="21"/>
          <w:u w:val="single"/>
          <w:lang w:bidi="ar"/>
        </w:rPr>
        <w:t>收到进度计划后  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8.4.2 进度计划的具体要求：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关键路径及关键路径变化的确定原则：</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承包人提交项目进度计划的份数和时间：</w:t>
      </w:r>
      <w:r>
        <w:rPr>
          <w:rFonts w:hint="eastAsia" w:ascii="宋体" w:hAnsi="宋体" w:cs="宋体"/>
          <w:kern w:val="0"/>
          <w:szCs w:val="21"/>
          <w:u w:val="single"/>
          <w:lang w:bidi="ar"/>
        </w:rPr>
        <w:t>合同订立后  天内提供3份，但最迟不得晚于开始工作通知载明的开工工作日期前7天</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8.4.3 进度计划的修订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承包人答复发包人修订项目进度计划通知的期限：</w:t>
      </w:r>
      <w:r>
        <w:rPr>
          <w:rFonts w:hint="eastAsia" w:ascii="宋体" w:hAnsi="宋体" w:cs="宋体"/>
          <w:kern w:val="0"/>
          <w:szCs w:val="21"/>
          <w:u w:val="single"/>
          <w:lang w:bidi="ar"/>
        </w:rPr>
        <w:t>接到修订项目进度计划的通知后</w:t>
      </w:r>
      <w:r>
        <w:rPr>
          <w:rFonts w:ascii="宋体" w:hAnsi="宋体" w:cs="宋体"/>
          <w:kern w:val="0"/>
          <w:szCs w:val="21"/>
          <w:u w:val="single"/>
          <w:lang w:bidi="ar"/>
        </w:rPr>
        <w:t>2天内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承包人提交修订项目进度计划申请报告的期限：</w:t>
      </w:r>
      <w:r>
        <w:rPr>
          <w:rFonts w:hint="eastAsia" w:ascii="宋体" w:hAnsi="宋体" w:cs="宋体"/>
          <w:kern w:val="0"/>
          <w:szCs w:val="21"/>
          <w:u w:val="single"/>
          <w:lang w:bidi="ar"/>
        </w:rPr>
        <w:t>接到修订项目进度计划的通知后</w:t>
      </w:r>
      <w:r>
        <w:rPr>
          <w:rFonts w:ascii="宋体" w:hAnsi="宋体" w:cs="宋体"/>
          <w:kern w:val="0"/>
          <w:szCs w:val="21"/>
          <w:u w:val="single"/>
          <w:lang w:bidi="ar"/>
        </w:rPr>
        <w:t>7天内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发包人批复修订项目进度计划申请报告的期限：</w:t>
      </w:r>
      <w:r>
        <w:rPr>
          <w:rFonts w:hint="eastAsia" w:ascii="宋体" w:hAnsi="宋体" w:cs="宋体"/>
          <w:kern w:val="0"/>
          <w:szCs w:val="21"/>
          <w:u w:val="single"/>
          <w:lang w:bidi="ar"/>
        </w:rPr>
        <w:t>收到修订项目进度计划</w:t>
      </w:r>
      <w:r>
        <w:rPr>
          <w:rFonts w:hint="eastAsia" w:ascii="宋体" w:hAnsi="宋体" w:cs="宋体"/>
          <w:kern w:val="0"/>
          <w:szCs w:val="21"/>
          <w:lang w:bidi="ar"/>
        </w:rPr>
        <w:t>申请报告</w:t>
      </w:r>
      <w:r>
        <w:rPr>
          <w:rFonts w:hint="eastAsia" w:ascii="宋体" w:hAnsi="宋体" w:cs="宋体"/>
          <w:kern w:val="0"/>
          <w:szCs w:val="21"/>
          <w:u w:val="single"/>
          <w:lang w:bidi="ar"/>
        </w:rPr>
        <w:t>后  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8.5 进度报告</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进度报告的具体要求：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 工期延误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8.7.2 因承包人原因导致工期延误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因承包人原因使竣工日期延误，每延误1日的误期赔偿金额为合同协议书的合同价格的</w:t>
      </w:r>
      <w:r>
        <w:rPr>
          <w:rFonts w:hint="eastAsia" w:ascii="宋体" w:hAnsi="宋体" w:cs="宋体"/>
          <w:kern w:val="0"/>
          <w:szCs w:val="21"/>
          <w:u w:val="single"/>
          <w:lang w:bidi="ar"/>
        </w:rPr>
        <w:t xml:space="preserve">    </w:t>
      </w:r>
      <w:r>
        <w:rPr>
          <w:rFonts w:hint="eastAsia" w:ascii="宋体" w:hAnsi="宋体" w:cs="宋体"/>
          <w:kern w:val="0"/>
          <w:szCs w:val="21"/>
          <w:lang w:bidi="ar"/>
        </w:rPr>
        <w:t>%或人民币金额为：</w:t>
      </w:r>
      <w:r>
        <w:rPr>
          <w:rFonts w:hint="eastAsia" w:ascii="宋体" w:hAnsi="宋体" w:cs="宋体"/>
          <w:kern w:val="0"/>
          <w:szCs w:val="21"/>
          <w:u w:val="single"/>
          <w:lang w:bidi="ar"/>
        </w:rPr>
        <w:t xml:space="preserve">          </w:t>
      </w:r>
      <w:r>
        <w:rPr>
          <w:rFonts w:hint="eastAsia" w:ascii="宋体" w:hAnsi="宋体" w:cs="宋体"/>
          <w:kern w:val="0"/>
          <w:szCs w:val="21"/>
          <w:lang w:bidi="ar"/>
        </w:rPr>
        <w:t>、累计最高赔偿金额为合同协议书的合同价格的</w:t>
      </w:r>
      <w:r>
        <w:rPr>
          <w:rFonts w:hint="eastAsia" w:ascii="宋体" w:hAnsi="宋体" w:cs="宋体"/>
          <w:kern w:val="0"/>
          <w:szCs w:val="21"/>
          <w:u w:val="single"/>
          <w:lang w:bidi="ar"/>
        </w:rPr>
        <w:t xml:space="preserve">    </w:t>
      </w:r>
      <w:r>
        <w:rPr>
          <w:rFonts w:hint="eastAsia" w:ascii="宋体" w:hAnsi="宋体" w:cs="宋体"/>
          <w:kern w:val="0"/>
          <w:szCs w:val="21"/>
          <w:lang w:bidi="ar"/>
        </w:rPr>
        <w:t>%或人民币金额为：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8.7.3 行政审批迟延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行政审批报送的职责分工：</w:t>
      </w:r>
      <w:r>
        <w:rPr>
          <w:rFonts w:hint="eastAsia" w:ascii="宋体" w:hAnsi="宋体" w:cs="宋体"/>
          <w:kern w:val="0"/>
          <w:szCs w:val="21"/>
          <w:u w:val="single"/>
          <w:lang w:bidi="ar"/>
        </w:rPr>
        <w:t>由发包人报送，承包人配合提供相关资料</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8.7.4 异常恶劣的气候条件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双方约定视为异常恶劣的气候条件的情形：</w:t>
      </w:r>
      <w:r>
        <w:rPr>
          <w:rFonts w:hint="eastAsia" w:ascii="宋体" w:hAnsi="宋体" w:cs="宋体"/>
          <w:kern w:val="0"/>
          <w:szCs w:val="21"/>
          <w:u w:val="single"/>
          <w:lang w:bidi="ar"/>
        </w:rPr>
        <w:t xml:space="preserve">    （异常恶劣气候是指项目所在地50年以上一遇的罕见恶劣气候现象）</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 工期提前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8.8.2 承包人提前竣工的奖励：</w:t>
      </w:r>
      <w:r>
        <w:rPr>
          <w:rFonts w:hint="eastAsia" w:ascii="宋体" w:hAnsi="宋体" w:cs="宋体"/>
          <w:kern w:val="0"/>
          <w:szCs w:val="21"/>
          <w:u w:val="single"/>
          <w:lang w:bidi="ar"/>
        </w:rPr>
        <w:t xml:space="preserve">    元/天，不超过签约合同价的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本款补充8.8.3项：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8.8.3发包人不得随意要求承包人提前竣工，承包人也不得随意提出提前竣工的建议。如遇特殊情况，确需将工期提前的，发包人和承包人必须采取有效措施，确保工程质量。</w:t>
      </w:r>
    </w:p>
    <w:p>
      <w:pPr>
        <w:widowControl/>
        <w:adjustRightInd w:val="0"/>
        <w:snapToGrid w:val="0"/>
        <w:spacing w:after="163" w:afterLines="50" w:line="360" w:lineRule="auto"/>
        <w:outlineLvl w:val="1"/>
        <w:rPr>
          <w:rFonts w:ascii="宋体" w:hAnsi="宋体" w:cs="Times"/>
          <w:kern w:val="0"/>
        </w:rPr>
      </w:pPr>
      <w:bookmarkStart w:id="2971" w:name="_Toc20171882"/>
      <w:bookmarkEnd w:id="2971"/>
      <w:bookmarkStart w:id="2972" w:name="_Toc20481"/>
      <w:bookmarkStart w:id="2973" w:name="_Toc26873"/>
      <w:bookmarkStart w:id="2974" w:name="_Toc543"/>
      <w:bookmarkStart w:id="2975" w:name="_Toc18718"/>
      <w:r>
        <w:rPr>
          <w:rFonts w:hint="eastAsia" w:ascii="宋体" w:hAnsi="宋体" w:cs="Times"/>
          <w:kern w:val="0"/>
          <w:szCs w:val="21"/>
          <w:lang w:bidi="ar"/>
        </w:rPr>
        <w:t>第9条 竣工试验</w:t>
      </w:r>
      <w:bookmarkEnd w:id="2972"/>
      <w:bookmarkEnd w:id="2973"/>
      <w:bookmarkEnd w:id="2974"/>
      <w:bookmarkEnd w:id="297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本合同工程是否包含竣工试验：</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 竣工试验的义务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9.1.1 竣工试验方案的提交份数、时间和内容：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9.1.2 竣工试验所需人员、设备、材料、燃料、电力、消耗品、工具等必要条件的提供方：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竣工试验费用的承担方：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9.1.3 竣工试验的阶段、内容和顺序：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竣工试验的操作要求：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76" w:name="_Toc20171883"/>
      <w:bookmarkEnd w:id="2976"/>
      <w:bookmarkStart w:id="2977" w:name="_Toc4784273"/>
      <w:bookmarkEnd w:id="2977"/>
      <w:bookmarkStart w:id="2978" w:name="_Toc4784272"/>
      <w:bookmarkEnd w:id="2978"/>
      <w:bookmarkStart w:id="2979" w:name="_Toc23761"/>
      <w:bookmarkStart w:id="2980" w:name="_Toc31915"/>
      <w:bookmarkStart w:id="2981" w:name="_Toc29150"/>
      <w:bookmarkStart w:id="2982" w:name="_Toc9985"/>
      <w:r>
        <w:rPr>
          <w:rFonts w:hint="eastAsia" w:ascii="宋体" w:hAnsi="宋体" w:cs="Times"/>
          <w:kern w:val="0"/>
          <w:szCs w:val="21"/>
          <w:lang w:bidi="ar"/>
        </w:rPr>
        <w:t>第10条 验收和工程接收</w:t>
      </w:r>
      <w:bookmarkEnd w:id="2979"/>
      <w:bookmarkEnd w:id="2980"/>
      <w:bookmarkEnd w:id="2981"/>
      <w:bookmarkEnd w:id="2982"/>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10.1 竣工验收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10.1.2 关于竣工验收程序的约定：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（1）发包人应在收到承包人报送的竣工验收申请报告后14天内组织设计人、监理人、质监等其他部门进行验收，竣工日期以最后一次整改后通过竣工验收的时间为准。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当工程具备竣工验收条件时，承包人应及时向发包人提交竣工验收申请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发包人不按照合同约定组织竣工验收、颁发工程接受证书的违约金的计算方式：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 工程的接收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10.3.1 工程接收的先后顺序：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工程接收的时间安排：颁发工程接收证书后7天内完成工程的接收。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工程接收的其他要求：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10.3.2</w:t>
      </w:r>
      <w:r>
        <w:rPr>
          <w:rFonts w:ascii="宋体" w:hAnsi="宋体" w:cs="宋体"/>
          <w:kern w:val="0"/>
          <w:szCs w:val="21"/>
          <w:lang w:bidi="ar"/>
        </w:rPr>
        <w:t xml:space="preserve"> </w:t>
      </w:r>
      <w:r>
        <w:rPr>
          <w:rFonts w:hint="eastAsia" w:ascii="宋体" w:hAnsi="宋体" w:cs="宋体"/>
          <w:kern w:val="0"/>
          <w:szCs w:val="21"/>
          <w:lang w:bidi="ar"/>
        </w:rPr>
        <w:t>接收工程时承包人需提交竣工验收资料的类别、内容、份数和提交时间：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lang w:bidi="ar"/>
        </w:rPr>
      </w:pPr>
      <w:r>
        <w:rPr>
          <w:rFonts w:ascii="宋体" w:hAnsi="宋体"/>
          <w:lang w:bidi="ar"/>
        </w:rPr>
        <w:t>10.3.3</w:t>
      </w:r>
      <w:r>
        <w:rPr>
          <w:lang w:bidi="ar"/>
        </w:rPr>
        <w:t xml:space="preserve"> </w:t>
      </w:r>
      <w:r>
        <w:rPr>
          <w:rFonts w:hint="eastAsia"/>
          <w:lang w:bidi="ar"/>
        </w:rPr>
        <w:t>发包人逾期接收工程的违约责任：</w:t>
      </w:r>
      <w:r>
        <w:rPr>
          <w:u w:val="single"/>
          <w:lang w:bidi="ar"/>
        </w:rPr>
        <w:t xml:space="preserve">                                             </w:t>
      </w:r>
      <w:r>
        <w:rPr>
          <w:rFonts w:hint="eastAsia"/>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10.3.4</w:t>
      </w:r>
      <w:r>
        <w:rPr>
          <w:rFonts w:ascii="宋体" w:hAnsi="宋体" w:cs="宋体"/>
          <w:kern w:val="0"/>
          <w:szCs w:val="21"/>
          <w:lang w:bidi="ar"/>
        </w:rPr>
        <w:t xml:space="preserve"> </w:t>
      </w:r>
      <w:r>
        <w:rPr>
          <w:rFonts w:hint="eastAsia" w:ascii="宋体" w:hAnsi="宋体" w:cs="宋体"/>
          <w:kern w:val="0"/>
          <w:szCs w:val="21"/>
          <w:lang w:bidi="ar"/>
        </w:rPr>
        <w:t>承包人无正当理由不移交工程的违约责任：</w:t>
      </w:r>
      <w:r>
        <w:rPr>
          <w:rFonts w:hint="eastAsia" w:ascii="宋体" w:hAnsi="宋体" w:cs="宋体"/>
          <w:kern w:val="0"/>
          <w:szCs w:val="21"/>
          <w:u w:val="single"/>
          <w:lang w:bidi="ar"/>
        </w:rPr>
        <w:t>承包人应承担工程照管、成品保护、保管等与工程有关的各项费用，并按经审定结算金额的0.5‰/天支付违约金</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10.4 接收证书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w:t>
      </w:r>
      <w:r>
        <w:rPr>
          <w:rFonts w:ascii="宋体" w:hAnsi="宋体" w:cs="宋体"/>
          <w:kern w:val="0"/>
          <w:szCs w:val="21"/>
          <w:lang w:bidi="ar"/>
        </w:rPr>
        <w:t>4</w:t>
      </w:r>
      <w:r>
        <w:rPr>
          <w:rFonts w:hint="eastAsia" w:ascii="宋体" w:hAnsi="宋体" w:cs="宋体"/>
          <w:kern w:val="0"/>
          <w:szCs w:val="21"/>
          <w:lang w:bidi="ar"/>
        </w:rPr>
        <w:t>.1 工程接收证书颁发时间：</w:t>
      </w:r>
      <w:r>
        <w:rPr>
          <w:rFonts w:hint="eastAsia" w:ascii="宋体" w:hAnsi="宋体" w:cs="宋体"/>
          <w:kern w:val="0"/>
          <w:szCs w:val="21"/>
          <w:u w:val="single"/>
          <w:lang w:bidi="ar"/>
        </w:rPr>
        <w:t>发包人在竣工验收合格且工程具备接收条件后的14天内向承包人颁发工程接收证书</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 竣工退场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10.5.1 竣工退场的相关约定：</w:t>
      </w:r>
      <w:r>
        <w:rPr>
          <w:rFonts w:hint="eastAsia" w:ascii="宋体" w:hAnsi="宋体" w:cs="宋体"/>
          <w:kern w:val="0"/>
          <w:szCs w:val="21"/>
          <w:u w:val="single"/>
          <w:lang w:bidi="ar"/>
        </w:rPr>
        <w:t>工程接收证书颁发后28天内，承包人的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10.5.3 人员撤离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监理人同意需在缺陷责任期内继续工作和使用的人员、施工设备和临时工程的内容：</w:t>
      </w:r>
      <w:r>
        <w:rPr>
          <w:rFonts w:hint="eastAsia" w:ascii="宋体" w:hAnsi="宋体" w:cs="宋体"/>
          <w:kern w:val="0"/>
          <w:szCs w:val="21"/>
          <w:u w:val="single"/>
          <w:lang w:bidi="ar"/>
        </w:rPr>
        <w:t>承包人提交缺陷责任期内继续工作和使用的人员、设备和临时工程清单，征得发包人同意，未在清单内的人员和施工设备应全部撤离施工现场</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83" w:name="_Toc20171884"/>
      <w:bookmarkEnd w:id="2983"/>
      <w:bookmarkStart w:id="2984" w:name="_Toc23519"/>
      <w:bookmarkStart w:id="2985" w:name="_Toc25230"/>
      <w:bookmarkStart w:id="2986" w:name="_Toc20052"/>
      <w:bookmarkStart w:id="2987" w:name="_Toc26642"/>
      <w:r>
        <w:rPr>
          <w:rFonts w:hint="eastAsia" w:ascii="宋体" w:hAnsi="宋体" w:cs="Times"/>
          <w:kern w:val="0"/>
          <w:szCs w:val="21"/>
          <w:lang w:bidi="ar"/>
        </w:rPr>
        <w:t>第11条 缺陷责任与保修</w:t>
      </w:r>
      <w:bookmarkEnd w:id="2984"/>
      <w:bookmarkEnd w:id="2985"/>
      <w:bookmarkEnd w:id="2986"/>
      <w:bookmarkEnd w:id="298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 缺陷责任期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缺陷责任期的期限：</w:t>
      </w:r>
      <w:r>
        <w:rPr>
          <w:rFonts w:hint="eastAsia" w:ascii="宋体" w:hAnsi="宋体" w:cs="宋体"/>
          <w:kern w:val="0"/>
          <w:szCs w:val="21"/>
          <w:u w:val="single"/>
          <w:lang w:bidi="ar"/>
        </w:rPr>
        <w:t>工程竣工验收合格之日起  个月</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缺陷调查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w:t>
      </w:r>
      <w:r>
        <w:rPr>
          <w:rFonts w:ascii="宋体" w:hAnsi="宋体" w:cs="宋体"/>
          <w:kern w:val="0"/>
          <w:szCs w:val="21"/>
          <w:lang w:bidi="ar"/>
        </w:rPr>
        <w:t>4</w:t>
      </w:r>
      <w:r>
        <w:rPr>
          <w:rFonts w:hint="eastAsia" w:ascii="宋体" w:hAnsi="宋体" w:cs="宋体"/>
          <w:kern w:val="0"/>
          <w:szCs w:val="21"/>
          <w:lang w:bidi="ar"/>
        </w:rPr>
        <w:t xml:space="preserve"> 修复通知</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承包人收到保修通知并到达工程现场的合理时间：</w:t>
      </w:r>
      <w:r>
        <w:rPr>
          <w:rFonts w:hint="eastAsia" w:ascii="宋体" w:hAnsi="宋体" w:cs="宋体"/>
          <w:kern w:val="0"/>
          <w:szCs w:val="21"/>
          <w:u w:val="single"/>
          <w:lang w:bidi="ar"/>
        </w:rPr>
        <w:t xml:space="preserve">  小时内，最长不能超过  小时</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w:t>
      </w:r>
      <w:r>
        <w:rPr>
          <w:rFonts w:ascii="宋体" w:hAnsi="宋体" w:cs="宋体"/>
          <w:kern w:val="0"/>
          <w:szCs w:val="21"/>
          <w:lang w:bidi="ar"/>
        </w:rPr>
        <w:t>6</w:t>
      </w:r>
      <w:r>
        <w:rPr>
          <w:rFonts w:hint="eastAsia" w:ascii="宋体" w:hAnsi="宋体" w:cs="宋体"/>
          <w:kern w:val="0"/>
          <w:szCs w:val="21"/>
          <w:lang w:bidi="ar"/>
        </w:rPr>
        <w:t xml:space="preserve"> 缺陷责任期终止证书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承包人应于缺陷责任期届满后</w:t>
      </w:r>
      <w:r>
        <w:rPr>
          <w:rFonts w:hint="eastAsia" w:ascii="宋体" w:hAnsi="宋体" w:cs="宋体"/>
          <w:kern w:val="0"/>
          <w:szCs w:val="21"/>
          <w:u w:val="single"/>
          <w:lang w:bidi="ar"/>
        </w:rPr>
        <w:t xml:space="preserve">    </w:t>
      </w:r>
      <w:r>
        <w:rPr>
          <w:rFonts w:hint="eastAsia" w:ascii="宋体" w:hAnsi="宋体" w:cs="宋体"/>
          <w:kern w:val="0"/>
          <w:szCs w:val="21"/>
          <w:lang w:bidi="ar"/>
        </w:rPr>
        <w:t>天内向发包人发出缺陷责任期届满通知，发包人应在收到缺陷责任期满通知后</w:t>
      </w:r>
      <w:r>
        <w:rPr>
          <w:rFonts w:hint="eastAsia" w:ascii="宋体" w:hAnsi="宋体" w:cs="宋体"/>
          <w:kern w:val="0"/>
          <w:szCs w:val="21"/>
          <w:u w:val="single"/>
          <w:lang w:bidi="ar"/>
        </w:rPr>
        <w:t xml:space="preserve">    </w:t>
      </w:r>
      <w:r>
        <w:rPr>
          <w:rFonts w:hint="eastAsia" w:ascii="宋体" w:hAnsi="宋体" w:cs="宋体"/>
          <w:kern w:val="0"/>
          <w:szCs w:val="21"/>
          <w:lang w:bidi="ar"/>
        </w:rPr>
        <w:t>天内核实承包人是否履行缺陷修复义务，承包人未能履行缺陷修复义务的，发包人有权扣除相应金额的维修费用。发包人应在收到缺陷责任期届满通知后</w:t>
      </w:r>
      <w:r>
        <w:rPr>
          <w:rFonts w:hint="eastAsia" w:ascii="宋体" w:hAnsi="宋体" w:cs="宋体"/>
          <w:kern w:val="0"/>
          <w:szCs w:val="21"/>
          <w:u w:val="single"/>
          <w:lang w:bidi="ar"/>
        </w:rPr>
        <w:t xml:space="preserve">    </w:t>
      </w:r>
      <w:r>
        <w:rPr>
          <w:rFonts w:hint="eastAsia" w:ascii="宋体" w:hAnsi="宋体" w:cs="宋体"/>
          <w:kern w:val="0"/>
          <w:szCs w:val="21"/>
          <w:lang w:bidi="ar"/>
        </w:rPr>
        <w:t>天内，向承包人颁发缺陷责任期终止证书。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w:t>
      </w:r>
      <w:r>
        <w:rPr>
          <w:rFonts w:ascii="宋体" w:hAnsi="宋体" w:cs="宋体"/>
          <w:kern w:val="0"/>
          <w:szCs w:val="21"/>
          <w:lang w:bidi="ar"/>
        </w:rPr>
        <w:t>7</w:t>
      </w:r>
      <w:r>
        <w:rPr>
          <w:rFonts w:hint="eastAsia" w:ascii="宋体" w:hAnsi="宋体" w:cs="宋体"/>
          <w:kern w:val="0"/>
          <w:szCs w:val="21"/>
          <w:lang w:bidi="ar"/>
        </w:rPr>
        <w:t xml:space="preserve"> 保修责任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工程质量保修范围、期限和责任为：</w:t>
      </w:r>
      <w:r>
        <w:rPr>
          <w:rFonts w:hint="eastAsia" w:ascii="宋体" w:hAnsi="宋体" w:cs="宋体"/>
          <w:kern w:val="0"/>
          <w:szCs w:val="21"/>
          <w:u w:val="single"/>
          <w:lang w:bidi="ar"/>
        </w:rPr>
        <w:t>按照合同附件3《工程质量保修书》的规定执行</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88" w:name="_Toc20171885"/>
      <w:bookmarkEnd w:id="2988"/>
      <w:bookmarkStart w:id="2989" w:name="_Toc9514"/>
      <w:bookmarkStart w:id="2990" w:name="_Toc29610"/>
      <w:bookmarkStart w:id="2991" w:name="_Toc5469"/>
      <w:bookmarkStart w:id="2992" w:name="_Toc20050"/>
      <w:r>
        <w:rPr>
          <w:rFonts w:hint="eastAsia" w:ascii="宋体" w:hAnsi="宋体" w:cs="Times"/>
          <w:kern w:val="0"/>
          <w:szCs w:val="21"/>
          <w:lang w:bidi="ar"/>
        </w:rPr>
        <w:t>第12条 竣工后试验</w:t>
      </w:r>
      <w:bookmarkEnd w:id="2989"/>
      <w:bookmarkEnd w:id="2990"/>
      <w:bookmarkEnd w:id="2991"/>
      <w:bookmarkEnd w:id="2992"/>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本合同工程是否包含竣工后试验：</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12.1 竣工后试验的程序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12.1.</w:t>
      </w:r>
      <w:r>
        <w:rPr>
          <w:rFonts w:ascii="宋体" w:hAnsi="宋体" w:cs="宋体"/>
          <w:kern w:val="0"/>
          <w:szCs w:val="21"/>
          <w:lang w:bidi="ar"/>
        </w:rPr>
        <w:t>2</w:t>
      </w:r>
      <w:r>
        <w:rPr>
          <w:rFonts w:hint="eastAsia" w:ascii="宋体" w:hAnsi="宋体" w:cs="宋体"/>
          <w:kern w:val="0"/>
          <w:szCs w:val="21"/>
          <w:lang w:bidi="ar"/>
        </w:rPr>
        <w:t xml:space="preserve">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2993" w:name="_Toc20171886"/>
      <w:bookmarkEnd w:id="2993"/>
      <w:bookmarkStart w:id="2994" w:name="_Toc3973"/>
      <w:bookmarkStart w:id="2995" w:name="_Toc19190"/>
      <w:bookmarkStart w:id="2996" w:name="_Toc28161"/>
      <w:bookmarkStart w:id="2997" w:name="_Toc3692"/>
      <w:r>
        <w:rPr>
          <w:rFonts w:hint="eastAsia" w:ascii="宋体" w:hAnsi="宋体" w:cs="Times"/>
          <w:kern w:val="0"/>
          <w:szCs w:val="21"/>
          <w:lang w:bidi="ar"/>
        </w:rPr>
        <w:t>第13条 变更与调整</w:t>
      </w:r>
      <w:bookmarkEnd w:id="2994"/>
      <w:bookmarkEnd w:id="2995"/>
      <w:bookmarkEnd w:id="2996"/>
      <w:bookmarkEnd w:id="2997"/>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 承包人的合理化建议</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13.2.1承包人可以以单位名义向发包人提交书面合理化建议，详细说明建议的内容、理由，以及该建议对项目的工期、投资、质量、安全、运营管理、生态环境等的影响，客观反映项目合同变更的必要性和可行性，包括：</w:t>
      </w:r>
      <w:r>
        <w:rPr>
          <w:rFonts w:hint="eastAsia" w:ascii="宋体" w:hAnsi="宋体" w:cs="宋体"/>
          <w:kern w:val="0"/>
          <w:szCs w:val="21"/>
          <w:u w:val="single"/>
          <w:lang w:bidi="ar"/>
        </w:rPr>
        <w:t>缩短工期，降低发包人的工程、施工、维护、营运的费用，提高竣工工程的效率或价值，给发包人带来的长远利益和其他利益。发包人接到此类建议后，可以选择：不采纳/采纳/要求补充进一步资料的书面通知</w:t>
      </w:r>
      <w:r>
        <w:rPr>
          <w:rFonts w:hint="eastAsia" w:ascii="宋体" w:hAnsi="宋体" w:cs="宋体"/>
          <w:kern w:val="0"/>
          <w:szCs w:val="21"/>
          <w:lang w:bidi="ar"/>
        </w:rPr>
        <w:t>。</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如果发包人对承包人已实施的项目在发出重大设计变更之前要求承包人提出一份建议，那么，承包人应尽快提出：</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（1）对所提方案和（或）待做工作及其实施计划的说明；</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（2）承包人按照对工程进度计划进行必要修改的建议；</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（3）承包人发生较大返工损失增加费用的建议。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发包人在收到上述建议书后，应尽快给予批准、否决或提出意见。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13.2.2监理人应在收到承包人提交的合理化建议后</w:t>
      </w:r>
      <w:r>
        <w:rPr>
          <w:rFonts w:hint="eastAsia" w:ascii="宋体" w:hAnsi="宋体" w:cs="宋体"/>
          <w:kern w:val="0"/>
          <w:szCs w:val="21"/>
          <w:u w:val="single"/>
          <w:lang w:bidi="ar"/>
        </w:rPr>
        <w:t xml:space="preserve">    </w:t>
      </w:r>
      <w:r>
        <w:rPr>
          <w:rFonts w:hint="eastAsia" w:ascii="宋体" w:hAnsi="宋体" w:cs="宋体"/>
          <w:kern w:val="0"/>
          <w:szCs w:val="21"/>
          <w:lang w:bidi="ar"/>
        </w:rPr>
        <w:t>日内审查完毕并报送发包人，发现其中存在技术上的缺陷，应通知承包人修改。发包人应在收到监理人报送的合理化建议后</w:t>
      </w:r>
      <w:r>
        <w:rPr>
          <w:rFonts w:hint="eastAsia" w:ascii="宋体" w:hAnsi="宋体" w:cs="宋体"/>
          <w:kern w:val="0"/>
          <w:szCs w:val="21"/>
          <w:u w:val="single"/>
          <w:lang w:bidi="ar"/>
        </w:rPr>
        <w:t xml:space="preserve">    </w:t>
      </w:r>
      <w:r>
        <w:rPr>
          <w:rFonts w:hint="eastAsia" w:ascii="宋体" w:hAnsi="宋体" w:cs="宋体"/>
          <w:kern w:val="0"/>
          <w:szCs w:val="21"/>
          <w:lang w:bidi="ar"/>
        </w:rPr>
        <w:t>日内审批完毕。合理化建议经发包人批准的，监理人应及时发出变更指示，由此引起的合同价格调整按照</w:t>
      </w:r>
      <w:r>
        <w:rPr>
          <w:rFonts w:hint="eastAsia" w:ascii="宋体" w:hAnsi="宋体" w:cs="宋体"/>
          <w:kern w:val="0"/>
          <w:szCs w:val="21"/>
          <w:u w:val="single"/>
          <w:lang w:bidi="ar"/>
        </w:rPr>
        <w:t xml:space="preserve">              </w:t>
      </w:r>
      <w:r>
        <w:rPr>
          <w:rFonts w:hint="eastAsia" w:ascii="宋体" w:hAnsi="宋体" w:cs="宋体"/>
          <w:kern w:val="0"/>
          <w:szCs w:val="21"/>
          <w:lang w:bidi="ar"/>
        </w:rPr>
        <w:t>执行。发包人不同意变更的，监理人应书面通知承包人。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13.2.3承包人提出的合理化变更建议的利益分享约定：</w:t>
      </w:r>
      <w:r>
        <w:rPr>
          <w:rFonts w:hint="eastAsia" w:ascii="宋体" w:hAnsi="宋体" w:cs="宋体"/>
          <w:kern w:val="0"/>
          <w:szCs w:val="21"/>
          <w:u w:val="single"/>
          <w:lang w:bidi="ar"/>
        </w:rPr>
        <w:t>发包人分享合理化变更建议带来的合同价格降低、工期缩短、工程经济效益提高等实惠；承包人分享降低的合同金额或增加的经济效益的5～10 %的奖励，工期缩短的按提前竣工的奖励执行</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 变更程序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13.3.2 变更执行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本项增加</w:t>
      </w:r>
      <w:r>
        <w:rPr>
          <w:rFonts w:ascii="宋体" w:hAnsi="宋体" w:cs="宋体"/>
          <w:kern w:val="0"/>
          <w:szCs w:val="21"/>
          <w:lang w:bidi="ar"/>
        </w:rPr>
        <w:t>13.3.2.1</w:t>
      </w:r>
      <w:r>
        <w:rPr>
          <w:rFonts w:hint="eastAsia" w:ascii="宋体" w:hAnsi="宋体" w:cs="宋体"/>
          <w:kern w:val="0"/>
          <w:szCs w:val="21"/>
          <w:lang w:bidi="ar"/>
        </w:rPr>
        <w:t>～1</w:t>
      </w:r>
      <w:r>
        <w:rPr>
          <w:rFonts w:ascii="宋体" w:hAnsi="宋体" w:cs="宋体"/>
          <w:kern w:val="0"/>
          <w:szCs w:val="21"/>
          <w:lang w:bidi="ar"/>
        </w:rPr>
        <w:t>3.3.2.7</w:t>
      </w:r>
      <w:r>
        <w:rPr>
          <w:rFonts w:hint="eastAsia" w:ascii="宋体" w:hAnsi="宋体" w:cs="宋体"/>
          <w:kern w:val="0"/>
          <w:szCs w:val="21"/>
          <w:lang w:bidi="ar"/>
        </w:rPr>
        <w:t>目：</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13.3.2.1一般设计变更和重大设计变更</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一般设计变更：承包人收到监理人下达的变更指示后，应按照监理人下达的变更指示执行，并书面说明实施该变更指示对合同工期的影响，合同价格不作调整。</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重大设计变更：需经设计人、监理人和发包人三方签名认可并报原施工图审查机构审查，审查合格后由发包人报具有管理权限的城乡建设主管部门审查备案后实施。合同价格调整按照第</w:t>
      </w:r>
      <w:r>
        <w:rPr>
          <w:rFonts w:ascii="宋体" w:hAnsi="宋体" w:cs="宋体"/>
          <w:kern w:val="0"/>
          <w:szCs w:val="21"/>
          <w:lang w:bidi="ar"/>
        </w:rPr>
        <w:t>13.3.3.1</w:t>
      </w:r>
      <w:r>
        <w:rPr>
          <w:rFonts w:hint="eastAsia" w:ascii="宋体" w:hAnsi="宋体" w:cs="宋体"/>
          <w:kern w:val="0"/>
          <w:szCs w:val="21"/>
          <w:lang w:bidi="ar"/>
        </w:rPr>
        <w:t>目[变更估价原则]约定执行。</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13.3.2.2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13.3.2.3项目的施工图设计、实施内容等作重大设计变更的，应当按照规定的程序报原审查备案部门审核确认及备案；变更导致总投资超概的，应当报原投资概算核定部门核定。</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13.3.2.4项目管理人员变更的，应当经发包人领导班子集体决策同意，并将变更信息推送给行业主管部门。变更后的项目管理人员应当符合招标文件和行业主管部门的相关规定。</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13.3.2.5因人工、原材料市场价格发生大幅度变化导致的合同总价变更，由发包人与承包人按照合同进行变更，并将变更信息推送给行业主管部门。</w:t>
      </w:r>
    </w:p>
    <w:p>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13.3.2.6项目实施内容无变更，因不可抗力导致的工期变更，由发包人领导班子集体决策同意，并将变更信息推送给行业主管部门；因项目实施内容变更导致的工期变更，与项目实施内容变更一并办理。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13.3.2.7项目合同变更后，增加的实施内容达到依法必须招标的规模标准的，增加的部分应当依法通过招标选择承包单位。</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13.3.3 变更估价</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13.3.3.1</w:t>
      </w:r>
      <w:r>
        <w:rPr>
          <w:rFonts w:hint="eastAsia" w:ascii="宋体" w:hAnsi="宋体" w:cs="宋体"/>
          <w:szCs w:val="21"/>
          <w:lang w:bidi="ar"/>
        </w:rPr>
        <w:t>变更估价原则</w:t>
      </w:r>
    </w:p>
    <w:p>
      <w:pPr>
        <w:widowControl/>
        <w:adjustRightInd w:val="0"/>
        <w:snapToGrid w:val="0"/>
        <w:spacing w:after="163" w:afterLines="50" w:line="360" w:lineRule="auto"/>
        <w:ind w:firstLine="420" w:firstLineChars="200"/>
        <w:jc w:val="left"/>
        <w:rPr>
          <w:rFonts w:ascii="宋体" w:hAnsi="宋体" w:cs="宋体"/>
          <w:kern w:val="0"/>
          <w:szCs w:val="21"/>
          <w:u w:val="single"/>
          <w:lang w:bidi="ar"/>
        </w:rPr>
      </w:pPr>
      <w:r>
        <w:rPr>
          <w:rFonts w:hint="eastAsia" w:ascii="宋体" w:hAnsi="宋体" w:cs="宋体"/>
          <w:kern w:val="0"/>
          <w:szCs w:val="21"/>
          <w:lang w:bidi="ar"/>
        </w:rPr>
        <w:t>当发生重大设计变更时，变更部分的设计费计价按</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u w:val="single"/>
          <w:lang w:bidi="ar"/>
        </w:rPr>
        <w:t xml:space="preserve">    原则执行。</w:t>
      </w:r>
      <w:r>
        <w:rPr>
          <w:rFonts w:hint="eastAsia" w:ascii="宋体" w:hAnsi="宋体" w:cs="宋体"/>
          <w:kern w:val="0"/>
          <w:szCs w:val="21"/>
          <w:lang w:bidi="ar"/>
        </w:rPr>
        <w:t>变更部分的</w:t>
      </w:r>
      <w:r>
        <w:rPr>
          <w:rFonts w:hint="eastAsia" w:ascii="宋体" w:hAnsi="宋体" w:cs="宋体"/>
          <w:kern w:val="0"/>
          <w:szCs w:val="21"/>
          <w:u w:val="single"/>
          <w:lang w:bidi="ar"/>
        </w:rPr>
        <w:t>专业设备材料价格</w:t>
      </w:r>
      <w:r>
        <w:rPr>
          <w:rFonts w:hint="eastAsia" w:ascii="宋体" w:hAnsi="宋体" w:cs="宋体"/>
          <w:kern w:val="0"/>
          <w:szCs w:val="21"/>
          <w:lang w:bidi="ar"/>
        </w:rPr>
        <w:t>按承包人投标报价中相同专业设备材料单价执行；承包人投标报价中没有的，由承包人申报，监理人会同跟审单位、发包人根据市场行情认质核价确定。变更部分的工程量按</w:t>
      </w:r>
      <w:r>
        <w:rPr>
          <w:rFonts w:hint="eastAsia" w:ascii="宋体" w:hAnsi="宋体" w:cs="宋体"/>
          <w:kern w:val="0"/>
          <w:szCs w:val="21"/>
          <w:u w:val="single"/>
          <w:lang w:bidi="ar"/>
        </w:rPr>
        <w:t xml:space="preserve">        </w:t>
      </w:r>
      <w:r>
        <w:rPr>
          <w:rFonts w:hint="eastAsia" w:ascii="宋体" w:hAnsi="宋体" w:cs="宋体"/>
          <w:kern w:val="0"/>
          <w:szCs w:val="21"/>
          <w:lang w:bidi="ar"/>
        </w:rPr>
        <w:t>规定的计算规则计量，按以下办法计价：</w:t>
      </w:r>
      <w:bookmarkStart w:id="2998" w:name="_Hlk524770102"/>
      <w:bookmarkEnd w:id="2998"/>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A.按《重庆市房屋建筑与装饰工程计价定额》（CQJZZSDE-2018）、《重庆市仿古建筑工程计价定额》（CQFGDE-2018）、《重庆市通用安装工程计价定额》（CQAZDE-2018）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建筑安装工程费报价浮动率进行计算（认质核价的设备和材料不参与浮动），经监理人、发包人审定后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投标报价方式为固定总价的，承包人建筑安装工程费报价浮动率=建筑安装工程费中标价/建筑安装工程费最高限价×100%；投标报价方式为固定费率的，承包人建筑安装工程费报价浮动率=中标固定费率。</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（1）人工单价：按开标当期《重庆工程造价》发布的项目所在地的人工单价执行。</w:t>
      </w:r>
    </w:p>
    <w:p>
      <w:pPr>
        <w:widowControl/>
        <w:adjustRightInd w:val="0"/>
        <w:snapToGrid w:val="0"/>
        <w:spacing w:after="163" w:afterLines="50" w:line="360" w:lineRule="auto"/>
        <w:ind w:firstLine="420" w:firstLineChars="200"/>
        <w:jc w:val="left"/>
        <w:rPr>
          <w:rFonts w:ascii="宋体" w:hAnsi="宋体" w:cs="宋体"/>
          <w:kern w:val="0"/>
        </w:rPr>
      </w:pPr>
      <w:bookmarkStart w:id="2999" w:name="_Hlk529023896"/>
      <w:bookmarkEnd w:id="2999"/>
      <w:r>
        <w:rPr>
          <w:rFonts w:hint="eastAsia" w:ascii="宋体" w:hAnsi="宋体" w:cs="宋体"/>
          <w:kern w:val="0"/>
          <w:szCs w:val="21"/>
          <w:lang w:bidi="ar"/>
        </w:rPr>
        <w:t>（2）设备材料单价：</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①按</w:t>
      </w:r>
      <w:bookmarkStart w:id="3000" w:name="_Hlk529023354"/>
      <w:r>
        <w:rPr>
          <w:rFonts w:hint="eastAsia" w:ascii="宋体" w:hAnsi="宋体" w:cs="宋体"/>
          <w:kern w:val="0"/>
          <w:szCs w:val="21"/>
          <w:lang w:bidi="ar"/>
        </w:rPr>
        <w:t>开标当期《重庆工程造价》发布的项目所在地的信息价</w:t>
      </w:r>
      <w:bookmarkEnd w:id="3000"/>
      <w:r>
        <w:rPr>
          <w:rFonts w:hint="eastAsia" w:ascii="宋体" w:hAnsi="宋体" w:cs="宋体"/>
          <w:kern w:val="0"/>
          <w:szCs w:val="21"/>
          <w:lang w:bidi="ar"/>
        </w:rPr>
        <w:t>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②开标当期《重庆工程造价》中没有的，承包人投标报价中有的，按承包人投标报价中相同设备材料单价的最低值执行；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③开标当期《重庆工程造价》和承包人投标报价没有的，由承包人申报，监理人会同发包人根据市场行情认质核价确定。</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（3）企业管理费和利润：按《重庆市建设工程费用定额》（CQFYDE-2018）费用标准进行计算。</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（4）规费：按《重庆市建设工程费用定额》（CQFYDE-2018）费用标准进行计算。</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（5）税金：包含增值税、城市维护建设税、教育费附加、地方教育附加以及环境保护税。其中增值税、附加税按《重庆市建设工程费用定额》（CQFYDE-2018）规定及配套文件执行。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B.无定额可套用的，由承包人会同监理人、发包人按相关原则、编制方法编制补充定额（人工、材料、机械基价执行2018年计价定额的基价，2018年计价定额没有的基价，按市场价计），其余计算按照A办法执行；或参照重庆市场相同工作的市场价格上报监理人，最终价格按承包人、监理人、发包人共同询价确认的价格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本项补充13.3.3.3目：</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13.3.3.3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（1）安全文明施工费应按照实际发生变化的措施项目依据现行安全文明施工费计取及管理政策规定及《重庆市建设工程费用定额》（CQFYDE-2018）规定执行；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（2）措施项目费应依照实际发生变化的措施项目费按承包人建筑安装工程费报价浮动率（或中标固定费率）进行计算；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（3）如果承包人未事前将拟实施的方案提交给发包人确认，则应视为工程变更不引起措施项目费的调整或承包人放弃调整措施项目费的权利。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 暂估价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13.4.1 依法必须招标的暂估价项目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承包人可以参与投标的暂估价项目范围：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承包人不得参与投标的暂估价项目范围：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招投标程序及其他约定：</w:t>
      </w:r>
      <w:r>
        <w:rPr>
          <w:rFonts w:hint="eastAsia" w:ascii="宋体" w:hAnsi="宋体" w:cs="宋体"/>
          <w:kern w:val="0"/>
          <w:szCs w:val="21"/>
          <w:u w:val="single"/>
          <w:lang w:bidi="ar"/>
        </w:rPr>
        <w:t>单项合同暂估价在国家相关法律法规规定必须招标规模以上的，需依法必须招标的，由承包人、发包人共同招标确定</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13.4.2不属于依法必须招标的暂估价项目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不属于依法必须招标的暂估价项目的协商及估价的约定：</w:t>
      </w:r>
      <w:r>
        <w:rPr>
          <w:rFonts w:hint="eastAsia" w:ascii="宋体" w:hAnsi="宋体" w:cs="宋体"/>
          <w:kern w:val="0"/>
          <w:szCs w:val="21"/>
          <w:u w:val="single"/>
          <w:lang w:bidi="ar"/>
        </w:rPr>
        <w:t>单项合同暂估价在国家相关法律法规规定必须招标规模以下的，符合可以不招标相关规定的，由承包人采取交钥匙工程模式实施，发包人配合。承包人（需在允许资质范围内）或承包人委托的有资质的专业分包单位实施。费用估价按照第13.3.3.1目[变更估价原则]执行，承包人申报，经监理人、发包人共同审定。审定后根据承包人订立的相关合同（需经监理人、发包人共同确认）约定，由承包人申报，随进度款按与相关单位订立的合同约定一并支付。</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13.5 暂列金额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其他关于暂列金额使用的约定：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 市场价格波动引起的调整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13.8.1 市场价格波动是否调整合同价格的约定：</w:t>
      </w:r>
      <w:r>
        <w:rPr>
          <w:rFonts w:hint="eastAsia" w:ascii="宋体" w:hAnsi="宋体" w:cs="宋体"/>
          <w:kern w:val="0"/>
          <w:szCs w:val="21"/>
          <w:u w:val="single"/>
          <w:lang w:bidi="ar"/>
        </w:rPr>
        <w:t>合同工期一年以上（含一年），且市场价格波动幅度符合第13.8.3.1目[人工费价差调整办法]和（或）第13.8.3.2目[材料费价差调整办法]约定的，按第13.8.3.1目[人工费价差调整办法]和（或）第13.8.3.2目[材料费价差调整办法]约定调整合同价格；第13.8.3.1目[人工费价差调整办法]和（或）第13.8.3.2目[材料费价差调整办法]约定的调差条件之外的市场价格波动风险不调整合同价格，风险费用由承包人自行考虑后纳入签约合同价格中，包干使用</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13.8.2 关于是否采用《价格指数权重表》的约定：</w:t>
      </w:r>
      <w:r>
        <w:rPr>
          <w:rFonts w:hint="eastAsia" w:ascii="宋体" w:hAnsi="宋体" w:cs="宋体"/>
          <w:kern w:val="0"/>
          <w:szCs w:val="21"/>
          <w:u w:val="single"/>
          <w:lang w:bidi="ar"/>
        </w:rPr>
        <w:t>不采用</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关于各可调因子、定值和变值权重，以及基本价格指数及其来源的约定：</w:t>
      </w:r>
      <w:r>
        <w:rPr>
          <w:rFonts w:hint="eastAsia" w:ascii="宋体" w:hAnsi="宋体" w:cs="宋体"/>
          <w:kern w:val="0"/>
          <w:szCs w:val="21"/>
          <w:u w:val="single"/>
          <w:lang w:bidi="ar"/>
        </w:rPr>
        <w:t>/</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13.8.3 关于是否采用造价信息进行价格调整的约定：</w:t>
      </w:r>
      <w:r>
        <w:rPr>
          <w:rFonts w:hint="eastAsia" w:ascii="宋体" w:hAnsi="宋体" w:cs="宋体"/>
          <w:kern w:val="0"/>
          <w:szCs w:val="21"/>
          <w:u w:val="single"/>
          <w:lang w:bidi="ar"/>
        </w:rPr>
        <w:t>采用</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bookmarkStart w:id="3001" w:name="_Hlk524296901"/>
      <w:bookmarkEnd w:id="3001"/>
      <w:r>
        <w:rPr>
          <w:rFonts w:hint="eastAsia" w:ascii="宋体" w:hAnsi="宋体" w:cs="宋体"/>
          <w:kern w:val="0"/>
          <w:szCs w:val="21"/>
          <w:lang w:bidi="ar"/>
        </w:rPr>
        <w:t>13.8.3.1人工费价差调整办法</w:t>
      </w:r>
    </w:p>
    <w:p>
      <w:pPr>
        <w:widowControl/>
        <w:adjustRightInd w:val="0"/>
        <w:snapToGrid w:val="0"/>
        <w:spacing w:after="163" w:afterLines="50" w:line="360" w:lineRule="auto"/>
        <w:ind w:firstLine="420" w:firstLineChars="200"/>
        <w:jc w:val="left"/>
        <w:rPr>
          <w:rFonts w:ascii="宋体" w:hAnsi="宋体" w:cs="宋体"/>
          <w:kern w:val="0"/>
        </w:rPr>
      </w:pPr>
      <w:bookmarkStart w:id="3002" w:name="_Toc466913966"/>
      <w:bookmarkEnd w:id="3002"/>
      <w:bookmarkStart w:id="3003" w:name="_Toc467689644"/>
      <w:bookmarkEnd w:id="3003"/>
      <w:bookmarkStart w:id="3004" w:name="_Toc466911548"/>
      <w:bookmarkEnd w:id="3004"/>
      <w:bookmarkStart w:id="3005" w:name="_Toc466913516"/>
      <w:r>
        <w:rPr>
          <w:rFonts w:hint="eastAsia" w:ascii="宋体" w:hAnsi="宋体" w:cs="宋体"/>
          <w:kern w:val="0"/>
          <w:szCs w:val="21"/>
          <w:lang w:bidi="ar"/>
        </w:rPr>
        <w:t>（</w:t>
      </w:r>
      <w:bookmarkEnd w:id="3005"/>
      <w:r>
        <w:rPr>
          <w:rFonts w:hint="eastAsia" w:ascii="宋体" w:hAnsi="宋体" w:cs="宋体"/>
          <w:kern w:val="0"/>
          <w:szCs w:val="21"/>
          <w:lang w:bidi="ar"/>
        </w:rPr>
        <w:t>1）自实际开工时间起至合同约定的工期结束时间止，期间《重庆工程造价》发布人工单价的算术平均值较开标当期《重庆工程造价》发布的人工单价变化超过</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lang w:bidi="ar"/>
        </w:rPr>
        <w:t>时，按期间《重庆工程造价》发布人工单价的算术平均值减去开标当期《重庆工程造价》发布的人工单价乘以</w:t>
      </w:r>
      <w:r>
        <w:rPr>
          <w:rFonts w:hint="eastAsia" w:ascii="宋体" w:hAnsi="宋体" w:cs="宋体"/>
          <w:kern w:val="0"/>
          <w:szCs w:val="21"/>
          <w:u w:val="single"/>
          <w:lang w:bidi="ar"/>
        </w:rPr>
        <w:t>（</w:t>
      </w:r>
      <w:r>
        <w:rPr>
          <w:rFonts w:ascii="宋体" w:hAnsi="宋体" w:cs="宋体"/>
          <w:kern w:val="0"/>
          <w:szCs w:val="21"/>
          <w:u w:val="single"/>
          <w:lang w:bidi="ar"/>
        </w:rPr>
        <w:t>1</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u w:val="single"/>
          <w:lang w:bidi="ar"/>
        </w:rPr>
        <w:t>）</w:t>
      </w:r>
      <w:r>
        <w:rPr>
          <w:rFonts w:hint="eastAsia" w:ascii="宋体" w:hAnsi="宋体" w:cs="宋体"/>
          <w:kern w:val="0"/>
          <w:szCs w:val="21"/>
          <w:lang w:bidi="ar"/>
        </w:rPr>
        <w:t>调差。</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（2）工程量按定额单位工程的人工消耗量执行。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bookmarkStart w:id="3006" w:name="_Hlk524297138"/>
      <w:bookmarkEnd w:id="3006"/>
      <w:r>
        <w:rPr>
          <w:rFonts w:hint="eastAsia" w:ascii="宋体" w:hAnsi="宋体" w:cs="宋体"/>
          <w:kern w:val="0"/>
          <w:szCs w:val="21"/>
          <w:lang w:bidi="ar"/>
        </w:rPr>
        <w:t>13.8.3.2材料费价差调整办法</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可调价差材料：</w:t>
      </w:r>
      <w:r>
        <w:rPr>
          <w:rFonts w:hint="eastAsia" w:ascii="宋体" w:hAnsi="宋体" w:cs="宋体"/>
          <w:kern w:val="0"/>
          <w:szCs w:val="21"/>
          <w:u w:val="single"/>
          <w:lang w:bidi="ar"/>
        </w:rPr>
        <w:t>水泥、商品砼、碎石、砂、钢材、条石、片石、预应力钢绞线、沥青混凝土、水泥稳定碎石拌和料、预拌商品砂浆、砌筑材料等主要材料（可按工程使用的具体材料确定）</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可调价差材料的价差调整办法如下：</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（1）自实际开工时间起至合同约定的工期结束时间止，期间《重庆工程造价》发布的信息价的算术平均值较开标当期《重庆工程造价》发布的信息价变化超过</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lang w:bidi="ar"/>
        </w:rPr>
        <w:t>时，按期间《重庆工程造价》发布信息价的算术平均值减去开标当期《重庆工程造价》发布的信息价乘以</w:t>
      </w:r>
      <w:r>
        <w:rPr>
          <w:rFonts w:hint="eastAsia" w:ascii="宋体" w:hAnsi="宋体" w:cs="宋体"/>
          <w:kern w:val="0"/>
          <w:szCs w:val="21"/>
          <w:u w:val="single"/>
          <w:lang w:bidi="ar"/>
        </w:rPr>
        <w:t>（</w:t>
      </w:r>
      <w:r>
        <w:rPr>
          <w:rFonts w:ascii="宋体" w:hAnsi="宋体" w:cs="宋体"/>
          <w:kern w:val="0"/>
          <w:szCs w:val="21"/>
          <w:u w:val="single"/>
          <w:lang w:bidi="ar"/>
        </w:rPr>
        <w:t>1</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u w:val="single"/>
          <w:lang w:bidi="ar"/>
        </w:rPr>
        <w:t>）</w:t>
      </w:r>
      <w:r>
        <w:rPr>
          <w:rFonts w:hint="eastAsia" w:ascii="宋体" w:hAnsi="宋体" w:cs="宋体"/>
          <w:kern w:val="0"/>
          <w:szCs w:val="21"/>
          <w:lang w:bidi="ar"/>
        </w:rPr>
        <w:t>调差。</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（2）工程量按定额单位工程的材料消耗量执行。</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13.8.4 其他价格调整方式：</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3007" w:name="_Toc20171887"/>
      <w:bookmarkEnd w:id="3007"/>
      <w:bookmarkStart w:id="3008" w:name="_Toc26969"/>
      <w:bookmarkStart w:id="3009" w:name="_Toc5463"/>
      <w:bookmarkStart w:id="3010" w:name="_Toc12393"/>
      <w:bookmarkStart w:id="3011" w:name="_Toc26623"/>
      <w:r>
        <w:rPr>
          <w:rFonts w:hint="eastAsia" w:ascii="宋体" w:hAnsi="宋体" w:cs="Times"/>
          <w:kern w:val="0"/>
          <w:szCs w:val="21"/>
          <w:lang w:bidi="ar"/>
        </w:rPr>
        <w:t>第14条 合同价格与支付</w:t>
      </w:r>
      <w:bookmarkEnd w:id="3008"/>
      <w:bookmarkEnd w:id="3009"/>
      <w:bookmarkEnd w:id="3010"/>
      <w:bookmarkEnd w:id="3011"/>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 合同价格形式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14.1.1 关于合同价格形式的约定：在以下方式中选择其一，作为双方对合同价格形式的约定。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□固定总价合同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本合同为固定总价合同。设计费、专业设备材料费、建筑安装工程费均为固定总价，中标总价即为签约合同价，除根据第13条[变更与调整]，以及合同中其它相关增减金额的约定进行调整外，合同价格不做调整。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□固定单价/费率合同</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本合同为</w:t>
      </w:r>
      <w:r>
        <w:rPr>
          <w:rFonts w:hint="eastAsia" w:ascii="宋体" w:hAnsi="宋体" w:cs="宋体"/>
          <w:kern w:val="0"/>
          <w:szCs w:val="21"/>
          <w:lang w:bidi="ar"/>
        </w:rPr>
        <w:t>固定单价/费率</w:t>
      </w:r>
      <w:r>
        <w:rPr>
          <w:rFonts w:hint="eastAsia" w:ascii="宋体" w:hAnsi="宋体" w:cs="宋体"/>
          <w:szCs w:val="21"/>
          <w:lang w:bidi="ar"/>
        </w:rPr>
        <w:t>合同。其中设计费为</w:t>
      </w:r>
      <w:r>
        <w:rPr>
          <w:rFonts w:hint="eastAsia" w:ascii="宋体" w:hAnsi="宋体" w:cs="宋体"/>
          <w:szCs w:val="21"/>
          <w:u w:val="single"/>
          <w:lang w:bidi="ar"/>
        </w:rPr>
        <w:t>固定综合单价/固定费率/固定总价</w:t>
      </w:r>
      <w:r>
        <w:rPr>
          <w:rFonts w:hint="eastAsia" w:ascii="宋体" w:hAnsi="宋体" w:cs="宋体"/>
          <w:szCs w:val="21"/>
          <w:lang w:bidi="ar"/>
        </w:rPr>
        <w:t>，专业设备材料费为</w:t>
      </w:r>
      <w:r>
        <w:rPr>
          <w:rFonts w:hint="eastAsia" w:ascii="宋体" w:hAnsi="宋体" w:cs="宋体"/>
          <w:szCs w:val="21"/>
          <w:u w:val="single"/>
          <w:lang w:bidi="ar"/>
        </w:rPr>
        <w:t>固定综合单价/固定总价</w:t>
      </w:r>
      <w:r>
        <w:rPr>
          <w:rFonts w:hint="eastAsia" w:ascii="宋体" w:hAnsi="宋体" w:cs="宋体"/>
          <w:szCs w:val="21"/>
          <w:lang w:bidi="ar"/>
        </w:rPr>
        <w:t>，建筑安装工程费为</w:t>
      </w:r>
      <w:r>
        <w:rPr>
          <w:rFonts w:hint="eastAsia" w:ascii="宋体" w:hAnsi="宋体" w:cs="宋体"/>
          <w:szCs w:val="21"/>
          <w:u w:val="single"/>
          <w:lang w:bidi="ar"/>
        </w:rPr>
        <w:t>固定费率</w:t>
      </w:r>
      <w:r>
        <w:rPr>
          <w:rFonts w:hint="eastAsia" w:ascii="宋体" w:hAnsi="宋体" w:cs="宋体"/>
          <w:szCs w:val="21"/>
          <w:lang w:bidi="ar"/>
        </w:rPr>
        <w:t>。采用固定综合单价或固定总价的，除根据第13条[变更与调整]，以及合同中其它相关增减金额的约定进行调整外，固定综合单价或固定总价不做调整；采用固定费率的，除合同中其它相关增减金额的约定进行调整外，固定费率不做调整。</w:t>
      </w:r>
    </w:p>
    <w:p>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w:t>
      </w:r>
      <w:r>
        <w:rPr>
          <w:rFonts w:hint="eastAsia" w:ascii="宋体" w:hAnsi="宋体" w:cs="宋体"/>
          <w:szCs w:val="21"/>
          <w:lang w:bidi="ar"/>
        </w:rPr>
        <w:t>其他价格形式：</w:t>
      </w:r>
      <w:r>
        <w:rPr>
          <w:rFonts w:hint="eastAsia" w:ascii="宋体" w:hAnsi="宋体" w:cs="宋体"/>
          <w:szCs w:val="21"/>
          <w:u w:val="single"/>
          <w:lang w:bidi="ar"/>
        </w:rPr>
        <w:t>不采用</w:t>
      </w:r>
      <w:r>
        <w:rPr>
          <w:rFonts w:hint="eastAsia" w:ascii="宋体" w:hAnsi="宋体" w:cs="宋体"/>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14.1.2 合同价格中的税费：</w:t>
      </w:r>
      <w:r>
        <w:rPr>
          <w:rFonts w:hint="eastAsia" w:ascii="宋体" w:hAnsi="宋体" w:cs="宋体"/>
          <w:kern w:val="0"/>
          <w:szCs w:val="21"/>
          <w:u w:val="single"/>
          <w:lang w:bidi="ar"/>
        </w:rPr>
        <w:t>包含增值税、城市维护建设税、教育费附加、地方教育附加以及环境保护税。其中增值税、附加税按《重庆市建设工程费用定额》（CQFYDE-2018）规定及配套文件执行</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 按实际完成的工程量支付工程价款的计量方法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14.1.3.1计量原则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工程量按《房屋建筑与装饰工程工程量计算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50854-20</w:t>
      </w:r>
      <w:r>
        <w:rPr>
          <w:rFonts w:hint="eastAsia" w:ascii="宋体" w:hAnsi="宋体" w:cs="宋体"/>
          <w:kern w:val="0"/>
          <w:szCs w:val="21"/>
          <w:lang w:val="en-US" w:eastAsia="zh-CN" w:bidi="ar"/>
        </w:rPr>
        <w:t>24</w:t>
      </w:r>
      <w:r>
        <w:rPr>
          <w:rFonts w:hint="eastAsia" w:ascii="宋体" w:hAnsi="宋体" w:cs="宋体"/>
          <w:kern w:val="0"/>
          <w:szCs w:val="21"/>
          <w:lang w:bidi="ar"/>
        </w:rPr>
        <w:t>）、《仿古建筑工程工程量计算规范》（GB50855-2013）、《通用安装工程工程量计算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50856-20</w:t>
      </w:r>
      <w:r>
        <w:rPr>
          <w:rFonts w:hint="eastAsia" w:ascii="宋体" w:hAnsi="宋体" w:cs="宋体"/>
          <w:kern w:val="0"/>
          <w:szCs w:val="21"/>
          <w:lang w:val="en-US" w:eastAsia="zh-CN" w:bidi="ar"/>
        </w:rPr>
        <w:t>24</w:t>
      </w:r>
      <w:r>
        <w:rPr>
          <w:rFonts w:hint="eastAsia" w:ascii="宋体" w:hAnsi="宋体" w:cs="宋体"/>
          <w:kern w:val="0"/>
          <w:szCs w:val="21"/>
          <w:lang w:bidi="ar"/>
        </w:rPr>
        <w:t>）、《市政工程工程量计算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50857-20</w:t>
      </w:r>
      <w:r>
        <w:rPr>
          <w:rFonts w:hint="eastAsia" w:ascii="宋体" w:hAnsi="宋体" w:cs="宋体"/>
          <w:kern w:val="0"/>
          <w:szCs w:val="21"/>
          <w:lang w:val="en-US" w:eastAsia="zh-CN" w:bidi="ar"/>
        </w:rPr>
        <w:t>24</w:t>
      </w:r>
      <w:r>
        <w:rPr>
          <w:rFonts w:hint="eastAsia" w:ascii="宋体" w:hAnsi="宋体" w:cs="宋体"/>
          <w:kern w:val="0"/>
          <w:szCs w:val="21"/>
          <w:lang w:bidi="ar"/>
        </w:rPr>
        <w:t>）、《园林绿化工程工程量计算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50858-20</w:t>
      </w:r>
      <w:r>
        <w:rPr>
          <w:rFonts w:hint="eastAsia" w:ascii="宋体" w:hAnsi="宋体" w:cs="宋体"/>
          <w:kern w:val="0"/>
          <w:szCs w:val="21"/>
          <w:lang w:val="en-US" w:eastAsia="zh-CN" w:bidi="ar"/>
        </w:rPr>
        <w:t>24</w:t>
      </w:r>
      <w:r>
        <w:rPr>
          <w:rFonts w:hint="eastAsia" w:ascii="宋体" w:hAnsi="宋体" w:cs="宋体"/>
          <w:kern w:val="0"/>
          <w:szCs w:val="21"/>
          <w:lang w:bidi="ar"/>
        </w:rPr>
        <w:t>）、《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计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14.1.3.2计量周期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关于计量周期的约定：根据项目实际情况可以按月、按进度、按节点等形式计量，按进度、按节点计量的参考按月计量原则执行。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14.1.3.3固定总价合同的计量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关于固定总价合同计量的约定：按形象进度或支付分解表计量。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14.1.3.4固定单价/费率合同的计量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（1）承包人应于当月  日前向监理人报送上月已完成的工程量，并附进度付款申请单、已完成工程量报表和其他有关资料。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监理人应在收到承包人提交的工程量报表后7天内完成对承包人提交的工程量报表的审核并报送发包人；发包人收到监理人报送资料后7天内完成审批，以确定当月实际完成的工程量。监理人、发包人任一方对工程量有异议的，均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（3）工程量的计量仅作为进度付款和工程施工进度控制的依据，不应认为是承包人履行合同义务完成工程的实际和准确的工程量，实际和准确工程量按竣工图和第14.1.3.1目[计量原则]约定确认的工程量为准。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14.1.3.5其他价格形式合同的计量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其他价格形式的计量方式和程序：不采用。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 预付款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14.2.1预付款支付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预付款的金额或比例为：</w:t>
      </w:r>
      <w:r>
        <w:rPr>
          <w:rFonts w:hint="eastAsia" w:ascii="宋体" w:hAnsi="宋体" w:cs="宋体"/>
          <w:kern w:val="0"/>
          <w:szCs w:val="21"/>
          <w:u w:val="single"/>
          <w:lang w:bidi="ar"/>
        </w:rPr>
        <w:t xml:space="preserve">  （10%～30%）</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预付款支付期限：</w:t>
      </w:r>
      <w:r>
        <w:rPr>
          <w:rFonts w:hint="eastAsia" w:ascii="宋体" w:hAnsi="宋体" w:cs="宋体"/>
          <w:kern w:val="0"/>
          <w:szCs w:val="21"/>
          <w:u w:val="single"/>
          <w:lang w:bidi="ar"/>
        </w:rPr>
        <w:t>预付款担保提交后7天内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预付款扣回的方式：</w:t>
      </w:r>
      <w:r>
        <w:rPr>
          <w:rFonts w:hint="eastAsia" w:ascii="宋体" w:hAnsi="宋体" w:cs="宋体"/>
          <w:kern w:val="0"/>
          <w:szCs w:val="21"/>
          <w:u w:val="single"/>
          <w:lang w:bidi="ar"/>
        </w:rPr>
        <w:t>承包人完成累计金额达到签约合同金额的30%后，在合同约定的每个计量周期按审核确认的进度款金额的   （为预付款支付比例的2倍）进行扣回，直至预付款全额扣回</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14.2.2预付款担保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在以下方式中选择其一，作为双方对预付款担保的约定。</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□承包人不提交预付款担保。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□承包人提交预付款担保的时间：</w:t>
      </w:r>
      <w:r>
        <w:rPr>
          <w:rFonts w:hint="eastAsia" w:ascii="宋体" w:hAnsi="宋体" w:cs="宋体"/>
          <w:kern w:val="0"/>
          <w:szCs w:val="21"/>
          <w:u w:val="single"/>
          <w:lang w:bidi="ar"/>
        </w:rPr>
        <w:t>合同订立后7天内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预付款担保的形式为：</w:t>
      </w:r>
      <w:r>
        <w:rPr>
          <w:rFonts w:hint="eastAsia" w:ascii="宋体" w:hAnsi="宋体" w:cs="宋体"/>
          <w:kern w:val="0"/>
          <w:szCs w:val="21"/>
          <w:u w:val="single"/>
          <w:lang w:bidi="ar"/>
        </w:rPr>
        <w:t>银行保函</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预付款担保的金额：</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预付款担保的期限：</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预付款担保的退还时间：</w:t>
      </w:r>
      <w:r>
        <w:rPr>
          <w:rFonts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 工程进度款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14.3.1 工程进度付款申请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工程进度付款申请方式：</w:t>
      </w:r>
      <w:r>
        <w:rPr>
          <w:rFonts w:hint="eastAsia" w:ascii="宋体" w:hAnsi="宋体" w:cs="宋体"/>
          <w:kern w:val="0"/>
          <w:szCs w:val="21"/>
          <w:u w:val="single"/>
          <w:lang w:bidi="ar"/>
        </w:rPr>
        <w:t>提交进度付款申请单</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承包人提交进度付款申请单的格式、内容、份数和时间：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固定总价合同进度付款申请单提交的约定：按照第14.1.3.3目[固定总价合同的计量]约定的时间向监理人提交，并附上已完成工程量报表及有关资料，施工进度付款申请单还应附经审核的农民工工资发放的情况说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固定单价/费率合同进度付款申请单提交的约定：按照第14.1.3.4目[固定单价/费率合同的计量]约定的时间按月向监理人提交，并附上已完成工程量报表及有关资料，施工进度付款申请单还应附经审核的农民工工资发放的情况说明。固定单价/费率合同中的采用固定总价计价的按工程形象进度或支付分解表分月计量后汇总列入当期进度付款申请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3）其他价格形式合同进度付款申请单提交的约定：不采用。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进度付款申请单应包括的内容：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1）截至本次付款周期内已完成工作对应的金额；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2）扣除依据通用合同条件第14.3.1项第（1）目约定中已扣除的人工费金额；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3）根据第13条</w:t>
      </w:r>
      <w:r>
        <w:rPr>
          <w:rFonts w:hint="eastAsia" w:ascii="宋体" w:hAnsi="宋体" w:cs="宋体"/>
          <w:kern w:val="0"/>
          <w:szCs w:val="21"/>
          <w:u w:val="single"/>
          <w:lang w:bidi="ar"/>
        </w:rPr>
        <w:t>[</w:t>
      </w:r>
      <w:r>
        <w:rPr>
          <w:rFonts w:hint="eastAsia" w:ascii="宋体" w:hAnsi="宋体" w:cs="宋体"/>
          <w:kern w:val="0"/>
          <w:szCs w:val="21"/>
          <w:lang w:bidi="ar"/>
        </w:rPr>
        <w:t>变更与调整</w:t>
      </w:r>
      <w:r>
        <w:rPr>
          <w:rFonts w:hint="eastAsia" w:ascii="宋体" w:hAnsi="宋体" w:cs="宋体"/>
          <w:kern w:val="0"/>
          <w:szCs w:val="21"/>
          <w:u w:val="single"/>
          <w:lang w:bidi="ar"/>
        </w:rPr>
        <w:t>]</w:t>
      </w:r>
      <w:r>
        <w:rPr>
          <w:rFonts w:hint="eastAsia" w:ascii="宋体" w:hAnsi="宋体" w:cs="宋体"/>
          <w:kern w:val="0"/>
          <w:szCs w:val="21"/>
          <w:lang w:bidi="ar"/>
        </w:rPr>
        <w:t>应增加和扣减的变更金额；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4）根据第14.2款</w:t>
      </w:r>
      <w:r>
        <w:rPr>
          <w:rFonts w:hint="eastAsia" w:ascii="宋体" w:hAnsi="宋体" w:cs="宋体"/>
          <w:kern w:val="0"/>
          <w:szCs w:val="21"/>
          <w:u w:val="single"/>
          <w:lang w:bidi="ar"/>
        </w:rPr>
        <w:t>[</w:t>
      </w:r>
      <w:r>
        <w:rPr>
          <w:rFonts w:hint="eastAsia" w:ascii="宋体" w:hAnsi="宋体" w:cs="宋体"/>
          <w:kern w:val="0"/>
          <w:szCs w:val="21"/>
          <w:lang w:bidi="ar"/>
        </w:rPr>
        <w:t>预付款</w:t>
      </w:r>
      <w:r>
        <w:rPr>
          <w:rFonts w:hint="eastAsia" w:ascii="宋体" w:hAnsi="宋体" w:cs="宋体"/>
          <w:kern w:val="0"/>
          <w:szCs w:val="21"/>
          <w:u w:val="single"/>
          <w:lang w:bidi="ar"/>
        </w:rPr>
        <w:t>]</w:t>
      </w:r>
      <w:r>
        <w:rPr>
          <w:rFonts w:hint="eastAsia" w:ascii="宋体" w:hAnsi="宋体" w:cs="宋体"/>
          <w:kern w:val="0"/>
          <w:szCs w:val="21"/>
          <w:lang w:bidi="ar"/>
        </w:rPr>
        <w:t>约定应支付的预付款和扣减的返还预付款；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5）根据第14.6.2项</w:t>
      </w:r>
      <w:r>
        <w:rPr>
          <w:rFonts w:hint="eastAsia" w:ascii="宋体" w:hAnsi="宋体" w:cs="宋体"/>
          <w:kern w:val="0"/>
          <w:szCs w:val="21"/>
          <w:u w:val="single"/>
          <w:lang w:bidi="ar"/>
        </w:rPr>
        <w:t>[</w:t>
      </w:r>
      <w:r>
        <w:rPr>
          <w:rFonts w:hint="eastAsia" w:ascii="宋体" w:hAnsi="宋体" w:cs="宋体"/>
          <w:kern w:val="0"/>
          <w:szCs w:val="21"/>
          <w:lang w:bidi="ar"/>
        </w:rPr>
        <w:t>质量保证金的预留</w:t>
      </w:r>
      <w:r>
        <w:rPr>
          <w:rFonts w:hint="eastAsia" w:ascii="宋体" w:hAnsi="宋体" w:cs="宋体"/>
          <w:kern w:val="0"/>
          <w:szCs w:val="21"/>
          <w:u w:val="single"/>
          <w:lang w:bidi="ar"/>
        </w:rPr>
        <w:t>]</w:t>
      </w:r>
      <w:r>
        <w:rPr>
          <w:rFonts w:hint="eastAsia" w:ascii="宋体" w:hAnsi="宋体" w:cs="宋体"/>
          <w:kern w:val="0"/>
          <w:szCs w:val="21"/>
          <w:lang w:bidi="ar"/>
        </w:rPr>
        <w:t>约定应预留的质量保证金金额；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6）根据第19条</w:t>
      </w:r>
      <w:r>
        <w:rPr>
          <w:rFonts w:hint="eastAsia" w:ascii="宋体" w:hAnsi="宋体" w:cs="宋体"/>
          <w:kern w:val="0"/>
          <w:szCs w:val="21"/>
          <w:u w:val="single"/>
          <w:lang w:bidi="ar"/>
        </w:rPr>
        <w:t>[</w:t>
      </w:r>
      <w:r>
        <w:rPr>
          <w:rFonts w:hint="eastAsia" w:ascii="宋体" w:hAnsi="宋体" w:cs="宋体"/>
          <w:kern w:val="0"/>
          <w:szCs w:val="21"/>
          <w:lang w:bidi="ar"/>
        </w:rPr>
        <w:t>索赔</w:t>
      </w:r>
      <w:r>
        <w:rPr>
          <w:rFonts w:hint="eastAsia" w:ascii="宋体" w:hAnsi="宋体" w:cs="宋体"/>
          <w:kern w:val="0"/>
          <w:szCs w:val="21"/>
          <w:u w:val="single"/>
          <w:lang w:bidi="ar"/>
        </w:rPr>
        <w:t>]</w:t>
      </w:r>
      <w:r>
        <w:rPr>
          <w:rFonts w:hint="eastAsia" w:ascii="宋体" w:hAnsi="宋体" w:cs="宋体"/>
          <w:kern w:val="0"/>
          <w:szCs w:val="21"/>
          <w:lang w:bidi="ar"/>
        </w:rPr>
        <w:t>应增加和扣减的索赔金额；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7）对已签发的进度款支付证书中出现错误的修正，应在本次进度付款中支付或扣除的金额；</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8）根据合同约定承包人应向发包人支付的违约金；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9）根据合同约定发包人应向承包人支付的违约金和（或）奖励；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10）根据合同约定应增加和扣减的其他金额。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14.3.2 进度付款审核和支付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监理人完成审查并报送发包人的期限：</w:t>
      </w:r>
      <w:r>
        <w:rPr>
          <w:rFonts w:hint="eastAsia" w:ascii="宋体" w:hAnsi="宋体" w:cs="宋体"/>
          <w:kern w:val="0"/>
          <w:szCs w:val="21"/>
          <w:u w:val="single"/>
          <w:lang w:bidi="ar"/>
        </w:rPr>
        <w:t>收到承包人进度付款申请单以及相关资料后7天内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发包人完成审批并向承包人签发进度款支付证书的期限：</w:t>
      </w:r>
      <w:r>
        <w:rPr>
          <w:rFonts w:hint="eastAsia" w:ascii="宋体" w:hAnsi="宋体" w:cs="宋体"/>
          <w:kern w:val="0"/>
          <w:szCs w:val="21"/>
          <w:u w:val="single"/>
          <w:lang w:bidi="ar"/>
        </w:rPr>
        <w:t>收到监理人报送资料后7天内。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cs="宋体"/>
          <w:kern w:val="0"/>
          <w:szCs w:val="21"/>
          <w:u w:val="single"/>
          <w:lang w:bidi="ar"/>
        </w:rPr>
        <w:t>[</w:t>
      </w:r>
      <w:r>
        <w:rPr>
          <w:rFonts w:hint="eastAsia" w:ascii="宋体" w:hAnsi="宋体" w:cs="宋体"/>
          <w:kern w:val="0"/>
          <w:szCs w:val="21"/>
          <w:lang w:bidi="ar"/>
        </w:rPr>
        <w:t>争议解决</w:t>
      </w:r>
      <w:r>
        <w:rPr>
          <w:rFonts w:hint="eastAsia" w:ascii="宋体" w:hAnsi="宋体" w:cs="宋体"/>
          <w:kern w:val="0"/>
          <w:szCs w:val="21"/>
          <w:u w:val="single"/>
          <w:lang w:bidi="ar"/>
        </w:rPr>
        <w:t>]</w:t>
      </w:r>
      <w:r>
        <w:rPr>
          <w:rFonts w:hint="eastAsia" w:ascii="宋体" w:hAnsi="宋体" w:cs="宋体"/>
          <w:kern w:val="0"/>
          <w:szCs w:val="21"/>
          <w:lang w:bidi="ar"/>
        </w:rPr>
        <w:t>的约定处理。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发包人应在进度款支付证书或临时进度款支付证书签发后14天内完成支付，发包人逾期支付进度款的，应按照</w:t>
      </w:r>
      <w:r>
        <w:rPr>
          <w:rFonts w:hint="eastAsia" w:ascii="宋体" w:hAnsi="宋体" w:cs="宋体"/>
          <w:kern w:val="0"/>
          <w:szCs w:val="21"/>
          <w:u w:val="single"/>
          <w:lang w:bidi="ar"/>
        </w:rPr>
        <w:t xml:space="preserve">    </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14.4 付款计划表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本合同工程不采用合同通用条件约定的付款计划表方式，进度款支付采用下列方式：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（1）设计进度款支付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□设计进度款不单独支付，含入合同价格内随施工进度款一并支付。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□设计进度款按下列方式支付：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①按发包人要求完成施工图设计及审查，在取得施工图审查合格书后</w:t>
      </w:r>
      <w:r>
        <w:rPr>
          <w:rFonts w:ascii="宋体" w:hAnsi="宋体" w:cs="宋体"/>
          <w:kern w:val="0"/>
          <w:szCs w:val="21"/>
          <w:u w:val="single"/>
          <w:lang w:bidi="ar"/>
        </w:rPr>
        <w:t>28天内，发包人向承包人支付至中标设计费金额的   %</w:t>
      </w:r>
      <w:r>
        <w:rPr>
          <w:rFonts w:hint="eastAsia" w:ascii="宋体" w:hAnsi="宋体" w:cs="宋体"/>
          <w:kern w:val="0"/>
          <w:szCs w:val="21"/>
          <w:u w:val="single"/>
          <w:lang w:bidi="ar"/>
        </w:rPr>
        <w:t>（不低于80%）</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②工程竣工验收合格后</w:t>
      </w:r>
      <w:r>
        <w:rPr>
          <w:rFonts w:ascii="宋体" w:hAnsi="宋体" w:cs="宋体"/>
          <w:kern w:val="0"/>
          <w:szCs w:val="21"/>
          <w:u w:val="single"/>
          <w:lang w:bidi="ar"/>
        </w:rPr>
        <w:t>28天内，发包人向承包人</w:t>
      </w:r>
      <w:r>
        <w:rPr>
          <w:rFonts w:hint="eastAsia" w:ascii="宋体" w:hAnsi="宋体" w:cs="宋体"/>
          <w:kern w:val="0"/>
          <w:szCs w:val="21"/>
          <w:u w:val="single"/>
          <w:lang w:bidi="ar"/>
        </w:rPr>
        <w:t>一次性支付剩余设计款</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（2）采购进度款支付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□采购进度款不单独支付，含入合同价格内随施工进度款一并支付。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□采购进度款按下列方式支付：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①承包人采购的专业设备材料运至施工现场存放地点，经监理人、发包人验收合格后</w:t>
      </w:r>
      <w:r>
        <w:rPr>
          <w:rFonts w:ascii="宋体" w:hAnsi="宋体" w:cs="宋体"/>
          <w:kern w:val="0"/>
          <w:szCs w:val="21"/>
          <w:u w:val="single"/>
          <w:lang w:bidi="ar"/>
        </w:rPr>
        <w:t>28天内，发包人向承包人支付至验收合格专业设备材料费金额的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②工程竣工验收合格，设备安装、调试完毕并通过验收后</w:t>
      </w:r>
      <w:r>
        <w:rPr>
          <w:rFonts w:ascii="宋体" w:hAnsi="宋体" w:cs="宋体"/>
          <w:kern w:val="0"/>
          <w:szCs w:val="21"/>
          <w:u w:val="single"/>
          <w:lang w:bidi="ar"/>
        </w:rPr>
        <w:t>28天内，发包人向承包人支付至专业设备材料费结算价的97%，剩余3%作为质保金；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③在工程缺陷责任期满后</w:t>
      </w:r>
      <w:r>
        <w:rPr>
          <w:rFonts w:ascii="宋体" w:hAnsi="宋体" w:cs="宋体"/>
          <w:kern w:val="0"/>
          <w:szCs w:val="21"/>
          <w:u w:val="single"/>
          <w:lang w:bidi="ar"/>
        </w:rPr>
        <w:t>28天内，发包人一次性支付剩余专业设备材料款。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（3）施工进度款支付</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①按月进度支付的，发包人将上月农民工工资支付凭证作为当月进度款支付的前置条件；按形象进度或支付分解表支付的，发包人将上期至当期之间所有月份的农民工工资支付凭证作为当期进度款支付的前置条件。</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②合同订立后，发包人在工程开工前按签约合同价中安全文明施工费的50％支付承包人，用于现场安全文明施工建设，余下安全文明施工费按施工进度支付</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③无论按月进度付款还是按形象进度或支付分解表付款，发包人均按当期实际完成并经监理人、跟审单位（如有）和发包人审核合格的工程量向承包人支付对应施工进度款的  %，最多支付至建筑安装工程费合同价格的  %（不低于80%）</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④人工、材料价差按  %（不低于80%）纳入当期进度支付，价差调整方式按第13.8款[市场价格波动引起的调整]约定执行</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⑤工程竣工验收合格后28天内，发包人向承包人支付至建筑安装工程费合同价格的  %（不低于85%）；完成结算审核后28天内，发包人向承包人支付至建筑安装工程费结算审定金额的97%；缺陷责任期满后28天内发包人向承包人支付剩余工程款</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⑥设计进度款和（或）采购进度款一并纳入施工进度款支付的，以上施工进度款的支付均包含设计费和（或）专业设备材料费，不再对其单独说明。</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 竣工结算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14.5.1 竣工结算申请</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承包人提交竣工结算申请的时间：</w:t>
      </w:r>
      <w:r>
        <w:rPr>
          <w:rFonts w:hint="eastAsia" w:ascii="宋体" w:hAnsi="宋体" w:cs="宋体"/>
          <w:kern w:val="0"/>
          <w:szCs w:val="21"/>
          <w:u w:val="single"/>
          <w:lang w:bidi="ar"/>
        </w:rPr>
        <w:t>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竣工结算申请的资料清单和份数：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竣工结算申请单的内容包括但不限于以下内容：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（1）竣工结算合同价格；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（2）变更增减金额；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（3）索赔增减金额；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（4）奖励、罚金及违约金；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（5）发包人已支付承包人的款项；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（6）采用第14.6.1项</w:t>
      </w:r>
      <w:r>
        <w:rPr>
          <w:rFonts w:hint="eastAsia" w:ascii="宋体" w:hAnsi="宋体" w:cs="宋体"/>
          <w:kern w:val="0"/>
          <w:szCs w:val="21"/>
          <w:u w:val="single"/>
          <w:lang w:bidi="ar"/>
        </w:rPr>
        <w:t>[</w:t>
      </w:r>
      <w:r>
        <w:rPr>
          <w:rFonts w:hint="eastAsia" w:ascii="宋体" w:hAnsi="宋体" w:cs="宋体"/>
          <w:kern w:val="0"/>
          <w:szCs w:val="21"/>
          <w:lang w:bidi="ar"/>
        </w:rPr>
        <w:t>承包人提供质量保证金的方式</w:t>
      </w:r>
      <w:r>
        <w:rPr>
          <w:rFonts w:hint="eastAsia" w:ascii="宋体" w:hAnsi="宋体" w:cs="宋体"/>
          <w:kern w:val="0"/>
          <w:szCs w:val="21"/>
          <w:u w:val="single"/>
          <w:lang w:bidi="ar"/>
        </w:rPr>
        <w:t>]</w:t>
      </w:r>
      <w:r>
        <w:rPr>
          <w:rFonts w:hint="eastAsia" w:ascii="宋体" w:hAnsi="宋体" w:cs="宋体"/>
          <w:kern w:val="0"/>
          <w:szCs w:val="21"/>
          <w:lang w:bidi="ar"/>
        </w:rPr>
        <w:t>第(2)种方式提供质量保证金的，应当列明应预留的质量保证金金额；采用第14.6.1项</w:t>
      </w:r>
      <w:r>
        <w:rPr>
          <w:rFonts w:hint="eastAsia" w:ascii="宋体" w:hAnsi="宋体" w:cs="宋体"/>
          <w:kern w:val="0"/>
          <w:szCs w:val="21"/>
          <w:u w:val="single"/>
          <w:lang w:bidi="ar"/>
        </w:rPr>
        <w:t>[</w:t>
      </w:r>
      <w:r>
        <w:rPr>
          <w:rFonts w:hint="eastAsia" w:ascii="宋体" w:hAnsi="宋体" w:cs="宋体"/>
          <w:kern w:val="0"/>
          <w:szCs w:val="21"/>
          <w:lang w:bidi="ar"/>
        </w:rPr>
        <w:t>承包人提供质量保证金的方式</w:t>
      </w:r>
      <w:r>
        <w:rPr>
          <w:rFonts w:hint="eastAsia" w:ascii="宋体" w:hAnsi="宋体" w:cs="宋体"/>
          <w:kern w:val="0"/>
          <w:szCs w:val="21"/>
          <w:u w:val="single"/>
          <w:lang w:bidi="ar"/>
        </w:rPr>
        <w:t>]</w:t>
      </w:r>
      <w:r>
        <w:rPr>
          <w:rFonts w:hint="eastAsia" w:ascii="宋体" w:hAnsi="宋体" w:cs="宋体"/>
          <w:kern w:val="0"/>
          <w:szCs w:val="21"/>
          <w:lang w:bidi="ar"/>
        </w:rPr>
        <w:t>中其他方式提供质量保证金的，应当按第14.6款</w:t>
      </w:r>
      <w:r>
        <w:rPr>
          <w:rFonts w:hint="eastAsia" w:ascii="宋体" w:hAnsi="宋体" w:cs="宋体"/>
          <w:kern w:val="0"/>
          <w:szCs w:val="21"/>
          <w:u w:val="single"/>
          <w:lang w:bidi="ar"/>
        </w:rPr>
        <w:t>[</w:t>
      </w:r>
      <w:r>
        <w:rPr>
          <w:rFonts w:hint="eastAsia" w:ascii="宋体" w:hAnsi="宋体" w:cs="宋体"/>
          <w:kern w:val="0"/>
          <w:szCs w:val="21"/>
          <w:lang w:bidi="ar"/>
        </w:rPr>
        <w:t>质量保证金</w:t>
      </w:r>
      <w:r>
        <w:rPr>
          <w:rFonts w:hint="eastAsia" w:ascii="宋体" w:hAnsi="宋体" w:cs="宋体"/>
          <w:kern w:val="0"/>
          <w:szCs w:val="21"/>
          <w:u w:val="single"/>
          <w:lang w:bidi="ar"/>
        </w:rPr>
        <w:t>]</w:t>
      </w:r>
      <w:r>
        <w:rPr>
          <w:rFonts w:hint="eastAsia" w:ascii="宋体" w:hAnsi="宋体" w:cs="宋体"/>
          <w:kern w:val="0"/>
          <w:szCs w:val="21"/>
          <w:lang w:bidi="ar"/>
        </w:rPr>
        <w:t>提供相关文件作为附件；；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（7）发包人应支付承包人的合同价款；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14.5.2竣工结算审核</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监理人审核竣工付款申请单的期限：在收到竣工结算申请单后  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发包人审批竣工付款申请单的期限：收到监理人提交的经审核的竣工结算申请单后 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发包人完成竣工付款的期限：在签发竣工付款证书后的  天内。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关于竣工付款证书异议部分复核的方式和程序：按照第20条</w:t>
      </w:r>
      <w:r>
        <w:rPr>
          <w:rFonts w:hint="eastAsia" w:ascii="宋体" w:hAnsi="宋体" w:cs="宋体"/>
          <w:kern w:val="0"/>
          <w:szCs w:val="21"/>
          <w:u w:val="single"/>
          <w:lang w:bidi="ar"/>
        </w:rPr>
        <w:t>[</w:t>
      </w:r>
      <w:r>
        <w:rPr>
          <w:rFonts w:hint="eastAsia" w:ascii="宋体" w:hAnsi="宋体" w:cs="宋体"/>
          <w:kern w:val="0"/>
          <w:szCs w:val="21"/>
          <w:lang w:bidi="ar"/>
        </w:rPr>
        <w:t>争议解决</w:t>
      </w:r>
      <w:r>
        <w:rPr>
          <w:rFonts w:hint="eastAsia" w:ascii="宋体" w:hAnsi="宋体" w:cs="宋体"/>
          <w:kern w:val="0"/>
          <w:szCs w:val="21"/>
          <w:u w:val="single"/>
          <w:lang w:bidi="ar"/>
        </w:rPr>
        <w:t>]</w:t>
      </w:r>
      <w:r>
        <w:rPr>
          <w:rFonts w:hint="eastAsia" w:ascii="宋体" w:hAnsi="宋体" w:cs="宋体"/>
          <w:kern w:val="0"/>
          <w:szCs w:val="21"/>
          <w:lang w:bidi="ar"/>
        </w:rPr>
        <w:t>约定处理。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本款补充14.5.3项：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 竣工结算原则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合同工程竣工结算价=设计费结算价+专业设备材料费结算价+建筑安装工程费结算价±合同约定的其他费用。</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合同工程竣工结算价原则上按上述公式结算，设计费、专业设备材料费、建筑安装工程费分项单独结算。特殊情况下，设计费、专业设备材料费、建筑安装工程费不单独结算而采用一个固定总价的：合同工程竣工结算价=中标总价±合同约定的其他费用。</w:t>
      </w:r>
    </w:p>
    <w:p>
      <w:pPr>
        <w:widowControl/>
        <w:adjustRightInd w:val="0"/>
        <w:snapToGrid w:val="0"/>
        <w:spacing w:after="163" w:afterLines="50" w:line="360" w:lineRule="auto"/>
        <w:ind w:firstLine="420" w:firstLineChars="200"/>
        <w:rPr>
          <w:lang w:bidi="ar"/>
        </w:rPr>
      </w:pPr>
      <w:r>
        <w:rPr>
          <w:rFonts w:hint="eastAsia"/>
          <w:lang w:bidi="ar"/>
        </w:rPr>
        <w:t>合同约定的其他费用包括</w:t>
      </w:r>
      <w:r>
        <w:rPr>
          <w:rFonts w:hint="eastAsia" w:ascii="宋体" w:hAnsi="宋体" w:cs="宋体"/>
          <w:kern w:val="0"/>
          <w:szCs w:val="21"/>
          <w:u w:val="single"/>
          <w:lang w:bidi="ar"/>
        </w:rPr>
        <w:t>变更结算金额、索赔赔付金额、奖励、罚金、违约金等。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当按结算原则计算出的合同工程竣工结算价超过批准概算金额的，以概算金额为限价进行结算（发生重大设计变更的情况除外）。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14.5.3.1设计费结算原则</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□采用固定总价合同，设计费结算价=设计费中标价±合同约定的其他费用。</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□采用固定综合单价合同，设计费结算价=∑经监理人、发包人审核通过的实际工作量×固定综合单价±合同约定的其他费用。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□采用固定费率合同，设计费结算价=结算建筑安装工程费×固定费率±合同约定的其他费用。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14.5.3.2专业设备材料费结算原则</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□采用固定总价合同，专业设备材料费结算价=专业设备材料费中标价±合同约定的其他费用。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□采用固定综合单价合同，专业设备材料费结算价=∑经监理人、发包人审核通过的实际采购的专业设备材料数量×固定综合单价±合同约定的其他费用。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14.5.3.3建筑安装工程费结算原则</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□采用固定总价合同，建筑安装工程费结算价=建筑安装工程费中标价±合同约定的其他费用。</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费率合同，建筑安装工程费结算价=（Σ经审核通过的实际工程量依据下列的计价原则、工程定额、造价信息等计算出的建筑安装工程费基价-认质核价的设备材料费-安全文明施工费-Σ规费-Σ税金）×固定费率+认质核价的设备材料费+安全文明施工费+Σ规费+Σ税金±合同约定的其他费用。（市场价格波动引起的调差直接在计算建筑安装工程费基价的过程中调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建筑安装工程费基价计价原则：</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w:t>
      </w:r>
      <w:r>
        <w:rPr>
          <w:rFonts w:hint="eastAsia" w:ascii="宋体" w:hAnsi="宋体" w:cs="宋体"/>
          <w:kern w:val="0"/>
          <w:szCs w:val="21"/>
          <w:u w:val="single"/>
          <w:lang w:bidi="ar"/>
        </w:rPr>
        <w:t>以《建设工程工程量清单计价规范》（GB50500-2013）、《重庆市建设工程工程量清单计价规则》（CQQDGZ-2013）、《房屋建筑与装饰工程工程量计算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50854-20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、《市政工程工程量计算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50857-20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、《通用安装工程工程量计算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50856-20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、《构筑物工程工程量计算规范》（GB50860-2013）、《园林绿化工程工程量计算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50858-20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重庆市建筑工程计价定额》（CQJZDE-2018）、《重庆市装饰工程计价定额》（CQZSDE-2018）、《重庆市安装工程计价定额》（CQAZDE-2018）、《重庆市市政工程计价定额》（CQSZDE-2018）、《重庆市绿色建筑工程计价定额》（CQLSJZDE-2018）、《重庆市房屋修缮工程定额》（CQXSDE-2018）、《重庆市建设工程费用定额》（CQFYDE-2018）、《混凝土及砂浆配合比表、施工机械台班定额》（CQPSDE-2018）、《重庆建筑工程施工仪器仪表台班定额》（CQYQYBDE-2018）、《重庆市城市地下综合管廊工程计价定额》（CQGLDE-2018）、《重庆市城市管线迁改工程计价定额》 (CQGXDE-2019）、《重庆市城乡建设委员会关于建筑业营业税改征增值税调整建设工程计价依据的通知》（渝建（2016）35号）、《重庆市住房和城乡建设委员会关于适用增值税新税率调整建设工程计价依据的通知》渝建（2019）143号）、《重庆市建设工程造价管理总站关于颁发2018年重庆市建设工程计价定额综合解释的通知》等相关配套定额及文件为依据。</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上述计价原则中无定额可套用的，由承包人会同监理人、跟审单位（如有）、发包人按相关原则、编制方法编制补充定额（人工、材料、机械基价执行2018年计价定额的基价，2018年计价定额没有的基价，按市场价计）；或参照重庆市场相同工作的市场价格上报监理人，最终价格按承包人、监理人、跟审单位（如有）、发包人共同询价确认的价格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（2）分部分项工程量清单计价表中的工程数量以施工设计图为依据，以设计变更图、监理工程师和发包人认可的尺寸、断面为参考依据，根据《房屋建筑与装饰工程工程量计算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50854-20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、《市政工程工程量计算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50857-20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、《通用安装工程工程量计算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50856-20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、《构筑物工程工程量计算规范》（GB50860-2013）、《园林绿化工程工程量计算</w:t>
      </w:r>
      <w:r>
        <w:rPr>
          <w:rFonts w:hint="eastAsia" w:ascii="宋体" w:hAnsi="宋体" w:cs="宋体"/>
          <w:kern w:val="0"/>
          <w:szCs w:val="21"/>
          <w:lang w:val="en-US" w:eastAsia="zh-CN" w:bidi="ar"/>
        </w:rPr>
        <w:t>标准</w:t>
      </w:r>
      <w:r>
        <w:rPr>
          <w:rFonts w:hint="eastAsia" w:ascii="宋体" w:hAnsi="宋体" w:cs="宋体"/>
          <w:kern w:val="0"/>
          <w:szCs w:val="21"/>
          <w:lang w:bidi="ar"/>
        </w:rPr>
        <w:t>》（GB</w:t>
      </w:r>
      <w:r>
        <w:rPr>
          <w:rFonts w:hint="eastAsia" w:ascii="宋体" w:hAnsi="宋体" w:cs="宋体"/>
          <w:kern w:val="0"/>
          <w:szCs w:val="21"/>
          <w:lang w:val="en-US" w:eastAsia="zh-CN" w:bidi="ar"/>
        </w:rPr>
        <w:t>/T</w:t>
      </w:r>
      <w:r>
        <w:rPr>
          <w:rFonts w:hint="eastAsia" w:ascii="宋体" w:hAnsi="宋体" w:cs="宋体"/>
          <w:kern w:val="0"/>
          <w:szCs w:val="21"/>
          <w:lang w:bidi="ar"/>
        </w:rPr>
        <w:t>50858-20</w:t>
      </w:r>
      <w:r>
        <w:rPr>
          <w:rFonts w:hint="eastAsia" w:ascii="宋体" w:hAnsi="宋体" w:cs="宋体"/>
          <w:kern w:val="0"/>
          <w:szCs w:val="21"/>
          <w:lang w:val="en-US" w:eastAsia="zh-CN" w:bidi="ar"/>
        </w:rPr>
        <w:t>24</w:t>
      </w:r>
      <w:r>
        <w:rPr>
          <w:rFonts w:hint="eastAsia" w:ascii="宋体" w:hAnsi="宋体" w:cs="宋体"/>
          <w:kern w:val="0"/>
          <w:szCs w:val="21"/>
          <w:lang w:bidi="ar"/>
        </w:rPr>
        <w:t>）</w:t>
      </w:r>
      <w:r>
        <w:rPr>
          <w:rFonts w:hint="eastAsia" w:ascii="宋体" w:hAnsi="宋体" w:cs="宋体"/>
          <w:kern w:val="0"/>
          <w:szCs w:val="21"/>
          <w:u w:val="single"/>
          <w:lang w:bidi="ar"/>
        </w:rPr>
        <w:t>、《重庆市建设工程工程量计算规则》（CQJLGZ－2013）、《建设工程工程量清单计价规范》（GB50500-2013）、《重庆市建设工程工程量清单计价规则》（CQJJGZ-2013）各专业工程工程量计算规范规定的计算规则及招标文件约定的计算规则计量。</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（3）人工单价：按开标当期《重庆工程造价》发布的项目所在地的人工单价执行。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（4）设备材料单价：</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①按开标当期《重庆工程造价》发布的项目所在地的信息价执行；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②开标当期《重庆工程造价》中没有的，承包人投标报价中有的，按承包人投标报价中相同材料单价的最低值执行；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③开标当期《重庆工程造价》和承包人投标报价没有的，由承包人申报、监理人会同跟审单位、发包人根据市场行情认质核价确定。</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（3）措施费：                      。</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（4）安全文明施工费：按照</w:t>
      </w:r>
      <w:r>
        <w:rPr>
          <w:rFonts w:hint="eastAsia" w:ascii="宋体" w:hAnsi="宋体"/>
          <w:szCs w:val="21"/>
          <w:u w:val="single"/>
        </w:rPr>
        <w:t>《重庆市建设工程费用定额》（CQFYDE-2018）</w:t>
      </w:r>
      <w:r>
        <w:rPr>
          <w:rFonts w:hint="eastAsia" w:ascii="宋体" w:hAnsi="宋体"/>
          <w:szCs w:val="21"/>
          <w:u w:val="single"/>
          <w:lang w:eastAsia="zh-CN"/>
        </w:rPr>
        <w:t>、</w:t>
      </w:r>
      <w:r>
        <w:rPr>
          <w:rFonts w:hint="eastAsia" w:ascii="宋体" w:hAnsi="宋体"/>
          <w:szCs w:val="21"/>
          <w:u w:val="single"/>
        </w:rPr>
        <w:t>《重庆市住房和城乡建设委员会关于修订发布&lt;重庆市建设工程安全文明施工费计取及使用管理规定&gt;的通知》（渝建管〔2024〕38号）的规定</w:t>
      </w:r>
      <w:r>
        <w:rPr>
          <w:rFonts w:hint="eastAsia" w:ascii="宋体" w:hAnsi="宋体" w:cs="宋体"/>
          <w:kern w:val="0"/>
          <w:szCs w:val="21"/>
          <w:u w:val="single"/>
          <w:lang w:bidi="ar"/>
        </w:rPr>
        <w:t>进行结算。施工期间，若相关行政主管部门颁布了新的重庆市建设安全文明施工费计取及使用管理规定的，按新颁布的文件规定执行。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（5）规费：按《重庆市建设工程费用定额》（CQFYDE-2018）费用标准进行结算。</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（6）税金：包含增值税、城市维护建设税、教育费附加、地方教育附加以及环境保护税。其中增值税按《重庆市建设工程费用定额》（CQFYDE-2018）规定及配套文件进行结算。</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14.5.3.4其他费用结算原则：</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 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14.6.1 承包人提供质量保证金的方式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质量保证金采用以下第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（1）工程质量保证担保</w:t>
      </w:r>
    </w:p>
    <w:p>
      <w:pPr>
        <w:widowControl/>
        <w:adjustRightInd w:val="0"/>
        <w:snapToGrid w:val="0"/>
        <w:spacing w:after="163" w:afterLines="50" w:line="360" w:lineRule="auto"/>
        <w:ind w:firstLine="420" w:firstLineChars="200"/>
        <w:rPr>
          <w:rFonts w:hint="eastAsia" w:ascii="宋体" w:hAnsi="宋体" w:cs="宋体"/>
          <w:kern w:val="0"/>
          <w:szCs w:val="21"/>
          <w:u w:val="none"/>
          <w:lang w:bidi="ar"/>
        </w:rPr>
      </w:pPr>
      <w:r>
        <w:rPr>
          <w:rFonts w:hint="eastAsia" w:ascii="宋体" w:hAnsi="宋体" w:cs="宋体"/>
          <w:kern w:val="0"/>
          <w:szCs w:val="21"/>
          <w:lang w:val="en-US" w:eastAsia="zh-CN" w:bidi="ar"/>
        </w:rPr>
        <w:t>①</w:t>
      </w:r>
      <w:r>
        <w:rPr>
          <w:rFonts w:hint="eastAsia" w:ascii="宋体" w:hAnsi="宋体" w:cs="宋体"/>
          <w:kern w:val="0"/>
          <w:szCs w:val="21"/>
          <w:lang w:bidi="ar"/>
        </w:rPr>
        <w:t>担保形式：</w:t>
      </w:r>
      <w:r>
        <w:rPr>
          <w:rFonts w:hint="eastAsia" w:ascii="宋体" w:hAnsi="宋体" w:cs="宋体"/>
          <w:kern w:val="0"/>
          <w:szCs w:val="21"/>
          <w:lang w:eastAsia="zh-CN" w:bidi="ar"/>
        </w:rPr>
        <w:t>质量保证金保函</w:t>
      </w:r>
      <w:r>
        <w:rPr>
          <w:rFonts w:hint="eastAsia" w:ascii="宋体" w:hAnsi="宋体" w:cs="宋体"/>
          <w:kern w:val="0"/>
          <w:szCs w:val="21"/>
          <w:u w:val="none"/>
          <w:lang w:bidi="ar"/>
        </w:rPr>
        <w:t>包括银行保函、保证保险和担保保函，其示范文本详见合同附件。承包人提交的质量保证金保函应严格执行其示范文本，不得对示范文本中的实质性内容进行修改。</w:t>
      </w:r>
    </w:p>
    <w:p>
      <w:pPr>
        <w:widowControl/>
        <w:adjustRightInd w:val="0"/>
        <w:snapToGrid w:val="0"/>
        <w:spacing w:after="163" w:afterLines="50" w:line="360" w:lineRule="auto"/>
        <w:ind w:firstLine="420" w:firstLineChars="200"/>
        <w:rPr>
          <w:rFonts w:hint="eastAsia" w:ascii="宋体" w:hAnsi="宋体" w:cs="宋体"/>
          <w:kern w:val="0"/>
          <w:szCs w:val="21"/>
          <w:u w:val="none"/>
          <w:lang w:bidi="ar"/>
        </w:rPr>
      </w:pPr>
      <w:r>
        <w:rPr>
          <w:rFonts w:hint="eastAsia" w:ascii="宋体" w:hAnsi="宋体" w:cs="宋体"/>
          <w:kern w:val="0"/>
          <w:szCs w:val="21"/>
          <w:u w:val="none"/>
          <w:lang w:eastAsia="zh-CN" w:bidi="ar"/>
        </w:rPr>
        <w:t>②</w:t>
      </w:r>
      <w:r>
        <w:rPr>
          <w:rFonts w:hint="eastAsia" w:ascii="宋体" w:hAnsi="宋体" w:cs="宋体"/>
          <w:kern w:val="0"/>
          <w:szCs w:val="21"/>
          <w:u w:val="none"/>
          <w:lang w:bidi="ar"/>
        </w:rPr>
        <w:t>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纸质保函应注明在重庆市辖区范围内的核验地址和核验方式，并确保该纸质保函能在开立人在渝的总部或者分支机构进行核验。承包人对所提交的质量保证金保函的真实性、合法性、有效性负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none"/>
          <w:lang w:val="en-US" w:eastAsia="zh-CN" w:bidi="ar"/>
        </w:rPr>
        <w:t>③</w:t>
      </w:r>
      <w:r>
        <w:rPr>
          <w:rFonts w:hint="eastAsia" w:ascii="宋体" w:hAnsi="宋体" w:cs="宋体"/>
          <w:kern w:val="0"/>
          <w:szCs w:val="21"/>
          <w:lang w:bidi="ar"/>
        </w:rPr>
        <w:t>保证金额：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val="en-US" w:eastAsia="zh-CN" w:bidi="ar"/>
        </w:rPr>
        <w:t>④</w:t>
      </w:r>
      <w:r>
        <w:rPr>
          <w:rFonts w:hint="eastAsia" w:ascii="宋体" w:hAnsi="宋体" w:cs="宋体"/>
          <w:kern w:val="0"/>
          <w:szCs w:val="21"/>
          <w:lang w:bidi="ar"/>
        </w:rPr>
        <w:t>提交时间：</w:t>
      </w:r>
      <w:r>
        <w:rPr>
          <w:rFonts w:hint="eastAsia" w:ascii="宋体" w:hAnsi="宋体" w:cs="宋体"/>
          <w:kern w:val="0"/>
          <w:szCs w:val="21"/>
          <w:u w:val="single"/>
          <w:lang w:bidi="ar"/>
        </w:rPr>
        <w:t>工程竣工验收合格后14天内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（2）竣工结算价的</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（3）其他方式：</w:t>
      </w:r>
      <w:r>
        <w:rPr>
          <w:rFonts w:hint="eastAsia" w:ascii="宋体" w:hAnsi="宋体" w:cs="宋体"/>
          <w:kern w:val="0"/>
          <w:szCs w:val="21"/>
          <w:u w:val="single"/>
          <w:lang w:bidi="ar"/>
        </w:rPr>
        <w:t>/</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14.6.2 质量保证金的预留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质量保证金的预留采取以下第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（1）在支付工程进度款时逐次预留的质量保证金的比例：</w:t>
      </w:r>
      <w:r>
        <w:rPr>
          <w:rFonts w:hint="eastAsia" w:ascii="宋体" w:hAnsi="宋体" w:cs="宋体"/>
          <w:kern w:val="0"/>
          <w:szCs w:val="21"/>
          <w:u w:val="single"/>
          <w:lang w:bidi="ar"/>
        </w:rPr>
        <w:t xml:space="preserve">            </w:t>
      </w:r>
      <w:r>
        <w:rPr>
          <w:rFonts w:hint="eastAsia" w:ascii="宋体" w:hAnsi="宋体" w:cs="宋体"/>
          <w:kern w:val="0"/>
          <w:szCs w:val="21"/>
          <w:lang w:bidi="ar"/>
        </w:rPr>
        <w:t>，在此情形下，质量保证金的计算基数不包括预付款的支付、扣回以及价格调整的金额；</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（2）工程竣工结算时一次性预留专用合同条件第14.6.1项第（2）目约定比例的质量保证金；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（3）其他预留方式: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14.6.3 质量保证金的返还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（1）在发包人向承包人颁发缺陷责任期终止证书之日起14天内退还。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（2）缺陷责任期内，承包人认真履行合同约定的责任，到期后，承包人可向发包人申请返还质量保证金。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（3）质量保证金是否支付利息采取以下第</w:t>
      </w:r>
      <w:r>
        <w:rPr>
          <w:rFonts w:hint="eastAsia" w:ascii="宋体" w:hAnsi="宋体" w:cs="宋体"/>
          <w:kern w:val="0"/>
          <w:szCs w:val="21"/>
          <w:u w:val="single"/>
          <w:lang w:bidi="ar"/>
        </w:rPr>
        <w:t>②</w:t>
      </w:r>
      <w:r>
        <w:rPr>
          <w:rFonts w:hint="eastAsia" w:ascii="宋体" w:hAnsi="宋体" w:cs="宋体"/>
          <w:kern w:val="0"/>
          <w:szCs w:val="21"/>
          <w:lang w:bidi="ar"/>
        </w:rPr>
        <w:t>种方式：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①按照中国人民银行</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月公布的5年期贷款市场报价利率支付利息。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②不采用。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 最终结清</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14.7.1 最终结清申请单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承包人提交最终结清申请单的份数：</w:t>
      </w:r>
      <w:r>
        <w:rPr>
          <w:rFonts w:hint="eastAsia" w:ascii="宋体" w:hAnsi="宋体" w:cs="宋体"/>
          <w:kern w:val="0"/>
          <w:szCs w:val="21"/>
          <w:u w:val="single"/>
          <w:lang w:bidi="ar"/>
        </w:rPr>
        <w:t>3份</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承包人提交最终结算申请单的期限：</w:t>
      </w:r>
      <w:r>
        <w:rPr>
          <w:rFonts w:hint="eastAsia" w:ascii="宋体" w:hAnsi="宋体" w:cs="宋体"/>
          <w:kern w:val="0"/>
          <w:szCs w:val="21"/>
          <w:u w:val="single"/>
          <w:lang w:bidi="ar"/>
        </w:rPr>
        <w:t>缺陷责任期终止证书颁发后14天内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14.7.2 最终结清证书和支付</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（1）发包人完成最终结清申请单的审批并颁发最终结清证书的期限：</w:t>
      </w:r>
      <w:r>
        <w:rPr>
          <w:rFonts w:hint="eastAsia" w:ascii="宋体" w:hAnsi="宋体" w:cs="宋体"/>
          <w:kern w:val="0"/>
          <w:szCs w:val="21"/>
          <w:u w:val="single"/>
          <w:lang w:bidi="ar"/>
        </w:rPr>
        <w:t>收到承包人提交的最终结清申请单后14天内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（2）发包人完成支付的期限：</w:t>
      </w:r>
      <w:r>
        <w:rPr>
          <w:rFonts w:hint="eastAsia" w:ascii="宋体" w:hAnsi="宋体" w:cs="宋体"/>
          <w:kern w:val="0"/>
          <w:szCs w:val="21"/>
          <w:u w:val="single"/>
          <w:lang w:bidi="ar"/>
        </w:rPr>
        <w:t>颁发最终结清证书后14天内</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3012" w:name="_Toc20171888"/>
      <w:bookmarkEnd w:id="3012"/>
      <w:bookmarkStart w:id="3013" w:name="_Toc30286"/>
      <w:bookmarkStart w:id="3014" w:name="_Toc4825"/>
      <w:bookmarkStart w:id="3015" w:name="_Toc26011"/>
      <w:bookmarkStart w:id="3016" w:name="_Toc3688"/>
      <w:r>
        <w:rPr>
          <w:rFonts w:hint="eastAsia" w:ascii="宋体" w:hAnsi="宋体" w:cs="Times"/>
          <w:kern w:val="0"/>
          <w:szCs w:val="21"/>
          <w:lang w:bidi="ar"/>
        </w:rPr>
        <w:t>第15条 违约</w:t>
      </w:r>
      <w:bookmarkEnd w:id="3013"/>
      <w:bookmarkEnd w:id="3014"/>
      <w:bookmarkEnd w:id="3015"/>
      <w:bookmarkEnd w:id="301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 发包人违约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15.1.1 发包人违约的情形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除通用合同条件约定外，发包人违约的其他情形：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（1）发包人提供的材料、工程设备的规格、数量或质量不符合合同约定，或因发包人原因导致交货日期延误或交货地点变更等情况的；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（2）因发包人原因导致工期延误的；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（3）因发包人原因未能及时办理完毕合同约定的许可、批准或备案的；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（4）因监理人未能按合同约定发出指示、指示延误或发出了错误指示而导致承包人费用增加和（或）工期延误的；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（5）发包人或监理人要求重新检查的，经检查证明工程质量符合合同要求的，并由此产生增加的费用和（或）延误的工期的；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（6）因发包人原因造成工程质量未达到合同约定标准的；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（7）由于发包人原因对承包人造成的人员人身伤亡和财产损失的；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（8）因发包人原因导致工程无法按期办理竣工验收或竣工结算的；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（9）发包人无正当理由未按约定退还履约担保、低价风险担保、预付款担保或质量保证金的；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（10）发包人不当提取履约担保、低价风险担保、预付款担保或质量保证金的；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（11）发包人未按合同约定接收全部或部分工作的；</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（12）发包人未按合同约定办理保险的；</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 xml:space="preserve">（13）其他：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15.1.3 发包人违约的责任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发包人违约责任的承担方式和计算方法：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（1）因发包人原因未能及时办理完毕前述许可、批准或备案的违约责任：由发包人承担由此增加的费用和（或）顺延工期，并支付合理利润，具体索赔程序按照第19条[索赔]约定执行。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（3）因发包人原因导致工期延误的违约责任：由发包人承担由此增加的费用和（或）顺延工期，并支付合理利润，具体索赔程序按照第19条[索赔]约定执行。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（4）因发包人原因导致开始工作日期延误的违约责任：由发包人承担由此增加的费用和（或）顺延工期，并支付合理利润，具体索赔程序按照第19条[索赔]约定执行。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（5）根据5.3.3项发包人或监理人要求重新检查的，经检查证明工程质量符合合同要求的，由发包人承担由此增加的费用和（或）顺延工期，并支付合理利润，具体索赔程序按照第19条[索赔]约定执行。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（6）因发包人原因未按合同约定支付合同价款的违约责任：发包人应向承包人支付违约金，自应当支付之日起28天后开始计算违约金，计算公式：</w:t>
      </w:r>
      <w:r>
        <w:rPr>
          <w:rFonts w:hint="eastAsia" w:ascii="宋体" w:hAnsi="宋体" w:cs="宋体"/>
          <w:kern w:val="0"/>
          <w:szCs w:val="21"/>
          <w:u w:val="single"/>
          <w:lang w:bidi="ar"/>
        </w:rPr>
        <w:t>违约金=应付未付金额×中国人民银行  年  月公布的5年期贷款市场报价利率/360天×逾期天数（自第29天起计算）；逾期天数超过56天的，超过部分天数按上述利率的两倍计算并支付违约金</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（7）发包人违反合同约定，自行实施被取消的工作或转由他人实施的违约责任：由发包人承担由此给承包人造成的实际损失并支付合理利润。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（9）因发包人原因造成工程质量未达到合同约定标准的，由发包人承担由此增加的费用和（或）延误的工期，并支付合理利润。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（10）因发包人违反合同约定造成工程暂停施工的违约责任：由发包人承担由此增加的费用和（或）顺延工期，并支付合理利润，具体索赔程序按照第19条[索赔]约定执行。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（11）发包人无正当理由没有在约定期限内发出复工指示，导致承包人无法复工的违约责任：由发包人承担由此增加的费用和（或）顺延工期，并支付合理利润，具体索赔程序按照第19条[索赔]约定执行。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（12）因发包人原因导致工程无法按期办理竣工验收或竣工结算的违约责任：由发包人承担由此增加的费用和（或）顺延工期，并支付合理利润，具体索赔程序按照第19条[索赔]约定执行。</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（13）发包人无正当理由未按约定退还履约担保、预付款担保或质量保证金的违约责任：发包人应向承包人支付违约金，自应当退还之日起28天后开始计算违约金，</w:t>
      </w:r>
      <w:r>
        <w:rPr>
          <w:rFonts w:hint="eastAsia" w:ascii="宋体" w:hAnsi="宋体" w:cs="宋体"/>
          <w:kern w:val="0"/>
          <w:szCs w:val="21"/>
          <w:u w:val="single"/>
          <w:lang w:bidi="ar"/>
        </w:rPr>
        <w:t>计算公式：违约金=应退未退担保金额×中国人民银行  年  月公布的5年期贷款市场报价利率/360天×逾期天数（自第29天起计算）</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（14）发包人不当提取履约担保、预付款担保或质量保证金的，应及时予以退还，若不当提取超过28天的，应承担违约责任：发包人应向承包人支付违约金，</w:t>
      </w:r>
      <w:r>
        <w:rPr>
          <w:rFonts w:hint="eastAsia" w:ascii="宋体" w:hAnsi="宋体" w:cs="宋体"/>
          <w:kern w:val="0"/>
          <w:szCs w:val="21"/>
          <w:u w:val="single"/>
          <w:lang w:bidi="ar"/>
        </w:rPr>
        <w:t>计算公式：违约金=不当提取的担保金额×中国人民银行  年  月公布的5年期贷款市场报价利率/360天×逾期天数（自第29天起计算）</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（15）发包人未按合同约定接收全部或部分工作的违约责任：由发包人承担自应当接收工程之日起的工程照管、成品保护、保管等与工程有关的各项费用。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（16）由于发包人原因对承包人造成的人员人身伤亡和财产损失的，由发包人负责赔偿，并承担由此增加的费用和（或）延误的工期，并支付合理利润。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（17）发包人未按合同约定办理保险的违约责任：除按通用合同条件18.</w:t>
      </w:r>
      <w:r>
        <w:rPr>
          <w:rFonts w:ascii="宋体" w:hAnsi="宋体" w:cs="宋体"/>
          <w:kern w:val="0"/>
          <w:szCs w:val="21"/>
          <w:lang w:bidi="ar"/>
        </w:rPr>
        <w:t>5</w:t>
      </w: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项[</w:t>
      </w:r>
      <w:r>
        <w:rPr>
          <w:rFonts w:hint="eastAsia" w:ascii="宋体" w:hAnsi="宋体" w:cs="宋体"/>
          <w:szCs w:val="21"/>
          <w:lang w:bidi="ar"/>
        </w:rPr>
        <w:t>未按约定投保的补救</w:t>
      </w:r>
      <w:r>
        <w:rPr>
          <w:rFonts w:hint="eastAsia" w:ascii="宋体" w:hAnsi="宋体" w:cs="宋体"/>
          <w:kern w:val="0"/>
          <w:szCs w:val="21"/>
          <w:lang w:bidi="ar"/>
        </w:rPr>
        <w:t>]执行外，每延迟1天，按</w:t>
      </w:r>
      <w:r>
        <w:rPr>
          <w:rFonts w:hint="eastAsia" w:ascii="宋体" w:hAnsi="宋体" w:cs="宋体"/>
          <w:kern w:val="0"/>
          <w:szCs w:val="21"/>
          <w:u w:val="single"/>
          <w:lang w:bidi="ar"/>
        </w:rPr>
        <w:t>500元/天</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 承包人违约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15.2.1 承包人违约的情形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除通用合同条件约定外，承包人违约的其他情形：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（1）承包人未按合同约定提交履约担保或质量保证金的；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（2）承包人未能按期开始工作的；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（3）承包人未按投标文件或监理人的要求及时配备称职的主要管理人员，或承包人未按经审定的施工组织设计配备或更换关键施工设备的；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（4）承包人有安全问题或有违反安全管理规章制度情况的；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（5）承包人在缺陷责任期及保修期内，未能在合理期限对工程缺陷进行修复，或拒绝按发包人要求进行修复的；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（6）承包人拖欠其工人或所雇人员工资或报酬，导致其工人或所雇人员向有关部门投诉、控告、检举或以聚集等方式讨要工资或报酬的；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（7）承包人不配合发包人、监理人及发包人委托的工程造价咨询服务单位结算审核或承包人其他原因导致未按期完成工程竣工结算的；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（8）承包人未按合同约定移交全部或部分工作的；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（9）承包人未按合同约定购买保险的；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（10）工程总承包项目经理或施工负责人若有以下情形，属于承包人违约：</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1）不按承诺到岗的；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2）每月在施工现场的天数少于约定天数的；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3）承包人未提交工程总承包项目经理或施工负责人的劳动合同和社会保险证明的；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4）未经批准，擅自离开施工现场（超过约定时间）的；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5）未经批准，擅自变更工程总承包项目经理或施工负责人的；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6）按照渝建发〔2015〕35号文的要求，施工期间，因在一个记分周期内累计记分达到12分，被建设行政主管部门依法责令停止执业的；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7）发包人有正当理由认为工程总承包项目经理或施工负责人不称职/不履职，且承包人在约定时间内不予更换的；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8）其他双方约定的情形。</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（11）施工技术负责人若有以下情形，属于承包人违约：</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1）每月在施工现场的天数少于约定天数的；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2）承包人未提交施工技术负责人劳动合同和社会保险证明的；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3）未经批准，擅自离开施工现场（超过约定时间）的；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4）未经批准，擅自变更施工技术负责人的；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5）发包人有正当理由认为施工技术负责人不称职/不履职，且承包人在约定时间内不予更换的；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6）其他双方约定的情形。</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（12）设计负责人及其他主要管理人员若有以下情形，属于承包人违约：</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1）承包人未提交人员劳动合同和社会保险证明的；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2）未经批准，施工管理人员擅自离开施工现场（超过约定时间）的；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3）未经批准，擅自变更主要管理人员的；</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4）发包人有正当理由认为主要管理人员不称职/不履职，且承包人在约定时间内不予更换的；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5）其他双方约定的情形。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15.2.2 通知改正</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监理人通知承包人改正的合理期限是：</w:t>
      </w:r>
      <w:r>
        <w:rPr>
          <w:rFonts w:hint="eastAsia" w:ascii="宋体" w:hAnsi="宋体" w:cs="宋体"/>
          <w:kern w:val="0"/>
          <w:szCs w:val="21"/>
          <w:u w:val="single"/>
          <w:lang w:bidi="ar"/>
        </w:rPr>
        <w:t>发出整改通知后   天</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15.2.3 承包人违约的责任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承包人违约责任的承担方式和计算方法：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（1）承包人未按合同约定提交履约担保或质量保证金的违约责任：承包人应支付违约金，违约金的计算方法：每延误1天，承包人按</w:t>
      </w:r>
      <w:r>
        <w:rPr>
          <w:rFonts w:hint="eastAsia" w:ascii="宋体" w:hAnsi="宋体" w:cs="宋体"/>
          <w:kern w:val="0"/>
          <w:szCs w:val="21"/>
          <w:u w:val="single"/>
          <w:lang w:bidi="ar"/>
        </w:rPr>
        <w:t xml:space="preserve">  （5000～50000）元/天</w:t>
      </w:r>
      <w:r>
        <w:rPr>
          <w:rFonts w:hint="eastAsia" w:ascii="宋体" w:hAnsi="宋体" w:cs="宋体"/>
          <w:kern w:val="0"/>
          <w:szCs w:val="21"/>
          <w:lang w:bidi="ar"/>
        </w:rPr>
        <w:t>计算违约金，累计违约金上限：</w:t>
      </w:r>
      <w:r>
        <w:rPr>
          <w:rFonts w:hint="eastAsia" w:ascii="宋体" w:hAnsi="宋体" w:cs="宋体"/>
          <w:kern w:val="0"/>
          <w:szCs w:val="21"/>
          <w:u w:val="single"/>
          <w:lang w:bidi="ar"/>
        </w:rPr>
        <w:t xml:space="preserve">  万元（不超过签约合同价的3%）</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（2）承包人的原因导致的承包人文件、实施和竣工的工程不符合法律法规、工程质量验收标准以及合同约定的违约责任：限期改正，并按照其不符合法律以及合同约定的相应合同金额的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支付违约金；造成工期延误的，还应承担造成工期延误的违约责任。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（3）承包人违反合同约定进行转包或违法分包的违约责任：按照违反合同约定进行转包和（或）违法分包相应转包和（或）分包合同的合同金额的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支付违约金，违法转/分包商应在7天内撤离出场。</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（4）承包人违反合同约定采购和使用不合格的材料和工程设备的违约责任：按照违反合同约定采购和使用不合格的材料和（或）工程设备相应合同金额的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（5）因承包人原因导致工程质量不符合合同要求的违约责任：承包人退还已支付工程质量不符合合同要求工程的工程款，并按照工程质量不符合合同要求工程相应合同金额的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违反材料与设备的约定，未经批准，擅自将已按合同约定进入施工现场的施工设备、临时设施或材料撤离施工现场的违约责任：按照承包人擅自撤离施工现场施工设备、临时设施或材料相应合同金额的</w:t>
      </w:r>
      <w:r>
        <w:rPr>
          <w:rFonts w:hint="eastAsia" w:ascii="宋体" w:hAnsi="宋体" w:cs="宋体"/>
          <w:kern w:val="0"/>
          <w:szCs w:val="21"/>
          <w:u w:val="single"/>
          <w:lang w:bidi="ar"/>
        </w:rPr>
        <w:t xml:space="preserve">  （1～5）%</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（7）因承包人原因造成工期延误的违约承担方式和计算方法：由承包人承担由此增加的费用，由此导致工期延误的，工期不予顺延；逾期竣工违约金的计算方法：每延误1天，承包人按</w:t>
      </w:r>
      <w:r>
        <w:rPr>
          <w:rFonts w:hint="eastAsia" w:ascii="宋体" w:hAnsi="宋体" w:cs="宋体"/>
          <w:kern w:val="0"/>
          <w:szCs w:val="21"/>
          <w:u w:val="single"/>
          <w:lang w:bidi="ar"/>
        </w:rPr>
        <w:t xml:space="preserve">  （5000～50000）元/天</w:t>
      </w:r>
      <w:r>
        <w:rPr>
          <w:rFonts w:hint="eastAsia" w:ascii="宋体" w:hAnsi="宋体" w:cs="宋体"/>
          <w:kern w:val="0"/>
          <w:szCs w:val="21"/>
          <w:lang w:bidi="ar"/>
        </w:rPr>
        <w:t>计算逾期竣工违约金，累计违约金上限：</w:t>
      </w:r>
      <w:r>
        <w:rPr>
          <w:rFonts w:hint="eastAsia" w:ascii="宋体" w:hAnsi="宋体" w:cs="宋体"/>
          <w:kern w:val="0"/>
          <w:szCs w:val="21"/>
          <w:u w:val="single"/>
          <w:lang w:bidi="ar"/>
        </w:rPr>
        <w:t xml:space="preserve">  </w:t>
      </w:r>
      <w:r>
        <w:rPr>
          <w:rFonts w:hint="eastAsia" w:ascii="宋体" w:hAnsi="宋体" w:cs="宋体"/>
          <w:kern w:val="0"/>
          <w:szCs w:val="21"/>
          <w:lang w:bidi="ar"/>
        </w:rPr>
        <w:t>万元（不超过签约合同价的3%）；承包人支付逾期竣工违约金后，不免除承包人继续完成工程及修补缺陷的义务。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（8）由于承包人原因未能通过竣工试验或竣工后试验的违约责任：限期改正，并按照整改费用的</w:t>
      </w:r>
      <w:r>
        <w:rPr>
          <w:rFonts w:hint="eastAsia" w:ascii="宋体" w:hAnsi="宋体" w:cs="宋体"/>
          <w:kern w:val="0"/>
          <w:szCs w:val="21"/>
          <w:u w:val="single"/>
          <w:lang w:bidi="ar"/>
        </w:rPr>
        <w:t xml:space="preserve">  （1～5）%</w:t>
      </w:r>
      <w:r>
        <w:rPr>
          <w:rFonts w:hint="eastAsia" w:ascii="宋体" w:hAnsi="宋体" w:cs="宋体"/>
          <w:kern w:val="0"/>
          <w:szCs w:val="21"/>
          <w:lang w:bidi="ar"/>
        </w:rPr>
        <w:t>支付违约金；造成工期延误的，还应承担造成工期延误的违约责任。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（9）承包人在缺陷责任期及保修期内，未能在合理期限对工程缺陷进行修复，或拒绝按发包人指示进行修复的违约责任：按照发包人修复缺陷费用的</w:t>
      </w:r>
      <w:r>
        <w:rPr>
          <w:rFonts w:hint="eastAsia" w:ascii="宋体" w:hAnsi="宋体" w:cs="宋体"/>
          <w:kern w:val="0"/>
          <w:szCs w:val="21"/>
          <w:u w:val="single"/>
          <w:lang w:bidi="ar"/>
        </w:rPr>
        <w:t xml:space="preserve">  （0.5～2）%</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（10）承包人明确表示或者以其行为表明不履行合同主要义务的违约责任：按签约合同价的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（11）承包人未能按照合同约定履行其他义务的违约责任：按</w:t>
      </w:r>
      <w:r>
        <w:rPr>
          <w:rFonts w:hint="eastAsia" w:ascii="宋体" w:hAnsi="宋体" w:cs="宋体"/>
          <w:kern w:val="0"/>
          <w:szCs w:val="21"/>
          <w:u w:val="single"/>
          <w:lang w:bidi="ar"/>
        </w:rPr>
        <w:t>（500～5000）元/次</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（12）承包人未能按期开始工作的违约责任：按合同价</w:t>
      </w:r>
      <w:r>
        <w:rPr>
          <w:rFonts w:hint="eastAsia" w:ascii="宋体" w:hAnsi="宋体" w:cs="宋体"/>
          <w:kern w:val="0"/>
          <w:szCs w:val="21"/>
          <w:u w:val="single"/>
          <w:lang w:bidi="ar"/>
        </w:rPr>
        <w:t>0.2‰/天</w:t>
      </w:r>
      <w:r>
        <w:rPr>
          <w:rFonts w:hint="eastAsia" w:ascii="宋体" w:hAnsi="宋体" w:cs="宋体"/>
          <w:kern w:val="0"/>
          <w:szCs w:val="21"/>
          <w:lang w:bidi="ar"/>
        </w:rPr>
        <w:t>支付违约金，本项违约金累计限额为签约合同价的</w:t>
      </w:r>
      <w:r>
        <w:rPr>
          <w:rFonts w:hint="eastAsia" w:ascii="宋体" w:hAnsi="宋体" w:cs="宋体"/>
          <w:kern w:val="0"/>
          <w:szCs w:val="21"/>
          <w:u w:val="single"/>
          <w:lang w:bidi="ar"/>
        </w:rPr>
        <w:t xml:space="preserve"> 1 %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（13）承包人未按经审定的施工组织设计配备或更换关键施工设备的违约责任：按</w:t>
      </w:r>
      <w:r>
        <w:rPr>
          <w:rFonts w:hint="eastAsia" w:ascii="宋体" w:hAnsi="宋体" w:cs="宋体"/>
          <w:kern w:val="0"/>
          <w:szCs w:val="21"/>
          <w:u w:val="single"/>
          <w:lang w:bidi="ar"/>
        </w:rPr>
        <w:t xml:space="preserve">  （5000～50000）元/台·次</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（14）承包人有安全问题或有违反安全管理规章制度情况的违约责任：根据具体情节，按签约合同价的</w:t>
      </w:r>
      <w:r>
        <w:rPr>
          <w:rFonts w:hint="eastAsia" w:ascii="宋体" w:hAnsi="宋体" w:cs="宋体"/>
          <w:kern w:val="0"/>
          <w:szCs w:val="21"/>
          <w:u w:val="single"/>
          <w:lang w:bidi="ar"/>
        </w:rPr>
        <w:t>0.5‰～4‰/次</w:t>
      </w:r>
      <w:r>
        <w:rPr>
          <w:rFonts w:hint="eastAsia" w:ascii="宋体" w:hAnsi="宋体" w:cs="宋体"/>
          <w:kern w:val="0"/>
          <w:szCs w:val="21"/>
          <w:lang w:bidi="ar"/>
        </w:rPr>
        <w:t>支付违约金（累计不超过签约合同价的1%，详见附件9安全管理协议）。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kern w:val="0"/>
          <w:szCs w:val="21"/>
          <w:u w:val="single"/>
          <w:lang w:bidi="ar"/>
        </w:rPr>
        <w:t xml:space="preserve">  （50000～200000）元/次</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（16）承包人不配合发包人、监理人及发包人委托的工程造价咨询服务单位结算审核的违约责任：根据具体情节，按</w:t>
      </w:r>
      <w:r>
        <w:rPr>
          <w:rFonts w:hint="eastAsia" w:ascii="宋体" w:hAnsi="宋体" w:cs="宋体"/>
          <w:kern w:val="0"/>
          <w:szCs w:val="21"/>
          <w:u w:val="single"/>
          <w:lang w:bidi="ar"/>
        </w:rPr>
        <w:t xml:space="preserve">  （10000～100000）元/次</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（17）承包人未按合同约定移交全部和部分工程的违约责任：由承包人承担工程照管、成品保护、保管等与工程有关的各种费用，并按结算金额或违约部分结算金额的</w:t>
      </w:r>
      <w:r>
        <w:rPr>
          <w:rFonts w:hint="eastAsia" w:ascii="宋体" w:hAnsi="宋体" w:cs="宋体"/>
          <w:kern w:val="0"/>
          <w:szCs w:val="21"/>
          <w:u w:val="single"/>
          <w:lang w:bidi="ar"/>
        </w:rPr>
        <w:t>0.5～1‰</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（18）承包人未按合同约定购买保险的违约责任：除按通用合同条件18.</w:t>
      </w:r>
      <w:r>
        <w:rPr>
          <w:rFonts w:ascii="宋体" w:hAnsi="宋体" w:cs="宋体"/>
          <w:kern w:val="0"/>
          <w:szCs w:val="21"/>
          <w:lang w:bidi="ar"/>
        </w:rPr>
        <w:t>5</w:t>
      </w: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项[未按约定投保的补救]执行外，每延迟1天，按</w:t>
      </w:r>
      <w:r>
        <w:rPr>
          <w:rFonts w:hint="eastAsia" w:ascii="宋体" w:hAnsi="宋体" w:cs="宋体"/>
          <w:kern w:val="0"/>
          <w:szCs w:val="21"/>
          <w:u w:val="single"/>
          <w:lang w:bidi="ar"/>
        </w:rPr>
        <w:t>500元/天</w:t>
      </w:r>
      <w:r>
        <w:rPr>
          <w:rFonts w:hint="eastAsia" w:ascii="宋体" w:hAnsi="宋体" w:cs="宋体"/>
          <w:kern w:val="0"/>
          <w:szCs w:val="21"/>
          <w:lang w:bidi="ar"/>
        </w:rPr>
        <w:t>支付违约金。</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（19）发生第15.2.1项（10）目、15.2.1项（11）目、15.2.1项（12）目违约情形的违约责任：除承担由此增加的费用和工期延误的责任，承包人应向发包人支付违约金：</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工程总承包项目经理或施工负责人违约承担方式和计算方法：对于第15.2.1项（10）目的情形，每发现一次，根据具体情节，按1000～30000元/天·次计算违约金；不按承诺到岗的（第4.4.4项约定的情形除外），按履约保证金的（50～100）%支付违约金，并解除合同；擅自更换的，按签约合同价的（0.5～3）%/人·次支付违约金，每次不低于20万，累计不超过200万；被责令停止执业的，按签约合同价的（0.5～3）%/人·次支付违约金，每次不低于20万，累计不超过200万。</w:t>
      </w:r>
    </w:p>
    <w:p>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施工技术负责人违约承担方式和计算方法：对于第15.2.1项（11）目的六种情形，每发现一次，根据具体情节，按1000～30000元/天·次计算违约金；擅自更换施工技术负责人的，按签约合同价的（0.5～2）%/人·次支付违约金，每次不低于10万，累计不超过100万。</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3）设计负责人及其他主要管理人员违约承担方式和计算方法：对于第15.2.1项（12）目的五种情形，每发现一次，根据具体情节，按500～10000元/天·次计算违约金。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承担相应违约责任，并从应付或到期应付给承包人的任何款项中或采用其他方法，扣除该违约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承包人必须及时纠正违约行为并采取积极措施，满足合同要求，自行承担与纠正违约行为有关的人身伤亡、罚款、索赔、损失补偿、诉讼费用及其他一切责任，工期不予顺延，承担由此给发包人造成的经济损失。</w:t>
      </w:r>
    </w:p>
    <w:p>
      <w:pPr>
        <w:widowControl/>
        <w:adjustRightInd w:val="0"/>
        <w:snapToGrid w:val="0"/>
        <w:spacing w:after="163" w:afterLines="50" w:line="360" w:lineRule="auto"/>
        <w:outlineLvl w:val="1"/>
        <w:rPr>
          <w:rFonts w:ascii="宋体" w:hAnsi="宋体" w:cs="Times"/>
          <w:kern w:val="0"/>
        </w:rPr>
      </w:pPr>
      <w:bookmarkStart w:id="3017" w:name="_Toc20171889"/>
      <w:bookmarkEnd w:id="3017"/>
      <w:bookmarkStart w:id="3018" w:name="_Toc56"/>
      <w:bookmarkStart w:id="3019" w:name="_Toc9542"/>
      <w:bookmarkStart w:id="3020" w:name="_Toc24245"/>
      <w:bookmarkStart w:id="3021" w:name="_Toc5265"/>
      <w:r>
        <w:rPr>
          <w:rFonts w:hint="eastAsia" w:ascii="宋体" w:hAnsi="宋体" w:cs="Times"/>
          <w:kern w:val="0"/>
          <w:szCs w:val="21"/>
          <w:lang w:bidi="ar"/>
        </w:rPr>
        <w:t>第16条 合同解除</w:t>
      </w:r>
      <w:bookmarkEnd w:id="3018"/>
      <w:bookmarkEnd w:id="3019"/>
      <w:bookmarkEnd w:id="3020"/>
      <w:bookmarkEnd w:id="3021"/>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16.1由发包人解除合同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16.1.1因承包人违约解除合同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除通用合同条件约定外，可由发包人解除合同的其他事由：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（1）未按合同约定延迟提供履约担保、质量保证金超过14天的；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（2）未按合同约定购买保险且经催告后超过56天的；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（3）因承包人原因导致开始工作时间累计延误超过56天的；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（4）因承包人原因导致工期延误超过90天的；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（5）发生第21.1.1项约定的情形的；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（6）监理人发出整改通知后，承包人在监理人限定的期限内仍不纠正违约行为的；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（7）承包人严重资不抵债且无法履行合同的；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（8）违反适用法律而被相关政府部门依法吊销营业执照、责令关闭的；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（9）承包人未履行合同项下的义务构成对合同的实质性违约，并且在收到发包人要求说明其违约并予以补救的通知后56天内仍未能补救该实质性违约的；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（10）合同约定其他情况的，发包人有权解除合同的。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16.2 由承包人解除合同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16.2.1 因发包人违约解除合同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除通用合同条件约定外，可由承包人解除合同的其他事由：</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（1）因发包人原因延迟支付合同价款超过180天的；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（2）因发包人原因导致工期延误超过90天的；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（3）因发包人违约导致暂停施工满56天，且发包人仍未纠正其违约行为的；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（4）其他未履行合同项下的义务构成对合同的实质性违约，并且在收到承包人要求说明其违约并予以补救的通知后56天内仍未补救该实质性违约的。</w:t>
      </w:r>
    </w:p>
    <w:p>
      <w:pPr>
        <w:widowControl/>
        <w:adjustRightInd w:val="0"/>
        <w:snapToGrid w:val="0"/>
        <w:spacing w:after="163" w:afterLines="50" w:line="360" w:lineRule="auto"/>
        <w:outlineLvl w:val="1"/>
        <w:rPr>
          <w:rFonts w:ascii="宋体" w:hAnsi="宋体" w:cs="Times"/>
          <w:kern w:val="0"/>
        </w:rPr>
      </w:pPr>
      <w:bookmarkStart w:id="3022" w:name="_Toc20171890"/>
      <w:bookmarkEnd w:id="3022"/>
      <w:bookmarkStart w:id="3023" w:name="_Toc16264"/>
      <w:bookmarkStart w:id="3024" w:name="_Toc12322"/>
      <w:bookmarkStart w:id="3025" w:name="_Toc13686"/>
      <w:bookmarkStart w:id="3026" w:name="_Toc29226"/>
      <w:r>
        <w:rPr>
          <w:rFonts w:hint="eastAsia" w:ascii="宋体" w:hAnsi="宋体" w:cs="Times"/>
          <w:kern w:val="0"/>
          <w:szCs w:val="21"/>
          <w:lang w:bidi="ar"/>
        </w:rPr>
        <w:t>第17条 不可抗力</w:t>
      </w:r>
      <w:bookmarkEnd w:id="3023"/>
      <w:bookmarkEnd w:id="3024"/>
      <w:bookmarkEnd w:id="3025"/>
      <w:bookmarkEnd w:id="302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17.1 不可抗力的定义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除通用合同条件约定的不可抗力事件之外，视为不可抗力的其他情形：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（1）洪水、火山爆发、山崩、山体滑坡、泥石流、龙卷风、隧道内不可预测的突发性地质灾害等自然灾害；</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（2）封锁、禁运、恐怖行为等社会行为，但承包人或其分包人派遣与雇佣的人员由于合同工程施工原因引起的除外；</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（3）不能合理预见的重大交通阻滞、停运、交通事故，非双方责任引起的火灾、爆炸、船舶撞击等情形；</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（4）化学或放射性污染或核辐射；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（5）环保治理等政府行为导致项目停工的。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17.6 因不可抗力解除合同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合同解除后，发包人应当在商定或确定发包人应支付款项后的</w:t>
      </w:r>
      <w:r>
        <w:rPr>
          <w:rFonts w:ascii="宋体" w:hAnsi="宋体" w:cs="宋体"/>
          <w:kern w:val="0"/>
          <w:szCs w:val="21"/>
          <w:u w:val="single"/>
          <w:lang w:bidi="ar"/>
        </w:rPr>
        <w:t>28</w:t>
      </w:r>
      <w:r>
        <w:rPr>
          <w:rFonts w:hint="eastAsia" w:ascii="宋体" w:hAnsi="宋体" w:cs="宋体"/>
          <w:kern w:val="0"/>
          <w:szCs w:val="21"/>
          <w:lang w:bidi="ar"/>
        </w:rPr>
        <w:t>天内完成款项的支付。</w:t>
      </w:r>
    </w:p>
    <w:p>
      <w:pPr>
        <w:widowControl/>
        <w:adjustRightInd w:val="0"/>
        <w:snapToGrid w:val="0"/>
        <w:spacing w:after="163" w:afterLines="50" w:line="360" w:lineRule="auto"/>
        <w:outlineLvl w:val="1"/>
        <w:rPr>
          <w:rFonts w:ascii="宋体" w:hAnsi="宋体" w:cs="Times"/>
          <w:kern w:val="0"/>
        </w:rPr>
      </w:pPr>
      <w:bookmarkStart w:id="3027" w:name="_Toc4784277"/>
      <w:bookmarkEnd w:id="3027"/>
      <w:bookmarkStart w:id="3028" w:name="_Toc20171891"/>
      <w:bookmarkEnd w:id="3028"/>
      <w:bookmarkStart w:id="3029" w:name="_Toc4784276"/>
      <w:bookmarkEnd w:id="3029"/>
      <w:bookmarkStart w:id="3030" w:name="_Toc3315"/>
      <w:bookmarkStart w:id="3031" w:name="_Toc4539"/>
      <w:bookmarkStart w:id="3032" w:name="_Toc13854"/>
      <w:bookmarkStart w:id="3033" w:name="_Toc8888"/>
      <w:r>
        <w:rPr>
          <w:rFonts w:hint="eastAsia" w:ascii="宋体" w:hAnsi="宋体" w:cs="Times"/>
          <w:kern w:val="0"/>
          <w:szCs w:val="21"/>
          <w:lang w:bidi="ar"/>
        </w:rPr>
        <w:t>第18条 保险</w:t>
      </w:r>
      <w:bookmarkEnd w:id="3030"/>
      <w:bookmarkEnd w:id="3031"/>
      <w:bookmarkEnd w:id="3032"/>
      <w:bookmarkEnd w:id="3033"/>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18.1 设计和工程保险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8.1.1 </w:t>
      </w:r>
      <w:r>
        <w:rPr>
          <w:rFonts w:hint="eastAsia" w:ascii="宋体" w:hAnsi="宋体" w:cs="宋体"/>
          <w:kern w:val="0"/>
          <w:szCs w:val="21"/>
          <w:lang w:bidi="ar"/>
        </w:rPr>
        <w:t>双方当事人关于设计和工程保险的特别约定：承包人应投保建设工程设计责任险，</w:t>
      </w:r>
      <w:r>
        <w:rPr>
          <w:rFonts w:hint="eastAsia" w:ascii="宋体" w:hAnsi="宋体" w:cs="宋体"/>
          <w:kern w:val="0"/>
          <w:szCs w:val="21"/>
          <w:u w:val="single"/>
          <w:lang w:bidi="ar"/>
        </w:rPr>
        <w:t>发包人应投保建筑工程一切险或安装工程一切险；发包人委托承包人投保的，因投保产生的保险费和其他相关费用由发包人承担</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8.1.2 </w:t>
      </w:r>
      <w:r>
        <w:rPr>
          <w:rFonts w:hint="eastAsia" w:ascii="宋体" w:hAnsi="宋体" w:cs="宋体"/>
          <w:kern w:val="0"/>
          <w:szCs w:val="21"/>
          <w:lang w:bidi="ar"/>
        </w:rPr>
        <w:t>双方当事人关于第三方责任险的特别约定：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18.2 工伤和意外伤害保险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8.2.3 </w:t>
      </w:r>
      <w:r>
        <w:rPr>
          <w:rFonts w:hint="eastAsia" w:ascii="宋体" w:hAnsi="宋体" w:cs="宋体"/>
          <w:kern w:val="0"/>
          <w:szCs w:val="21"/>
          <w:lang w:bidi="ar"/>
        </w:rPr>
        <w:t>关于工伤保险和意外伤害保险的特别约定：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18.3 货物保险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关于承包人应为其施工设备、材料、工程设备和临时工程等办理财产保险的特别约定：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18.4 其他保险</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关于其他保险的约定：</w:t>
      </w:r>
      <w:r>
        <w:rPr>
          <w:rFonts w:hint="eastAsia" w:ascii="宋体" w:hAnsi="宋体" w:cs="宋体"/>
          <w:kern w:val="0"/>
          <w:szCs w:val="21"/>
          <w:u w:val="single"/>
          <w:lang w:bidi="ar"/>
        </w:rPr>
        <w:t>承包人应按《重庆市人民政府办公厅关于在高危行业领域强制推行安全生产责任保险的实施意见》（渝府办法〔2017〕182号）的要求办理安全生产责任保险</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18.5对各项保险的一般要求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18.5.2 保险凭证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开始工作前，承包人向发包人提交其已投保的各项保险的凭证和保险单复印件。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保险单的条件：</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18.5.4通知义务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关于变更保险合同时的通知义务的约定：</w:t>
      </w:r>
      <w:r>
        <w:rPr>
          <w:rFonts w:hint="eastAsia" w:ascii="宋体" w:hAnsi="宋体" w:cs="宋体"/>
          <w:kern w:val="0"/>
          <w:szCs w:val="21"/>
          <w:u w:val="single"/>
          <w:lang w:bidi="ar"/>
        </w:rPr>
        <w:t>按通用合同条件执行</w:t>
      </w:r>
      <w:r>
        <w:rPr>
          <w:rFonts w:hint="eastAsia" w:ascii="宋体" w:hAnsi="宋体" w:cs="宋体"/>
          <w:kern w:val="0"/>
          <w:szCs w:val="21"/>
          <w:lang w:bidi="ar"/>
        </w:rPr>
        <w:t>。</w:t>
      </w:r>
    </w:p>
    <w:p>
      <w:pPr>
        <w:widowControl/>
        <w:adjustRightInd w:val="0"/>
        <w:snapToGrid w:val="0"/>
        <w:spacing w:after="163" w:afterLines="50" w:line="360" w:lineRule="auto"/>
        <w:outlineLvl w:val="1"/>
        <w:rPr>
          <w:rFonts w:ascii="宋体" w:hAnsi="宋体" w:cs="Times"/>
          <w:kern w:val="0"/>
        </w:rPr>
      </w:pPr>
      <w:bookmarkStart w:id="3034" w:name="_Toc7569"/>
      <w:bookmarkStart w:id="3035" w:name="_Toc29918"/>
      <w:bookmarkStart w:id="3036" w:name="_Toc29407"/>
      <w:bookmarkStart w:id="3037" w:name="_Toc20193"/>
      <w:r>
        <w:rPr>
          <w:rFonts w:hint="eastAsia" w:ascii="宋体" w:hAnsi="宋体" w:cs="Times"/>
          <w:kern w:val="0"/>
          <w:szCs w:val="21"/>
          <w:lang w:bidi="ar"/>
        </w:rPr>
        <w:t>第19条 索赔</w:t>
      </w:r>
      <w:bookmarkEnd w:id="3034"/>
      <w:bookmarkEnd w:id="3035"/>
      <w:bookmarkEnd w:id="3036"/>
      <w:bookmarkEnd w:id="3037"/>
    </w:p>
    <w:p>
      <w:pPr>
        <w:widowControl/>
        <w:adjustRightInd w:val="0"/>
        <w:snapToGrid w:val="0"/>
        <w:spacing w:after="163" w:afterLines="50" w:line="360" w:lineRule="auto"/>
        <w:ind w:firstLine="420" w:firstLineChars="200"/>
        <w:rPr>
          <w:rFonts w:ascii="宋体" w:hAnsi="宋体" w:cs="宋体"/>
          <w:kern w:val="0"/>
        </w:rPr>
      </w:pPr>
      <w:bookmarkStart w:id="3038" w:name="_Toc532375676"/>
      <w:bookmarkEnd w:id="3038"/>
      <w:bookmarkStart w:id="3039" w:name="_Toc532375675"/>
      <w:bookmarkEnd w:id="3039"/>
      <w:bookmarkStart w:id="3040" w:name="_Toc532377415"/>
      <w:r>
        <w:rPr>
          <w:rFonts w:hint="eastAsia" w:ascii="宋体" w:hAnsi="宋体" w:cs="宋体"/>
          <w:kern w:val="0"/>
          <w:szCs w:val="21"/>
          <w:lang w:bidi="ar"/>
        </w:rPr>
        <w:t>19.2</w:t>
      </w:r>
      <w:bookmarkEnd w:id="3040"/>
      <w:r>
        <w:rPr>
          <w:rFonts w:hint="eastAsia" w:ascii="宋体" w:hAnsi="宋体" w:cs="宋体"/>
          <w:kern w:val="0"/>
          <w:szCs w:val="21"/>
          <w:lang w:bidi="ar"/>
        </w:rPr>
        <w:t xml:space="preserve"> 承包人索赔的处理程序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（1）监理人应在收到索赔报告后14天内完成审查并报送发包人。监理人对索赔报告存在异议的，有权要求承包人提交全部原始记录副本；</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（3）承包人接受索赔处理结果的，索赔款项在当期进度款中进行支付；承包人不接受索赔处理结果的，按照第20条[争议解决]约定处理；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（4）工期延误的关键线路按照经监理人、发包人审批同意的施工组织设计计算。</w:t>
      </w:r>
    </w:p>
    <w:p>
      <w:pPr>
        <w:widowControl/>
        <w:adjustRightInd w:val="0"/>
        <w:snapToGrid w:val="0"/>
        <w:spacing w:after="163" w:afterLines="50" w:line="360" w:lineRule="auto"/>
        <w:ind w:firstLine="420" w:firstLineChars="200"/>
        <w:rPr>
          <w:rFonts w:ascii="宋体" w:hAnsi="宋体" w:cs="宋体"/>
          <w:kern w:val="0"/>
        </w:rPr>
      </w:pPr>
      <w:bookmarkStart w:id="3041" w:name="_Toc532377417"/>
      <w:bookmarkEnd w:id="3041"/>
      <w:bookmarkStart w:id="3042" w:name="_Toc532377416"/>
      <w:bookmarkEnd w:id="3042"/>
      <w:bookmarkStart w:id="3043" w:name="_Toc532375678"/>
      <w:r>
        <w:rPr>
          <w:rFonts w:hint="eastAsia" w:ascii="宋体" w:hAnsi="宋体" w:cs="宋体"/>
          <w:kern w:val="0"/>
          <w:szCs w:val="21"/>
          <w:lang w:bidi="ar"/>
        </w:rPr>
        <w:t>19.</w:t>
      </w:r>
      <w:bookmarkEnd w:id="3043"/>
      <w:r>
        <w:rPr>
          <w:rFonts w:ascii="宋体" w:hAnsi="宋体" w:cs="宋体"/>
          <w:kern w:val="0"/>
          <w:szCs w:val="21"/>
          <w:lang w:bidi="ar"/>
        </w:rPr>
        <w:t xml:space="preserve">3 </w:t>
      </w:r>
      <w:r>
        <w:rPr>
          <w:rFonts w:hint="eastAsia" w:ascii="宋体" w:hAnsi="宋体" w:cs="宋体"/>
          <w:kern w:val="0"/>
          <w:szCs w:val="21"/>
          <w:lang w:bidi="ar"/>
        </w:rPr>
        <w:t>发包人索赔的处理程序</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（1）承包人收到发包人提交的索赔报告后，应及时审查索赔报告的内容、查验发包人证明材料；</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（3）承包人接受索赔处理结果的，发包人可从应支付给承包人的合同价款中扣除赔付的金额或延长缺陷责任期；发包人不接受索赔处理结果的，按第20条[争议解决]约定处理。</w:t>
      </w:r>
    </w:p>
    <w:p>
      <w:pPr>
        <w:widowControl/>
        <w:adjustRightInd w:val="0"/>
        <w:snapToGrid w:val="0"/>
        <w:spacing w:after="163" w:afterLines="50" w:line="360" w:lineRule="auto"/>
        <w:ind w:firstLine="420" w:firstLineChars="200"/>
        <w:rPr>
          <w:rFonts w:ascii="宋体" w:hAnsi="宋体" w:cs="宋体"/>
          <w:kern w:val="0"/>
        </w:rPr>
      </w:pPr>
      <w:bookmarkStart w:id="3044" w:name="_Toc532375679"/>
      <w:bookmarkEnd w:id="3044"/>
      <w:bookmarkStart w:id="3045" w:name="_Toc532377418"/>
      <w:r>
        <w:rPr>
          <w:rFonts w:hint="eastAsia" w:ascii="宋体" w:hAnsi="宋体" w:cs="宋体"/>
          <w:kern w:val="0"/>
          <w:szCs w:val="21"/>
          <w:lang w:bidi="ar"/>
        </w:rPr>
        <w:t>19.</w:t>
      </w:r>
      <w:r>
        <w:rPr>
          <w:rFonts w:ascii="宋体" w:hAnsi="宋体" w:cs="宋体"/>
          <w:kern w:val="0"/>
          <w:szCs w:val="21"/>
          <w:lang w:bidi="ar"/>
        </w:rPr>
        <w:t>4</w:t>
      </w:r>
      <w:r>
        <w:rPr>
          <w:rFonts w:hint="eastAsia" w:ascii="宋体" w:hAnsi="宋体" w:cs="宋体"/>
          <w:kern w:val="0"/>
          <w:szCs w:val="21"/>
          <w:lang w:bidi="ar"/>
        </w:rPr>
        <w:t xml:space="preserve"> 提出索赔的期限</w:t>
      </w:r>
      <w:bookmarkEnd w:id="3045"/>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任一索赔事件发生后28天内，承包人/发包人未向对方发出索赔意向通知书的，视为其已放弃索赔权，无权再就该索赔事项提出任何索赔。</w:t>
      </w:r>
    </w:p>
    <w:p>
      <w:pPr>
        <w:widowControl/>
        <w:adjustRightInd w:val="0"/>
        <w:snapToGrid w:val="0"/>
        <w:spacing w:after="163" w:afterLines="50" w:line="360" w:lineRule="auto"/>
        <w:outlineLvl w:val="1"/>
        <w:rPr>
          <w:rFonts w:ascii="宋体" w:hAnsi="宋体" w:cs="Times"/>
          <w:kern w:val="0"/>
        </w:rPr>
      </w:pPr>
      <w:bookmarkStart w:id="3046" w:name="_Toc20171892"/>
      <w:bookmarkEnd w:id="3046"/>
      <w:bookmarkStart w:id="3047" w:name="_Toc27440"/>
      <w:bookmarkStart w:id="3048" w:name="_Toc18511"/>
      <w:bookmarkStart w:id="3049" w:name="_Toc30710"/>
      <w:bookmarkStart w:id="3050" w:name="_Toc26730"/>
      <w:r>
        <w:rPr>
          <w:rFonts w:hint="eastAsia" w:ascii="宋体" w:hAnsi="宋体" w:cs="Times"/>
          <w:kern w:val="0"/>
          <w:szCs w:val="21"/>
          <w:lang w:bidi="ar"/>
        </w:rPr>
        <w:t>第20条 争议解决</w:t>
      </w:r>
      <w:bookmarkEnd w:id="3047"/>
      <w:bookmarkEnd w:id="3048"/>
      <w:bookmarkEnd w:id="3049"/>
      <w:bookmarkEnd w:id="3050"/>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20.3 争议评审</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合同当事人是否同意将工程争议提交争议评审小组决定：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20.4 仲裁或诉讼</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因合同及合同有关事项发生的争议，按下列第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种方式解决：</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（1）向</w:t>
      </w:r>
      <w:r>
        <w:rPr>
          <w:rFonts w:hint="eastAsia" w:ascii="宋体" w:hAnsi="宋体" w:cs="宋体"/>
          <w:kern w:val="0"/>
          <w:szCs w:val="21"/>
          <w:u w:val="single"/>
          <w:lang w:bidi="ar"/>
        </w:rPr>
        <w:t xml:space="preserve">                         </w:t>
      </w:r>
      <w:r>
        <w:rPr>
          <w:rFonts w:hint="eastAsia" w:ascii="宋体" w:hAnsi="宋体" w:cs="宋体"/>
          <w:kern w:val="0"/>
          <w:szCs w:val="21"/>
          <w:lang w:bidi="ar"/>
        </w:rPr>
        <w:t>仲裁委员会申请仲裁；</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w:t>
      </w:r>
      <w:r>
        <w:rPr>
          <w:rFonts w:hint="eastAsia" w:ascii="宋体" w:hAnsi="宋体" w:cs="宋体"/>
          <w:kern w:val="0"/>
          <w:szCs w:val="21"/>
          <w:u w:val="single"/>
          <w:lang w:bidi="ar"/>
        </w:rPr>
        <w:t xml:space="preserve">                         </w:t>
      </w:r>
      <w:r>
        <w:rPr>
          <w:rFonts w:hint="eastAsia" w:ascii="宋体" w:hAnsi="宋体" w:cs="宋体"/>
          <w:kern w:val="0"/>
          <w:szCs w:val="21"/>
          <w:lang w:bidi="ar"/>
        </w:rPr>
        <w:t>人民法院起诉。</w:t>
      </w:r>
    </w:p>
    <w:p>
      <w:pPr>
        <w:widowControl/>
        <w:adjustRightInd w:val="0"/>
        <w:snapToGrid w:val="0"/>
        <w:spacing w:after="163" w:afterLines="50" w:line="360" w:lineRule="auto"/>
        <w:outlineLvl w:val="1"/>
        <w:rPr>
          <w:rFonts w:ascii="宋体" w:hAnsi="宋体" w:cs="Times"/>
          <w:kern w:val="0"/>
        </w:rPr>
      </w:pPr>
      <w:bookmarkStart w:id="3051" w:name="_Toc10183"/>
      <w:bookmarkStart w:id="3052" w:name="_Toc26221"/>
      <w:bookmarkStart w:id="3053" w:name="_Toc26970"/>
      <w:bookmarkStart w:id="3054" w:name="_Toc31473"/>
      <w:r>
        <w:rPr>
          <w:rFonts w:hint="eastAsia" w:ascii="宋体" w:hAnsi="宋体" w:cs="Times"/>
          <w:kern w:val="0"/>
          <w:szCs w:val="21"/>
          <w:lang w:bidi="ar"/>
        </w:rPr>
        <w:t>第21条 补充条款</w:t>
      </w:r>
      <w:bookmarkEnd w:id="3051"/>
      <w:bookmarkEnd w:id="3052"/>
      <w:bookmarkEnd w:id="3053"/>
      <w:bookmarkEnd w:id="3054"/>
    </w:p>
    <w:p>
      <w:pPr>
        <w:widowControl/>
        <w:adjustRightInd w:val="0"/>
        <w:snapToGrid w:val="0"/>
        <w:spacing w:after="163" w:afterLines="50" w:line="360" w:lineRule="auto"/>
        <w:ind w:firstLine="420" w:firstLineChars="200"/>
        <w:rPr>
          <w:rFonts w:ascii="宋体" w:hAnsi="宋体" w:cs="宋体"/>
          <w:kern w:val="0"/>
        </w:rPr>
      </w:pPr>
      <w:bookmarkStart w:id="3055" w:name="_Toc532377423"/>
      <w:bookmarkEnd w:id="3055"/>
      <w:bookmarkStart w:id="3056" w:name="_Toc532375684"/>
      <w:r>
        <w:rPr>
          <w:rFonts w:hint="eastAsia" w:ascii="宋体" w:hAnsi="宋体" w:cs="宋体"/>
          <w:kern w:val="0"/>
          <w:szCs w:val="21"/>
          <w:lang w:bidi="ar"/>
        </w:rPr>
        <w:t>21.1 退出机制</w:t>
      </w:r>
      <w:bookmarkEnd w:id="3056"/>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21.1.1有下列情形之一的，发包人有权解除合同，亦有权兑付履约担保，并对承包人做清退出场处理：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（1）因承包人原因造成较大及以上等级生产安全事故或工程质量事故的；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（2）因承包人债权债务纠纷或其他纠纷导致工程无法正常施工的。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21.1.2有下列情形之一的，承包人有权解除合同，并按通用合同条件第16.2.3项[</w:t>
      </w:r>
      <w:r>
        <w:rPr>
          <w:rFonts w:hint="eastAsia" w:ascii="宋体" w:hAnsi="宋体" w:cs="宋体"/>
          <w:szCs w:val="21"/>
          <w:lang w:bidi="ar"/>
        </w:rPr>
        <w:t>因发包人违约解除合同后的付款</w:t>
      </w:r>
      <w:r>
        <w:rPr>
          <w:rFonts w:hint="eastAsia" w:ascii="宋体" w:hAnsi="宋体" w:cs="宋体"/>
          <w:kern w:val="0"/>
          <w:szCs w:val="21"/>
          <w:lang w:bidi="ar"/>
        </w:rPr>
        <w:t>]约定执行：</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（1）因发包人征地、拆迁、补偿、审批手续等原因致使本工程延期开工超过90天的。</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bookmarkStart w:id="3057" w:name="_Toc532375685"/>
      <w:bookmarkEnd w:id="3057"/>
      <w:bookmarkStart w:id="3058" w:name="_Toc532377424"/>
      <w:r>
        <w:rPr>
          <w:rFonts w:hint="eastAsia" w:ascii="宋体" w:hAnsi="宋体" w:cs="宋体"/>
          <w:kern w:val="0"/>
          <w:szCs w:val="21"/>
          <w:lang w:bidi="ar"/>
        </w:rPr>
        <w:t>21.2</w:t>
      </w:r>
      <w:bookmarkEnd w:id="3058"/>
      <w:r>
        <w:rPr>
          <w:rFonts w:hint="eastAsia" w:ascii="宋体" w:hAnsi="宋体" w:cs="宋体"/>
          <w:kern w:val="0"/>
          <w:szCs w:val="21"/>
          <w:lang w:bidi="ar"/>
        </w:rPr>
        <w:t xml:space="preserve"> 智慧工地</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工地建设可参照重庆市城乡建设委员会《关于印发“智慧工地”建设工作方案的通知》（渝建〔2017〕414号）的相关要求建设。</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21.</w:t>
      </w:r>
      <w:r>
        <w:rPr>
          <w:rFonts w:hint="eastAsia" w:ascii="宋体" w:hAnsi="宋体" w:cs="宋体"/>
          <w:kern w:val="0"/>
          <w:szCs w:val="21"/>
          <w:lang w:val="en-US" w:eastAsia="zh-CN" w:bidi="ar"/>
        </w:rPr>
        <w:t>3</w:t>
      </w:r>
      <w:r>
        <w:rPr>
          <w:rFonts w:hint="eastAsia" w:ascii="宋体" w:hAnsi="宋体" w:cs="宋体"/>
          <w:kern w:val="0"/>
          <w:szCs w:val="21"/>
          <w:lang w:bidi="ar"/>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spacing w:line="360" w:lineRule="auto"/>
        <w:rPr>
          <w:rFonts w:ascii="宋体" w:hAnsi="宋体"/>
          <w:b/>
          <w:kern w:val="44"/>
          <w:szCs w:val="21"/>
          <w:lang w:bidi="ar"/>
        </w:rPr>
        <w:sectPr>
          <w:pgSz w:w="11906" w:h="16838"/>
          <w:pgMar w:top="1304" w:right="1135" w:bottom="1304" w:left="1304" w:header="720" w:footer="720" w:gutter="0"/>
          <w:cols w:space="720" w:num="1"/>
          <w:docGrid w:type="lines" w:linePitch="326" w:charSpace="0"/>
        </w:sectPr>
      </w:pPr>
    </w:p>
    <w:p>
      <w:pPr>
        <w:widowControl/>
        <w:adjustRightInd w:val="0"/>
        <w:snapToGrid w:val="0"/>
        <w:spacing w:after="50" w:line="360" w:lineRule="auto"/>
        <w:jc w:val="center"/>
        <w:outlineLvl w:val="0"/>
        <w:rPr>
          <w:rFonts w:ascii="宋体" w:hAnsi="宋体" w:cs="宋体"/>
          <w:b/>
          <w:kern w:val="44"/>
        </w:rPr>
      </w:pPr>
      <w:bookmarkStart w:id="3059" w:name="_Toc20171893"/>
      <w:bookmarkEnd w:id="3059"/>
      <w:bookmarkStart w:id="3060" w:name="_Toc18321"/>
      <w:bookmarkStart w:id="3061" w:name="_Toc15956"/>
      <w:bookmarkStart w:id="3062" w:name="_Toc29463"/>
      <w:r>
        <w:rPr>
          <w:rFonts w:hint="eastAsia" w:ascii="宋体" w:hAnsi="宋体" w:cs="宋体"/>
          <w:b/>
          <w:kern w:val="44"/>
          <w:szCs w:val="21"/>
          <w:lang w:bidi="ar"/>
        </w:rPr>
        <w:t>专用合同条件附件</w:t>
      </w:r>
      <w:bookmarkEnd w:id="3060"/>
      <w:bookmarkEnd w:id="3061"/>
      <w:bookmarkEnd w:id="3062"/>
    </w:p>
    <w:p>
      <w:pPr>
        <w:widowControl/>
        <w:adjustRightInd w:val="0"/>
        <w:snapToGrid w:val="0"/>
        <w:spacing w:after="163" w:afterLines="50" w:line="360" w:lineRule="auto"/>
        <w:ind w:firstLine="420" w:firstLineChars="200"/>
        <w:rPr>
          <w:rFonts w:ascii="宋体" w:hAnsi="宋体" w:cs="宋体"/>
          <w:kern w:val="0"/>
          <w:szCs w:val="21"/>
          <w:lang w:bidi="ar"/>
        </w:rPr>
      </w:pP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以下附件是专用合同条件的有效组成部分：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附件1：发包人要求</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附件2：发包人供应材料设备一览表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附件3：工程质量保修书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附件4：主要建设工程文件目录</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附件5：承包人主要管理人员表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6</w:t>
      </w:r>
      <w:r>
        <w:rPr>
          <w:rFonts w:hint="eastAsia" w:ascii="宋体" w:hAnsi="宋体" w:cs="宋体"/>
          <w:kern w:val="0"/>
          <w:szCs w:val="21"/>
          <w:lang w:bidi="ar"/>
        </w:rPr>
        <w:t>：价格指数权重表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7</w:t>
      </w:r>
      <w:r>
        <w:rPr>
          <w:rFonts w:hint="eastAsia" w:ascii="宋体" w:hAnsi="宋体" w:cs="宋体"/>
          <w:kern w:val="0"/>
          <w:szCs w:val="21"/>
          <w:lang w:bidi="ar"/>
        </w:rPr>
        <w:t>：专业工程暂估价表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8</w:t>
      </w:r>
      <w:r>
        <w:rPr>
          <w:rFonts w:hint="eastAsia" w:ascii="宋体" w:hAnsi="宋体" w:cs="宋体"/>
          <w:kern w:val="0"/>
          <w:szCs w:val="21"/>
          <w:lang w:bidi="ar"/>
        </w:rPr>
        <w:t>：廉洁从业协议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9</w:t>
      </w:r>
      <w:r>
        <w:rPr>
          <w:rFonts w:hint="eastAsia" w:ascii="宋体" w:hAnsi="宋体" w:cs="宋体"/>
          <w:kern w:val="0"/>
          <w:szCs w:val="21"/>
          <w:lang w:bidi="ar"/>
        </w:rPr>
        <w:t>：安全管理协议</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附件1</w:t>
      </w:r>
      <w:r>
        <w:rPr>
          <w:rFonts w:ascii="宋体" w:hAnsi="宋体" w:cs="宋体"/>
          <w:kern w:val="0"/>
          <w:szCs w:val="21"/>
          <w:lang w:bidi="ar"/>
        </w:rPr>
        <w:t>0</w:t>
      </w:r>
      <w:r>
        <w:rPr>
          <w:rFonts w:hint="eastAsia" w:ascii="宋体" w:hAnsi="宋体" w:cs="宋体"/>
          <w:kern w:val="0"/>
          <w:szCs w:val="21"/>
          <w:lang w:bidi="ar"/>
        </w:rPr>
        <w:t>：保障建筑工人工资支付协议</w:t>
      </w:r>
    </w:p>
    <w:p>
      <w:pPr>
        <w:widowControl/>
        <w:adjustRightInd w:val="0"/>
        <w:snapToGrid w:val="0"/>
        <w:spacing w:after="163" w:afterLines="50" w:line="360" w:lineRule="auto"/>
        <w:ind w:firstLine="420" w:firstLineChars="200"/>
        <w:rPr>
          <w:rFonts w:hint="default" w:ascii="宋体" w:hAnsi="宋体" w:eastAsia="宋体" w:cs="宋体"/>
          <w:kern w:val="0"/>
          <w:szCs w:val="21"/>
          <w:lang w:val="en-US" w:eastAsia="zh-CN" w:bidi="ar"/>
        </w:rPr>
      </w:pPr>
      <w:r>
        <w:rPr>
          <w:rFonts w:hint="eastAsia" w:ascii="宋体" w:hAnsi="宋体" w:cs="宋体"/>
          <w:kern w:val="0"/>
          <w:szCs w:val="21"/>
          <w:lang w:bidi="ar"/>
        </w:rPr>
        <w:t>附件11：</w:t>
      </w:r>
      <w:r>
        <w:rPr>
          <w:rFonts w:hint="eastAsia" w:ascii="宋体" w:hAnsi="宋体" w:cs="宋体"/>
          <w:kern w:val="0"/>
          <w:szCs w:val="21"/>
          <w:lang w:val="en-US" w:eastAsia="zh-CN" w:bidi="ar"/>
        </w:rPr>
        <w:t>履约担保（如有）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hint="eastAsia" w:ascii="宋体" w:hAnsi="宋体" w:cs="宋体"/>
          <w:kern w:val="0"/>
          <w:szCs w:val="21"/>
          <w:lang w:val="en-US" w:eastAsia="zh-CN" w:bidi="ar"/>
        </w:rPr>
        <w:t>12</w:t>
      </w:r>
      <w:r>
        <w:rPr>
          <w:rFonts w:hint="eastAsia" w:ascii="宋体" w:hAnsi="宋体" w:cs="宋体"/>
          <w:kern w:val="0"/>
          <w:szCs w:val="21"/>
          <w:lang w:bidi="ar"/>
        </w:rPr>
        <w:t>：质量保证金保函（如有）</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szCs w:val="21"/>
          <w:lang w:bidi="ar"/>
        </w:rPr>
        <w:br w:type="page"/>
      </w:r>
    </w:p>
    <w:p>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3063" w:name="_Hlk38571789"/>
      <w:bookmarkEnd w:id="3063"/>
      <w:bookmarkStart w:id="3064" w:name="_Toc2353"/>
      <w:bookmarkStart w:id="3065" w:name="_Toc8979"/>
      <w:bookmarkStart w:id="3066" w:name="_Toc14474"/>
      <w:bookmarkStart w:id="3067" w:name="_Toc1415"/>
      <w:r>
        <w:rPr>
          <w:rFonts w:hint="eastAsia" w:ascii="宋体" w:hAnsi="宋体" w:cs="宋体"/>
          <w:b/>
          <w:kern w:val="0"/>
          <w:szCs w:val="21"/>
          <w:lang w:bidi="ar"/>
        </w:rPr>
        <w:t>附件1  《发包人要求》</w:t>
      </w:r>
      <w:bookmarkEnd w:id="3064"/>
      <w:bookmarkEnd w:id="3065"/>
      <w:bookmarkEnd w:id="3066"/>
      <w:bookmarkEnd w:id="3067"/>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《发包人要求》通常包括但不限于以下内容：</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一、功能要求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（一）工程目的。</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（二）工程规模。</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（三）性能保证指标（性能保证表）。</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（四）产能保证指标。</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二、工程范围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（一）概述</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（二）包括的工作</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永久工程的设计、采购、施工范围。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临时工程的设计与施工范围。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 竣工验收工作范围。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 技术服务工作范围。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 培训工作范围。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 保修工作范围。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（三）工作界区</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（四）发包人提供的现场条件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施工用电。</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施工用水。</w:t>
      </w:r>
    </w:p>
    <w:p>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 施工排水。</w:t>
      </w:r>
    </w:p>
    <w:p>
      <w:pPr>
        <w:widowControl/>
        <w:wordWrap w:val="0"/>
        <w:topLinePunct/>
        <w:adjustRightInd w:val="0"/>
        <w:snapToGrid w:val="0"/>
        <w:spacing w:after="163" w:afterLines="50" w:line="360" w:lineRule="auto"/>
        <w:ind w:firstLine="420" w:firstLineChars="200"/>
        <w:rPr>
          <w:lang w:bidi="ar"/>
        </w:rPr>
      </w:pPr>
      <w:r>
        <w:rPr>
          <w:lang w:bidi="ar"/>
        </w:rPr>
        <w:t>4</w:t>
      </w:r>
      <w:r>
        <w:rPr>
          <w:rFonts w:hint="eastAsia" w:ascii="宋体" w:hAnsi="宋体" w:cs="宋体"/>
          <w:kern w:val="0"/>
          <w:szCs w:val="21"/>
          <w:lang w:bidi="ar"/>
        </w:rPr>
        <w:t>.</w:t>
      </w:r>
      <w:r>
        <w:rPr>
          <w:rFonts w:hint="eastAsia"/>
          <w:lang w:bidi="ar"/>
        </w:rPr>
        <w:t xml:space="preserve"> 施工道路。</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（五）发包人提供的技术文件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除另有批准外，承包人的工作需要遵照发包人的下列技术文件: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发包人需求任务书。</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发包人已完成的设计文件。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三、工艺安排或要求（如有）</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四、时间要求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（一）开始工作时间。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（二）设计完成时间。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（三）进度计划。</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（四）竣工时间。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（五）缺陷责任期。</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（六）其他时间要求。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五、技术要求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（一）设计阶段和设计任务。</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（二）设计标准和规范。</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（三）技术标准和要求。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（四）质量标准。</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（五）设计、施工和设备监造、试验（如有）。</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（六）样品。</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（七）发包人提供的其他条件，如发包人或其委托的第三人提供的设计、工艺包、用于试验检验的工器具等，以及据此对承包人提出的予以配套的要求。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六、竣工试验</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（一）第一阶段，如对单车试验等的要求，包括试验前准备。</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（二）第二阶段，如对联动试车、投料试车等的要求，包括人员、设备、材料、燃料、电力、消耗品、工具等必要条件。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（三）第三阶段，如对性能测试及其他竣工试验的要求，包括产能指标、产品质量标准、运营指标、环保指标等。</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七、竣工验收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八、竣工后试验（如有）</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九、文件要求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（一）设计文件，及其相关审批、核准、备案要求。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（二）沟通计划。</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（三）风险管理计划。</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（四）竣工文件和工程的其他记录。</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（五）操作和维修手册。</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（六）其他承包人文件。</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十、工程项目管理规定</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（一）质量。</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（二）进度，包括里程碑进度计划（如果有）。</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（三）支付。</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（四）HSE（健康、安全与环境管理体系）。</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（五）沟通。</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（六）变更。</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十一、其他要求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（一）对承包人的主要人员资格要求。</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（二）相关审批、核准和备案手续的办理。</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（三）对项目业主人员的操作培训。</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（四）分包。</w:t>
      </w:r>
    </w:p>
    <w:p>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（五）设备供应商。</w:t>
      </w:r>
    </w:p>
    <w:p>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（六）缺陷责任期的服务要求。</w:t>
      </w:r>
    </w:p>
    <w:p>
      <w:pPr>
        <w:pStyle w:val="2"/>
        <w:rPr>
          <w:lang w:bidi="ar"/>
        </w:rPr>
      </w:pPr>
    </w:p>
    <w:p>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3068" w:name="_Toc5451"/>
      <w:bookmarkStart w:id="3069" w:name="_Toc9750"/>
      <w:bookmarkStart w:id="3070" w:name="_Toc14894"/>
      <w:bookmarkStart w:id="3071" w:name="_Toc6595"/>
      <w:r>
        <w:rPr>
          <w:rFonts w:hint="eastAsia" w:ascii="宋体" w:hAnsi="宋体" w:cs="宋体"/>
          <w:b/>
          <w:kern w:val="0"/>
          <w:szCs w:val="21"/>
          <w:lang w:bidi="ar"/>
        </w:rPr>
        <w:t>附件2  发包人供应材料设备一览表</w:t>
      </w:r>
      <w:bookmarkEnd w:id="3068"/>
      <w:bookmarkEnd w:id="3069"/>
      <w:bookmarkEnd w:id="3070"/>
      <w:bookmarkEnd w:id="3071"/>
    </w:p>
    <w:tbl>
      <w:tblPr>
        <w:tblStyle w:val="45"/>
        <w:tblW w:w="920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5"/>
        <w:gridCol w:w="1135"/>
        <w:gridCol w:w="1135"/>
        <w:gridCol w:w="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552" w:type="dxa"/>
            <w:tcBorders>
              <w:top w:val="single" w:color="auto" w:sz="12" w:space="0"/>
              <w:left w:val="single" w:color="auto" w:sz="12"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序号</w:t>
            </w:r>
          </w:p>
        </w:tc>
        <w:tc>
          <w:tcPr>
            <w:tcW w:w="1165"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材料、设备品种</w:t>
            </w:r>
          </w:p>
        </w:tc>
        <w:tc>
          <w:tcPr>
            <w:tcW w:w="1126"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规格型号</w:t>
            </w:r>
          </w:p>
        </w:tc>
        <w:tc>
          <w:tcPr>
            <w:tcW w:w="567"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单位</w:t>
            </w:r>
          </w:p>
        </w:tc>
        <w:tc>
          <w:tcPr>
            <w:tcW w:w="686"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数量</w:t>
            </w:r>
          </w:p>
        </w:tc>
        <w:tc>
          <w:tcPr>
            <w:tcW w:w="992"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单价（元）</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质量等级</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供应时间</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送达地点</w:t>
            </w:r>
          </w:p>
        </w:tc>
        <w:tc>
          <w:tcPr>
            <w:tcW w:w="709" w:type="dxa"/>
            <w:tcBorders>
              <w:top w:val="single" w:color="auto" w:sz="12" w:space="0"/>
              <w:left w:val="single" w:color="auto" w:sz="6" w:space="0"/>
              <w:bottom w:val="double" w:color="auto" w:sz="2" w:space="0"/>
              <w:right w:val="single" w:color="auto" w:sz="12" w:space="0"/>
            </w:tcBorders>
            <w:shd w:val="clear" w:color="auto" w:fill="auto"/>
            <w:vAlign w:val="center"/>
          </w:tcPr>
          <w:p>
            <w:pPr>
              <w:widowControl/>
              <w:adjustRightInd w:val="0"/>
              <w:snapToGrid w:val="0"/>
              <w:jc w:val="center"/>
              <w:rPr>
                <w:rFonts w:ascii="宋体" w:hAnsi="宋体" w:cs="宋体"/>
                <w:kern w:val="0"/>
              </w:rPr>
            </w:pPr>
            <w:r>
              <w:rPr>
                <w:rFonts w:hint="eastAsia" w:ascii="宋体" w:hAnsi="宋体" w:cs="宋体"/>
                <w:kern w:val="0"/>
                <w:szCs w:val="21"/>
                <w:lang w:bidi="ar"/>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double" w:color="auto" w:sz="2"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double" w:color="auto" w:sz="2"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double" w:color="auto" w:sz="2"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nil"/>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nil"/>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nil"/>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12"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bl>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szCs w:val="21"/>
          <w:lang w:bidi="ar"/>
        </w:rPr>
        <w:br w:type="page"/>
      </w:r>
    </w:p>
    <w:p>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3072" w:name="_Toc20171895"/>
      <w:bookmarkEnd w:id="3072"/>
      <w:bookmarkStart w:id="3073" w:name="_Toc1497"/>
      <w:bookmarkStart w:id="3074" w:name="_Toc25981"/>
      <w:bookmarkStart w:id="3075" w:name="_Toc8764"/>
      <w:bookmarkStart w:id="3076" w:name="_Toc4445"/>
      <w:r>
        <w:rPr>
          <w:rFonts w:hint="eastAsia" w:ascii="宋体" w:hAnsi="宋体" w:cs="宋体"/>
          <w:b/>
          <w:kern w:val="0"/>
          <w:szCs w:val="21"/>
          <w:lang w:bidi="ar"/>
        </w:rPr>
        <w:t>附件3  工程质量保修书</w:t>
      </w:r>
      <w:bookmarkEnd w:id="3073"/>
      <w:bookmarkEnd w:id="3074"/>
      <w:bookmarkEnd w:id="3075"/>
      <w:bookmarkEnd w:id="3076"/>
    </w:p>
    <w:p>
      <w:pPr>
        <w:widowControl/>
        <w:adjustRightInd w:val="0"/>
        <w:snapToGrid w:val="0"/>
        <w:spacing w:after="163" w:afterLines="50" w:line="360" w:lineRule="auto"/>
        <w:rPr>
          <w:rFonts w:ascii="宋体" w:hAnsi="宋体" w:cs="宋体"/>
          <w:kern w:val="0"/>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pPr>
        <w:widowControl/>
        <w:adjustRightInd w:val="0"/>
        <w:snapToGrid w:val="0"/>
        <w:spacing w:after="163" w:afterLines="50" w:line="360" w:lineRule="auto"/>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发包人和承包人根据《中华人民共和国建筑法》和《建设工程质量管理条例》，经协商一致就</w:t>
      </w:r>
      <w:r>
        <w:rPr>
          <w:rFonts w:hint="eastAsia" w:ascii="宋体" w:hAnsi="宋体" w:cs="宋体"/>
          <w:kern w:val="0"/>
          <w:szCs w:val="21"/>
          <w:u w:val="single"/>
          <w:lang w:bidi="ar"/>
        </w:rPr>
        <w:t xml:space="preserve">                 </w:t>
      </w:r>
      <w:r>
        <w:rPr>
          <w:rFonts w:hint="eastAsia" w:ascii="宋体" w:hAnsi="宋体" w:cs="宋体"/>
          <w:kern w:val="0"/>
          <w:szCs w:val="21"/>
          <w:lang w:bidi="ar"/>
        </w:rPr>
        <w:t>（工程全称）订立工程质量保修书。</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一、工程质量保修范围和内容</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承包人在质量保修期内，按照有关法律规定和合同约定，承担工程质量保修责任。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二、质量保修期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根据《建设工程质量管理条例》及有关规定，工程的质量保修期如下：</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1．地基基础工程和主体结构工程为设计文件规定的工程合理使用年限；</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2．屋面防水工程、有防水要求的卫生间、房间和外墙面的防渗为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3．装修工程为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4．电气管线、给排水管道、设备安装工程为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5．供热与供冷系统为</w:t>
      </w:r>
      <w:r>
        <w:rPr>
          <w:rFonts w:hint="eastAsia" w:ascii="宋体" w:hAnsi="宋体" w:cs="宋体"/>
          <w:kern w:val="0"/>
          <w:szCs w:val="21"/>
          <w:u w:val="single"/>
          <w:lang w:bidi="ar"/>
        </w:rPr>
        <w:t xml:space="preserve">        </w:t>
      </w:r>
      <w:r>
        <w:rPr>
          <w:rFonts w:hint="eastAsia" w:ascii="宋体" w:hAnsi="宋体" w:cs="宋体"/>
          <w:kern w:val="0"/>
          <w:szCs w:val="21"/>
          <w:lang w:bidi="ar"/>
        </w:rPr>
        <w:t>个采暖期、供冷期；</w:t>
      </w:r>
    </w:p>
    <w:p>
      <w:pPr>
        <w:widowControl/>
        <w:adjustRightInd w:val="0"/>
        <w:snapToGrid w:val="0"/>
        <w:spacing w:after="163" w:afterLines="50" w:line="360" w:lineRule="auto"/>
        <w:ind w:left="420" w:leftChars="200"/>
        <w:rPr>
          <w:rFonts w:ascii="宋体" w:hAnsi="宋体" w:cs="宋体"/>
          <w:kern w:val="0"/>
        </w:rPr>
      </w:pPr>
      <w:r>
        <w:rPr>
          <w:rFonts w:hint="eastAsia" w:ascii="宋体" w:hAnsi="宋体" w:cs="宋体"/>
          <w:kern w:val="0"/>
          <w:szCs w:val="21"/>
          <w:lang w:bidi="ar"/>
        </w:rPr>
        <w:t>6．住宅小区内的给排水设施、道路等配套工程为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7．其他项目保修期限约定如下：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质量保修期自工程竣工验收合格之日起计算。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三、缺陷责任期</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工程缺陷责任期为</w:t>
      </w:r>
      <w:r>
        <w:rPr>
          <w:rFonts w:hint="eastAsia" w:ascii="宋体" w:hAnsi="宋体" w:cs="宋体"/>
          <w:kern w:val="0"/>
          <w:szCs w:val="21"/>
          <w:u w:val="single"/>
          <w:lang w:bidi="ar"/>
        </w:rPr>
        <w:t xml:space="preserve">      </w:t>
      </w:r>
      <w:r>
        <w:rPr>
          <w:rFonts w:hint="eastAsia" w:ascii="宋体" w:hAnsi="宋体" w:cs="宋体"/>
          <w:kern w:val="0"/>
          <w:szCs w:val="21"/>
          <w:lang w:bidi="ar"/>
        </w:rPr>
        <w:t>个月，缺陷责任期自工程通过竣工验收之日起计算。单位/区段工程先于全部工程进行验收，单位/区段工程缺陷责任期自单位/区段工程验收合格之日起算。</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缺陷责任期终止后，发包人应返还剩余的质量保证金。</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四、质量保修责任</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1．属于保修范围、内容的项目，承包人应当在接到保修通知之日起7天内派人保修。承包人不在约定期限内派人保修的，发包人可以委托他人修理。</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2．发生紧急事故需抢修的，承包人在接到事故通知后，应当立即到达事故现场抢修。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对于涉及结构安全的质量问题，应当按照《建设工程质量管理条例》的规定，立即向当地建设行政主管部门和有关部门报告，采取安全防范措施，并由承包人承包人提出保修方案，承包人将设计业务分包的，应由原设计分包人或具有相应资质等级的设计人提出保修方案，承包人实施保修。</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4．质量保修完成后，由发包人组织验收。</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五、保修费用</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保修费用由造成质量缺陷的责任方承担。</w:t>
      </w:r>
    </w:p>
    <w:p>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六、双方约定的其他工程质量保修事项：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工程质量保修书由发包人、承包人在工程竣工验收前共同签署，作为工程总承包合同附件，其有效期限至保修期满。</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七、本文件生效</w:t>
      </w:r>
    </w:p>
    <w:p>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本工程质量保修书经发包人与承包人盖章后生效。</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发包人(公章)： </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承包人(公章)：</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地  址： </w:t>
      </w:r>
      <w:r>
        <w:rPr>
          <w:rFonts w:hint="eastAsia" w:ascii="宋体" w:hAnsi="宋体" w:cs="MingLiU_HKSCS"/>
          <w:kern w:val="0"/>
          <w:szCs w:val="21"/>
          <w:lang w:bidi="ar"/>
        </w:rPr>
        <w:t></w:t>
      </w:r>
      <w:r>
        <w:rPr>
          <w:rFonts w:hint="eastAsia" w:ascii="宋体" w:hAnsi="宋体" w:cs="宋体"/>
          <w:kern w:val="0"/>
          <w:szCs w:val="21"/>
          <w:lang w:bidi="ar"/>
        </w:rPr>
        <w:t xml:space="preserve">       地  址：</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法定代表人(签名)：</w:t>
      </w:r>
      <w:r>
        <w:rPr>
          <w:rFonts w:hint="eastAsia" w:ascii="宋体" w:hAnsi="宋体" w:cs="MingLiU_HKSCS"/>
          <w:kern w:val="0"/>
          <w:szCs w:val="21"/>
          <w:lang w:bidi="ar"/>
        </w:rPr>
        <w:t></w:t>
      </w:r>
      <w:r>
        <w:rPr>
          <w:rFonts w:hint="eastAsia" w:ascii="宋体" w:hAnsi="宋体" w:cs="宋体"/>
          <w:kern w:val="0"/>
          <w:szCs w:val="21"/>
          <w:lang w:bidi="ar"/>
        </w:rPr>
        <w:t xml:space="preserve">        法定代表人(签名)：</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委托代理人(签名)：</w:t>
      </w:r>
      <w:r>
        <w:rPr>
          <w:rFonts w:hint="eastAsia" w:ascii="宋体" w:hAnsi="宋体" w:cs="MingLiU_HKSCS"/>
          <w:kern w:val="0"/>
          <w:szCs w:val="21"/>
          <w:lang w:bidi="ar"/>
        </w:rPr>
        <w:t></w:t>
      </w:r>
      <w:r>
        <w:rPr>
          <w:rFonts w:hint="eastAsia" w:ascii="宋体" w:hAnsi="宋体" w:cs="宋体"/>
          <w:kern w:val="0"/>
          <w:szCs w:val="21"/>
          <w:lang w:bidi="ar"/>
        </w:rPr>
        <w:t xml:space="preserve">        委托代理人(签名)：</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电  话：</w:t>
      </w:r>
      <w:r>
        <w:rPr>
          <w:rFonts w:hint="eastAsia" w:ascii="宋体" w:hAnsi="宋体" w:cs="MingLiU_HKSCS"/>
          <w:kern w:val="0"/>
          <w:szCs w:val="21"/>
          <w:lang w:bidi="ar"/>
        </w:rPr>
        <w:t></w:t>
      </w:r>
      <w:r>
        <w:rPr>
          <w:rFonts w:hint="eastAsia" w:ascii="宋体" w:hAnsi="宋体" w:cs="宋体"/>
          <w:kern w:val="0"/>
          <w:szCs w:val="21"/>
          <w:lang w:bidi="ar"/>
        </w:rPr>
        <w:t xml:space="preserve">      电  话：</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传  真：</w:t>
      </w:r>
      <w:r>
        <w:rPr>
          <w:rFonts w:hint="eastAsia" w:ascii="宋体" w:hAnsi="宋体" w:cs="MingLiU_HKSCS"/>
          <w:kern w:val="0"/>
          <w:szCs w:val="21"/>
          <w:lang w:bidi="ar"/>
        </w:rPr>
        <w:t></w:t>
      </w:r>
      <w:r>
        <w:rPr>
          <w:rFonts w:hint="eastAsia" w:ascii="宋体" w:hAnsi="宋体" w:cs="宋体"/>
          <w:kern w:val="0"/>
          <w:szCs w:val="21"/>
          <w:lang w:bidi="ar"/>
        </w:rPr>
        <w:t xml:space="preserve">      传  真：</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开户银行：</w:t>
      </w:r>
      <w:r>
        <w:rPr>
          <w:rFonts w:hint="eastAsia" w:ascii="宋体" w:hAnsi="宋体" w:cs="MingLiU_HKSCS"/>
          <w:kern w:val="0"/>
          <w:szCs w:val="21"/>
          <w:lang w:bidi="ar"/>
        </w:rPr>
        <w:t></w:t>
      </w:r>
      <w:r>
        <w:rPr>
          <w:rFonts w:hint="eastAsia" w:ascii="宋体" w:hAnsi="宋体" w:cs="宋体"/>
          <w:kern w:val="0"/>
          <w:szCs w:val="21"/>
          <w:lang w:bidi="ar"/>
        </w:rPr>
        <w:t xml:space="preserve">      开户银行：</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账  号：</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账  号：</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邮政编码： </w:t>
      </w:r>
      <w:r>
        <w:rPr>
          <w:rFonts w:hint="eastAsia" w:ascii="宋体" w:hAnsi="宋体" w:cs="MingLiU_HKSCS"/>
          <w:kern w:val="0"/>
          <w:szCs w:val="21"/>
          <w:lang w:bidi="ar"/>
        </w:rPr>
        <w:t></w:t>
      </w:r>
      <w:r>
        <w:rPr>
          <w:rFonts w:hint="eastAsia" w:ascii="宋体" w:hAnsi="宋体" w:cs="宋体"/>
          <w:kern w:val="0"/>
          <w:szCs w:val="21"/>
          <w:lang w:bidi="ar"/>
        </w:rPr>
        <w:t xml:space="preserve">       邮政编码：</w:t>
      </w:r>
      <w:r>
        <w:rPr>
          <w:rFonts w:hint="eastAsia" w:ascii="宋体" w:hAnsi="宋体" w:cs="MingLiU_HKSCS"/>
          <w:kern w:val="0"/>
          <w:szCs w:val="21"/>
          <w:lang w:bidi="ar"/>
        </w:rPr>
        <w:t></w:t>
      </w: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cs="宋体"/>
          <w:kern w:val="0"/>
        </w:rPr>
        <w:br w:type="page"/>
      </w:r>
    </w:p>
    <w:p>
      <w:pPr>
        <w:widowControl/>
        <w:jc w:val="left"/>
        <w:rPr>
          <w:rFonts w:ascii="宋体" w:hAnsi="宋体" w:cs="宋体"/>
          <w:kern w:val="0"/>
        </w:rPr>
      </w:pPr>
    </w:p>
    <w:p>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3077" w:name="_Toc20171896"/>
      <w:bookmarkEnd w:id="3077"/>
      <w:bookmarkStart w:id="3078" w:name="_Toc25828"/>
      <w:bookmarkStart w:id="3079" w:name="_Toc7592"/>
      <w:bookmarkStart w:id="3080" w:name="_Toc12458"/>
      <w:bookmarkStart w:id="3081" w:name="_Toc15134"/>
      <w:r>
        <w:rPr>
          <w:rFonts w:hint="eastAsia" w:ascii="宋体" w:hAnsi="宋体" w:cs="宋体"/>
          <w:b/>
          <w:kern w:val="0"/>
          <w:szCs w:val="21"/>
          <w:lang w:bidi="ar"/>
        </w:rPr>
        <w:t>附件4  主要建设工程文件目录</w:t>
      </w:r>
      <w:bookmarkEnd w:id="3078"/>
      <w:bookmarkEnd w:id="3079"/>
      <w:bookmarkEnd w:id="3080"/>
      <w:bookmarkEnd w:id="3081"/>
    </w:p>
    <w:tbl>
      <w:tblPr>
        <w:tblStyle w:val="45"/>
        <w:tblW w:w="921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25" w:type="dxa"/>
            <w:tcBorders>
              <w:top w:val="single" w:color="auto" w:sz="12" w:space="0"/>
              <w:left w:val="single" w:color="auto" w:sz="12" w:space="0"/>
              <w:bottom w:val="double" w:color="auto" w:sz="2" w:space="0"/>
              <w:right w:val="single" w:color="auto" w:sz="6" w:space="0"/>
            </w:tcBorders>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文件名称</w:t>
            </w:r>
          </w:p>
        </w:tc>
        <w:tc>
          <w:tcPr>
            <w:tcW w:w="1276"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套数</w:t>
            </w:r>
          </w:p>
        </w:tc>
        <w:tc>
          <w:tcPr>
            <w:tcW w:w="1450"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费用（元）</w:t>
            </w:r>
          </w:p>
        </w:tc>
        <w:tc>
          <w:tcPr>
            <w:tcW w:w="1243" w:type="dxa"/>
            <w:tcBorders>
              <w:top w:val="single" w:color="auto" w:sz="12" w:space="0"/>
              <w:left w:val="single" w:color="auto" w:sz="6" w:space="0"/>
              <w:bottom w:val="double" w:color="auto" w:sz="2" w:space="0"/>
              <w:right w:val="single" w:color="auto" w:sz="6" w:space="0"/>
            </w:tcBorders>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质量</w:t>
            </w:r>
          </w:p>
        </w:tc>
        <w:tc>
          <w:tcPr>
            <w:tcW w:w="1450" w:type="dxa"/>
            <w:tcBorders>
              <w:top w:val="single" w:color="auto" w:sz="12" w:space="0"/>
              <w:left w:val="single" w:color="auto" w:sz="6" w:space="0"/>
              <w:bottom w:val="double" w:color="auto" w:sz="2" w:space="0"/>
              <w:right w:val="single" w:color="auto" w:sz="6" w:space="0"/>
            </w:tcBorders>
            <w:shd w:val="clear" w:color="auto" w:fill="auto"/>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移交时间</w:t>
            </w:r>
          </w:p>
        </w:tc>
        <w:tc>
          <w:tcPr>
            <w:tcW w:w="1670" w:type="dxa"/>
            <w:tcBorders>
              <w:top w:val="single" w:color="auto" w:sz="12" w:space="0"/>
              <w:left w:val="single" w:color="auto" w:sz="6" w:space="0"/>
              <w:bottom w:val="double" w:color="auto" w:sz="2" w:space="0"/>
              <w:right w:val="single" w:color="auto" w:sz="12" w:space="0"/>
            </w:tcBorders>
            <w:shd w:val="clear" w:color="auto" w:fill="auto"/>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double" w:color="auto" w:sz="2"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double" w:color="auto" w:sz="2"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nil"/>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nil"/>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nil"/>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12" w:space="0"/>
              <w:right w:val="single" w:color="auto" w:sz="12" w:space="0"/>
            </w:tcBorders>
            <w:shd w:val="clear" w:color="auto" w:fill="auto"/>
          </w:tcPr>
          <w:p>
            <w:pPr>
              <w:widowControl/>
              <w:adjustRightInd w:val="0"/>
              <w:snapToGrid w:val="0"/>
              <w:spacing w:after="163" w:afterLines="50" w:line="360" w:lineRule="auto"/>
              <w:ind w:firstLine="420" w:firstLineChars="200"/>
              <w:rPr>
                <w:rFonts w:ascii="宋体" w:hAnsi="宋体" w:cs="宋体"/>
                <w:kern w:val="0"/>
              </w:rPr>
            </w:pPr>
          </w:p>
        </w:tc>
      </w:tr>
    </w:tbl>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spacing w:line="360" w:lineRule="auto"/>
        <w:rPr>
          <w:rFonts w:ascii="宋体" w:hAnsi="宋体"/>
          <w:b/>
          <w:szCs w:val="21"/>
          <w:lang w:bidi="ar"/>
        </w:rPr>
        <w:sectPr>
          <w:pgSz w:w="11906" w:h="16838"/>
          <w:pgMar w:top="1304" w:right="1135" w:bottom="1304" w:left="1304" w:header="720" w:footer="720" w:gutter="0"/>
          <w:cols w:space="720" w:num="1"/>
          <w:docGrid w:type="lines" w:linePitch="326" w:charSpace="0"/>
        </w:sectPr>
      </w:pPr>
    </w:p>
    <w:p>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3082" w:name="_Toc20171897"/>
      <w:bookmarkEnd w:id="3082"/>
      <w:bookmarkStart w:id="3083" w:name="_Toc30471"/>
      <w:bookmarkStart w:id="3084" w:name="_Toc25335"/>
      <w:bookmarkStart w:id="3085" w:name="_Toc30886"/>
      <w:bookmarkStart w:id="3086" w:name="_Toc17613"/>
      <w:r>
        <w:rPr>
          <w:rFonts w:hint="eastAsia" w:ascii="宋体" w:hAnsi="宋体" w:cs="宋体"/>
          <w:b/>
          <w:kern w:val="0"/>
          <w:szCs w:val="21"/>
          <w:lang w:bidi="ar"/>
        </w:rPr>
        <w:t>附件5  承包人主要管理人员表</w:t>
      </w:r>
      <w:bookmarkEnd w:id="3083"/>
      <w:bookmarkEnd w:id="3084"/>
      <w:bookmarkEnd w:id="3085"/>
      <w:bookmarkEnd w:id="3086"/>
    </w:p>
    <w:tbl>
      <w:tblPr>
        <w:tblStyle w:val="45"/>
        <w:tblW w:w="908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5"/>
        <w:gridCol w:w="1135"/>
        <w:gridCol w:w="38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名    称</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姓名</w:t>
            </w: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职务</w:t>
            </w: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职称</w:t>
            </w: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089" w:type="dxa"/>
            <w:gridSpan w:val="5"/>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项目主管</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其他人员</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089" w:type="dxa"/>
            <w:gridSpan w:val="5"/>
            <w:shd w:val="clear" w:color="auto" w:fill="auto"/>
            <w:vAlign w:val="center"/>
          </w:tcPr>
          <w:p>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工程总承包</w:t>
            </w:r>
          </w:p>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项目经理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项目副经理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设计负责人</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采购负责人</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施工负责人</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技术负责人</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造价管理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质量管理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计划管理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安全管理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环境管理</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restart"/>
            <w:shd w:val="clear" w:color="auto" w:fill="auto"/>
            <w:vAlign w:val="center"/>
          </w:tcPr>
          <w:p>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其他人员</w:t>
            </w: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continue"/>
            <w:shd w:val="clear" w:color="auto" w:fill="auto"/>
            <w:vAlign w:val="center"/>
          </w:tcPr>
          <w:p>
            <w:pPr>
              <w:rPr>
                <w:sz w:val="20"/>
                <w:szCs w:val="2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continue"/>
            <w:shd w:val="clear" w:color="auto" w:fill="auto"/>
            <w:vAlign w:val="center"/>
          </w:tcPr>
          <w:p>
            <w:pPr>
              <w:rPr>
                <w:sz w:val="20"/>
                <w:szCs w:val="2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continue"/>
            <w:shd w:val="clear" w:color="auto" w:fill="auto"/>
            <w:vAlign w:val="center"/>
          </w:tcPr>
          <w:p>
            <w:pPr>
              <w:rPr>
                <w:sz w:val="20"/>
                <w:szCs w:val="2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continue"/>
            <w:shd w:val="clear" w:color="auto" w:fill="auto"/>
            <w:vAlign w:val="center"/>
          </w:tcPr>
          <w:p>
            <w:pPr>
              <w:rPr>
                <w:sz w:val="20"/>
                <w:szCs w:val="20"/>
              </w:rPr>
            </w:pPr>
          </w:p>
        </w:tc>
        <w:tc>
          <w:tcPr>
            <w:tcW w:w="1418"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line="360" w:lineRule="auto"/>
              <w:ind w:firstLine="420" w:firstLineChars="200"/>
              <w:rPr>
                <w:rFonts w:ascii="宋体" w:hAnsi="宋体" w:cs="宋体"/>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505" w:type="dxa"/>
            <w:vMerge w:val="continue"/>
            <w:shd w:val="clear" w:color="auto" w:fill="auto"/>
            <w:vAlign w:val="center"/>
          </w:tcPr>
          <w:p>
            <w:pPr>
              <w:rPr>
                <w:sz w:val="20"/>
                <w:szCs w:val="20"/>
              </w:rPr>
            </w:pPr>
          </w:p>
        </w:tc>
        <w:tc>
          <w:tcPr>
            <w:tcW w:w="1418" w:type="dxa"/>
            <w:shd w:val="clear" w:color="auto" w:fill="auto"/>
            <w:vAlign w:val="center"/>
          </w:tcPr>
          <w:p>
            <w:pPr>
              <w:widowControl/>
              <w:adjustRightInd w:val="0"/>
              <w:snapToGrid w:val="0"/>
              <w:spacing w:after="156" w:afterLines="50"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after="156" w:afterLines="50" w:line="360" w:lineRule="auto"/>
              <w:ind w:firstLine="420" w:firstLineChars="200"/>
              <w:rPr>
                <w:rFonts w:ascii="宋体" w:hAnsi="宋体" w:cs="宋体"/>
                <w:kern w:val="0"/>
              </w:rPr>
            </w:pPr>
          </w:p>
        </w:tc>
        <w:tc>
          <w:tcPr>
            <w:tcW w:w="1135" w:type="dxa"/>
            <w:shd w:val="clear" w:color="auto" w:fill="auto"/>
            <w:vAlign w:val="center"/>
          </w:tcPr>
          <w:p>
            <w:pPr>
              <w:widowControl/>
              <w:adjustRightInd w:val="0"/>
              <w:snapToGrid w:val="0"/>
              <w:spacing w:after="156" w:afterLines="50" w:line="360" w:lineRule="auto"/>
              <w:ind w:firstLine="420" w:firstLineChars="200"/>
              <w:rPr>
                <w:rFonts w:ascii="宋体" w:hAnsi="宋体" w:cs="宋体"/>
                <w:kern w:val="0"/>
              </w:rPr>
            </w:pPr>
          </w:p>
        </w:tc>
        <w:tc>
          <w:tcPr>
            <w:tcW w:w="3896" w:type="dxa"/>
            <w:shd w:val="clear" w:color="auto" w:fill="auto"/>
            <w:vAlign w:val="center"/>
          </w:tcPr>
          <w:p>
            <w:pPr>
              <w:widowControl/>
              <w:adjustRightInd w:val="0"/>
              <w:snapToGrid w:val="0"/>
              <w:spacing w:after="156" w:afterLines="50" w:line="360" w:lineRule="auto"/>
              <w:ind w:firstLine="420" w:firstLineChars="200"/>
              <w:rPr>
                <w:rFonts w:ascii="宋体" w:hAnsi="宋体" w:cs="宋体"/>
                <w:kern w:val="0"/>
              </w:rPr>
            </w:pPr>
          </w:p>
        </w:tc>
      </w:tr>
    </w:tbl>
    <w:p>
      <w:pPr>
        <w:widowControl/>
        <w:adjustRightInd w:val="0"/>
        <w:snapToGrid w:val="0"/>
        <w:spacing w:after="156" w:afterLines="50" w:line="360" w:lineRule="auto"/>
        <w:ind w:firstLine="420" w:firstLineChars="200"/>
        <w:rPr>
          <w:rFonts w:ascii="宋体" w:hAnsi="宋体" w:cs="宋体"/>
          <w:kern w:val="0"/>
        </w:rPr>
      </w:pPr>
      <w:r>
        <w:rPr>
          <w:rFonts w:hint="eastAsia" w:ascii="宋体" w:hAnsi="宋体"/>
          <w:szCs w:val="21"/>
          <w:lang w:bidi="ar"/>
        </w:rPr>
        <w:br w:type="page"/>
      </w:r>
    </w:p>
    <w:p>
      <w:pPr>
        <w:widowControl/>
        <w:jc w:val="left"/>
        <w:rPr>
          <w:rFonts w:ascii="宋体" w:hAnsi="宋体" w:cs="宋体"/>
          <w:kern w:val="0"/>
        </w:rPr>
      </w:pPr>
      <w:bookmarkStart w:id="3087" w:name="_Toc20171898"/>
      <w:bookmarkEnd w:id="3087"/>
    </w:p>
    <w:p>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3088" w:name="_Toc14631"/>
      <w:bookmarkStart w:id="3089" w:name="_Toc12735"/>
      <w:bookmarkStart w:id="3090" w:name="_Toc5828"/>
      <w:bookmarkStart w:id="3091" w:name="_Toc7823"/>
      <w:r>
        <w:rPr>
          <w:rFonts w:hint="eastAsia" w:ascii="宋体" w:hAnsi="宋体" w:cs="宋体"/>
          <w:b/>
          <w:kern w:val="0"/>
          <w:szCs w:val="21"/>
          <w:lang w:bidi="ar"/>
        </w:rPr>
        <w:t>附件</w:t>
      </w:r>
      <w:r>
        <w:rPr>
          <w:rFonts w:ascii="宋体" w:hAnsi="宋体" w:cs="宋体"/>
          <w:b/>
          <w:kern w:val="0"/>
          <w:szCs w:val="21"/>
          <w:lang w:bidi="ar"/>
        </w:rPr>
        <w:t>6</w:t>
      </w:r>
      <w:r>
        <w:rPr>
          <w:rFonts w:hint="eastAsia" w:ascii="宋体" w:hAnsi="宋体" w:cs="宋体"/>
          <w:b/>
          <w:kern w:val="0"/>
          <w:szCs w:val="21"/>
          <w:lang w:bidi="ar"/>
        </w:rPr>
        <w:t xml:space="preserve">  价格指数权重表</w:t>
      </w:r>
      <w:bookmarkEnd w:id="3088"/>
      <w:bookmarkEnd w:id="3089"/>
      <w:bookmarkEnd w:id="3090"/>
      <w:bookmarkEnd w:id="3091"/>
    </w:p>
    <w:tbl>
      <w:tblPr>
        <w:tblStyle w:val="45"/>
        <w:tblW w:w="84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876"/>
        <w:gridCol w:w="1215"/>
        <w:gridCol w:w="1080"/>
        <w:gridCol w:w="1215"/>
        <w:gridCol w:w="123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82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序号</w:t>
            </w:r>
          </w:p>
        </w:tc>
        <w:tc>
          <w:tcPr>
            <w:tcW w:w="1460" w:type="dxa"/>
            <w:gridSpan w:val="2"/>
            <w:vMerge w:val="restart"/>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名称</w:t>
            </w:r>
          </w:p>
        </w:tc>
        <w:tc>
          <w:tcPr>
            <w:tcW w:w="2295" w:type="dxa"/>
            <w:gridSpan w:val="2"/>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变更权重B</w:t>
            </w:r>
          </w:p>
        </w:tc>
        <w:tc>
          <w:tcPr>
            <w:tcW w:w="2445" w:type="dxa"/>
            <w:gridSpan w:val="2"/>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基本价格指数F0</w:t>
            </w: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ascii="Calibri" w:hAnsi="Calibri"/>
                <w:sz w:val="20"/>
                <w:szCs w:val="20"/>
              </w:rPr>
            </w:pPr>
          </w:p>
        </w:tc>
        <w:tc>
          <w:tcPr>
            <w:tcW w:w="1460" w:type="dxa"/>
            <w:gridSpan w:val="2"/>
            <w:vMerge w:val="continue"/>
            <w:tcBorders>
              <w:top w:val="single" w:color="auto" w:sz="4" w:space="0"/>
              <w:left w:val="nil"/>
              <w:bottom w:val="single" w:color="auto" w:sz="4" w:space="0"/>
              <w:right w:val="single" w:color="auto" w:sz="4" w:space="0"/>
            </w:tcBorders>
            <w:shd w:val="clear" w:color="auto" w:fill="auto"/>
          </w:tcPr>
          <w:p>
            <w:pPr>
              <w:rPr>
                <w:rFonts w:ascii="Calibri" w:hAnsi="Calibri"/>
                <w:sz w:val="20"/>
                <w:szCs w:val="2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代号</w:t>
            </w: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权重</w:t>
            </w: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代号</w:t>
            </w: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指数</w:t>
            </w: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restart"/>
            <w:tcBorders>
              <w:top w:val="nil"/>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变</w:t>
            </w:r>
          </w:p>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值</w:t>
            </w:r>
          </w:p>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部</w:t>
            </w:r>
          </w:p>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分</w:t>
            </w: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B1</w:t>
            </w: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F01</w:t>
            </w: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B2</w:t>
            </w: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F02</w:t>
            </w: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B3</w:t>
            </w: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F03</w:t>
            </w: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B4</w:t>
            </w: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F04</w:t>
            </w: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定值部分权重A</w:t>
            </w: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合计</w:t>
            </w:r>
          </w:p>
        </w:tc>
        <w:tc>
          <w:tcPr>
            <w:tcW w:w="2295" w:type="dxa"/>
            <w:gridSpan w:val="2"/>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2445" w:type="dxa"/>
            <w:gridSpan w:val="2"/>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pPr>
              <w:widowControl/>
              <w:adjustRightInd w:val="0"/>
              <w:snapToGrid w:val="0"/>
              <w:spacing w:after="156" w:afterLines="50" w:line="360" w:lineRule="auto"/>
              <w:rPr>
                <w:rFonts w:ascii="宋体" w:hAnsi="宋体" w:cs="宋体"/>
                <w:kern w:val="0"/>
              </w:rPr>
            </w:pPr>
          </w:p>
        </w:tc>
      </w:tr>
    </w:tbl>
    <w:p>
      <w:pPr>
        <w:widowControl/>
        <w:adjustRightInd w:val="0"/>
        <w:snapToGrid w:val="0"/>
        <w:spacing w:after="156"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szCs w:val="21"/>
          <w:lang w:bidi="ar"/>
        </w:rPr>
        <w:br w:type="page"/>
      </w:r>
    </w:p>
    <w:p>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3092" w:name="_Toc2876"/>
      <w:bookmarkStart w:id="3093" w:name="_Toc15946"/>
      <w:bookmarkStart w:id="3094" w:name="_Toc2398"/>
      <w:bookmarkStart w:id="3095" w:name="_Toc18588"/>
      <w:r>
        <w:rPr>
          <w:rFonts w:hint="eastAsia" w:ascii="宋体" w:hAnsi="宋体" w:cs="宋体"/>
          <w:b/>
          <w:kern w:val="0"/>
          <w:szCs w:val="21"/>
          <w:lang w:bidi="ar"/>
        </w:rPr>
        <w:t>附件</w:t>
      </w:r>
      <w:r>
        <w:rPr>
          <w:rFonts w:ascii="宋体" w:hAnsi="宋体" w:cs="宋体"/>
          <w:b/>
          <w:kern w:val="0"/>
          <w:szCs w:val="21"/>
          <w:lang w:bidi="ar"/>
        </w:rPr>
        <w:t>7</w:t>
      </w:r>
      <w:r>
        <w:rPr>
          <w:rFonts w:hint="eastAsia" w:ascii="宋体" w:hAnsi="宋体" w:cs="宋体"/>
          <w:b/>
          <w:kern w:val="0"/>
          <w:szCs w:val="21"/>
          <w:lang w:val="en-US" w:eastAsia="zh-CN" w:bidi="ar"/>
        </w:rPr>
        <w:t xml:space="preserve">  </w:t>
      </w:r>
      <w:r>
        <w:rPr>
          <w:rFonts w:hint="eastAsia" w:ascii="宋体" w:hAnsi="宋体" w:cs="宋体"/>
          <w:b/>
          <w:kern w:val="0"/>
          <w:szCs w:val="21"/>
          <w:lang w:bidi="ar"/>
        </w:rPr>
        <w:t>专业工程暂估价表</w:t>
      </w:r>
      <w:bookmarkEnd w:id="3092"/>
      <w:bookmarkEnd w:id="3093"/>
      <w:bookmarkEnd w:id="3094"/>
      <w:bookmarkEnd w:id="3095"/>
    </w:p>
    <w:p>
      <w:pPr>
        <w:widowControl/>
        <w:jc w:val="center"/>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cs="宋体"/>
          <w:kern w:val="0"/>
          <w:szCs w:val="21"/>
          <w:lang w:bidi="ar"/>
        </w:rPr>
        <w:t xml:space="preserve"> </w:t>
      </w:r>
    </w:p>
    <w:tbl>
      <w:tblPr>
        <w:tblStyle w:val="45"/>
        <w:tblW w:w="9529"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6"/>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序号</w:t>
            </w: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专业工程名称</w:t>
            </w: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工程内容</w:t>
            </w: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529"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小计：</w:t>
            </w:r>
          </w:p>
        </w:tc>
      </w:tr>
    </w:tbl>
    <w:p>
      <w:pPr>
        <w:widowControl/>
        <w:jc w:val="left"/>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szCs w:val="21"/>
          <w:lang w:bidi="ar"/>
        </w:rPr>
        <w:br w:type="page"/>
      </w:r>
    </w:p>
    <w:p>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3096" w:name="_Toc2204"/>
      <w:bookmarkStart w:id="3097" w:name="_Toc521"/>
      <w:bookmarkStart w:id="3098" w:name="_Toc2861"/>
      <w:bookmarkStart w:id="3099" w:name="_Toc27901"/>
      <w:r>
        <w:rPr>
          <w:rFonts w:hint="eastAsia" w:ascii="宋体" w:hAnsi="宋体" w:cs="宋体"/>
          <w:b/>
          <w:kern w:val="0"/>
          <w:szCs w:val="21"/>
          <w:lang w:bidi="ar"/>
        </w:rPr>
        <w:t>附件</w:t>
      </w:r>
      <w:r>
        <w:rPr>
          <w:rFonts w:ascii="宋体" w:hAnsi="宋体" w:cs="宋体"/>
          <w:b/>
          <w:kern w:val="0"/>
          <w:szCs w:val="21"/>
          <w:lang w:bidi="ar"/>
        </w:rPr>
        <w:t>8</w:t>
      </w:r>
      <w:r>
        <w:rPr>
          <w:rFonts w:hint="eastAsia" w:ascii="宋体" w:hAnsi="宋体" w:cs="宋体"/>
          <w:b/>
          <w:kern w:val="0"/>
          <w:szCs w:val="21"/>
          <w:lang w:val="en-US" w:eastAsia="zh-CN" w:bidi="ar"/>
        </w:rPr>
        <w:t xml:space="preserve">  </w:t>
      </w:r>
      <w:r>
        <w:rPr>
          <w:rFonts w:hint="eastAsia" w:ascii="宋体" w:hAnsi="宋体" w:cs="宋体"/>
          <w:b/>
          <w:kern w:val="0"/>
          <w:szCs w:val="21"/>
          <w:lang w:bidi="ar"/>
        </w:rPr>
        <w:t>廉洁从业协议</w:t>
      </w:r>
      <w:bookmarkEnd w:id="3096"/>
      <w:bookmarkEnd w:id="3097"/>
      <w:bookmarkEnd w:id="3098"/>
      <w:bookmarkEnd w:id="3099"/>
    </w:p>
    <w:p>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 xml:space="preserve"> </w:t>
      </w:r>
    </w:p>
    <w:p>
      <w:pPr>
        <w:pStyle w:val="2"/>
        <w:rPr>
          <w:lang w:bidi="ar"/>
        </w:rPr>
      </w:pPr>
      <w:r>
        <w:rPr>
          <w:rFonts w:hint="eastAsia"/>
          <w:lang w:bidi="ar"/>
        </w:rPr>
        <w:t>发包人（全称）：</w:t>
      </w:r>
      <w:r>
        <w:rPr>
          <w:rFonts w:hint="eastAsia"/>
          <w:u w:val="single"/>
          <w:lang w:bidi="ar"/>
        </w:rPr>
        <w:t xml:space="preserve">                                  </w:t>
      </w:r>
    </w:p>
    <w:p>
      <w:pPr>
        <w:pStyle w:val="2"/>
        <w:rPr>
          <w:lang w:bidi="ar"/>
        </w:rPr>
      </w:pPr>
      <w:r>
        <w:rPr>
          <w:rFonts w:hint="eastAsia"/>
          <w:lang w:bidi="ar"/>
        </w:rPr>
        <w:t>承包人（全称）：</w:t>
      </w:r>
      <w:r>
        <w:rPr>
          <w:rFonts w:hint="eastAsia"/>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1. 发包人承包人的权利和义务</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（1）严格遵守党的政策规定和国家有关法律法规及相关部门的有关规定。</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（2）严格执行 工程的合同文件，自觉按合同办事。</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（3）双方的业务活动坚持公开、公正、诚信、透明的原则（法律认定的商业秘密和合同文件另有规定除外），不得损害国家和集体利益，违反工程建设管理规章制度。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（4）建立健全廉政制度，开展廉政教育，设立廉政告示牌，公布举报电话，监督并认真查处违法违纪行为。</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（5）发现对方在业务活动中有违反廉政规定的行为，有及时提醒对方纠正的权利和义务。</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（6）发现对方严重违反协议义务条款的行为，有向其上级有关部门举报、建议给予处理并要求告知处理结果的权利。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 发包人的义务</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（1）发包人及其工作人员不得索要或接受承包人的礼金、有价证券和贵重物品，不得在承包人报销任何应由发包人或发包人工作人员个人支付的费用等。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（2）发包人工作人员不得参加承包人安排的超标准宴请和娱乐活动；不得接受承包人提供的通讯工具、交通工具和高档办公用品等。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（3）发包人及其工作人员不得要求或者接受承包人为其住房装修、婚丧嫁娶活动、配偶子女的工作安排以及出国出境、旅游等提供方便等。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（4）发包人工作人员及其配偶、子女不得从事与发包人工程有关的材料设备供应、工程分包、劳务等经济活动等。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（5）发包人及其工作人员不得以任何理由向承包人推荐分包单位或推销材料，不得要求承包人购买合同规定外的材料和设备。</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（6）发包人工作人员要秉公办事，不准营私舞弊，不准利用职权从事各种个人有偿中介活动和安排个人施工队伍。</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 承包人义务</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（1）承包人不得以任何理由向发包人及其工作人员行贿或馈赠礼金、有价证券、贵重礼品。</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（2）承包人不得以任何名义为发包人及其工作人员报销应由发包人单位或个人支付的任何费用。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（3）承包人不得以任何理由安排发包人工作人员参加超标准宴请及娱乐活动。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（4）承包人不得为发包人单位和个人购置或提供通讯工具、交通工具和高档办公用品等。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 违约责任</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（1）发包人及其工作人员违反合同第1、2条，按管理权限，依据有关规定给予党纪、政纪或组织处理；涉嫌犯罪的，移交司法机关追究刑事责任；给承包人单位造成经济损失的，应予以赔偿。</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（2）承包人及其工作人员违反合同第1、3条，按管理权限，依据有关规定给予党纪、政纪或组织处理；给发包人单位造成经济损失的，应予以赔偿。</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 协议有效期为</w:t>
      </w:r>
      <w:r>
        <w:rPr>
          <w:rFonts w:hint="eastAsia" w:ascii="宋体" w:hAnsi="宋体" w:cs="宋体"/>
          <w:kern w:val="0"/>
          <w:szCs w:val="21"/>
          <w:lang w:val="en-US" w:eastAsia="zh-CN" w:bidi="ar"/>
        </w:rPr>
        <w:t>发承包</w:t>
      </w:r>
      <w:r>
        <w:rPr>
          <w:rFonts w:hint="eastAsia" w:ascii="宋体" w:hAnsi="宋体" w:cs="宋体"/>
          <w:kern w:val="0"/>
          <w:szCs w:val="21"/>
          <w:lang w:bidi="ar"/>
        </w:rPr>
        <w:t>双方签署之日起至该工程项目竣工验收后止。</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7.协议作为工程施工合同的附件，与工程施工合同具有同等的法律效力，经合同双方签署立即生效。</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（以下无正文）</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val="en-US" w:eastAsia="zh-CN" w:bidi="ar"/>
        </w:rPr>
        <w:t>发包人</w:t>
      </w:r>
      <w:r>
        <w:rPr>
          <w:rFonts w:hint="eastAsia" w:ascii="宋体" w:hAnsi="宋体" w:cs="宋体"/>
          <w:kern w:val="0"/>
          <w:szCs w:val="21"/>
          <w:lang w:bidi="ar"/>
        </w:rPr>
        <w:t xml:space="preserve">：                         </w:t>
      </w:r>
      <w:r>
        <w:rPr>
          <w:rFonts w:hint="eastAsia" w:ascii="宋体" w:hAnsi="宋体" w:cs="宋体"/>
          <w:kern w:val="0"/>
          <w:szCs w:val="21"/>
          <w:lang w:val="en-US" w:eastAsia="zh-CN" w:bidi="ar"/>
        </w:rPr>
        <w:t xml:space="preserve">  承包人</w:t>
      </w:r>
      <w:r>
        <w:rPr>
          <w:rFonts w:hint="eastAsia" w:ascii="宋体" w:hAnsi="宋体" w:cs="宋体"/>
          <w:kern w:val="0"/>
          <w:szCs w:val="21"/>
          <w:lang w:bidi="ar"/>
        </w:rPr>
        <w:t>：</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法定代表人                          法定代表人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或其授权的代理人：                  或授权的代理人：</w:t>
      </w:r>
    </w:p>
    <w:p>
      <w:pPr>
        <w:keepNext/>
        <w:keepLines/>
        <w:widowControl/>
        <w:wordWrap w:val="0"/>
        <w:topLinePunct/>
        <w:adjustRightInd w:val="0"/>
        <w:snapToGrid w:val="0"/>
        <w:spacing w:after="156" w:afterLines="50" w:line="360" w:lineRule="auto"/>
        <w:jc w:val="center"/>
        <w:outlineLvl w:val="1"/>
        <w:rPr>
          <w:rFonts w:ascii="宋体" w:hAnsi="宋体" w:cs="宋体"/>
          <w:kern w:val="0"/>
        </w:rPr>
      </w:pPr>
      <w:r>
        <w:rPr>
          <w:rFonts w:hint="eastAsia" w:ascii="宋体" w:hAnsi="宋体"/>
          <w:szCs w:val="21"/>
          <w:lang w:bidi="ar"/>
        </w:rPr>
        <w:br w:type="page"/>
      </w:r>
      <w:bookmarkStart w:id="3100" w:name="_Toc14465"/>
      <w:bookmarkStart w:id="3101" w:name="_Toc27238"/>
      <w:bookmarkStart w:id="3102" w:name="_Toc1232"/>
      <w:bookmarkStart w:id="3103" w:name="_Toc19388"/>
      <w:r>
        <w:rPr>
          <w:rFonts w:hint="eastAsia" w:ascii="宋体" w:hAnsi="宋体" w:cs="宋体"/>
          <w:b/>
          <w:kern w:val="0"/>
          <w:szCs w:val="21"/>
          <w:lang w:bidi="ar"/>
        </w:rPr>
        <w:t>附件</w:t>
      </w:r>
      <w:r>
        <w:rPr>
          <w:rFonts w:ascii="宋体" w:hAnsi="宋体" w:cs="宋体"/>
          <w:b/>
          <w:kern w:val="0"/>
          <w:szCs w:val="21"/>
          <w:lang w:bidi="ar"/>
        </w:rPr>
        <w:t>9</w:t>
      </w:r>
      <w:r>
        <w:rPr>
          <w:rFonts w:hint="eastAsia" w:ascii="宋体" w:hAnsi="宋体" w:cs="宋体"/>
          <w:b/>
          <w:kern w:val="0"/>
          <w:szCs w:val="21"/>
          <w:lang w:val="en-US" w:eastAsia="zh-CN" w:bidi="ar"/>
        </w:rPr>
        <w:t xml:space="preserve">  </w:t>
      </w:r>
      <w:r>
        <w:rPr>
          <w:rFonts w:hint="eastAsia" w:ascii="宋体" w:hAnsi="宋体" w:cs="宋体"/>
          <w:b/>
          <w:kern w:val="0"/>
          <w:szCs w:val="21"/>
          <w:lang w:bidi="ar"/>
        </w:rPr>
        <w:t>安全管理协议</w:t>
      </w:r>
      <w:bookmarkEnd w:id="3100"/>
      <w:bookmarkEnd w:id="3101"/>
      <w:bookmarkEnd w:id="3102"/>
      <w:bookmarkEnd w:id="3103"/>
    </w:p>
    <w:p>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 xml:space="preserve"> </w:t>
      </w:r>
    </w:p>
    <w:p>
      <w:pPr>
        <w:pStyle w:val="2"/>
        <w:rPr>
          <w:lang w:bidi="ar"/>
        </w:rPr>
      </w:pPr>
      <w:r>
        <w:rPr>
          <w:rFonts w:hint="eastAsia"/>
          <w:lang w:bidi="ar"/>
        </w:rPr>
        <w:t>发包人（全称）：</w:t>
      </w:r>
      <w:r>
        <w:rPr>
          <w:rFonts w:hint="eastAsia"/>
          <w:u w:val="single"/>
          <w:lang w:bidi="ar"/>
        </w:rPr>
        <w:t xml:space="preserve">                                  </w:t>
      </w:r>
    </w:p>
    <w:p>
      <w:pPr>
        <w:pStyle w:val="2"/>
        <w:rPr>
          <w:lang w:bidi="ar"/>
        </w:rPr>
      </w:pPr>
      <w:r>
        <w:rPr>
          <w:rFonts w:hint="eastAsia"/>
          <w:lang w:bidi="ar"/>
        </w:rPr>
        <w:t>承包人（全称）：</w:t>
      </w:r>
      <w:r>
        <w:rPr>
          <w:rFonts w:hint="eastAsia"/>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为了确保实现</w:t>
      </w:r>
      <w:r>
        <w:rPr>
          <w:rFonts w:hint="eastAsia" w:ascii="宋体" w:hAnsi="宋体" w:cs="宋体"/>
          <w:kern w:val="0"/>
          <w:szCs w:val="21"/>
          <w:u w:val="single"/>
          <w:lang w:bidi="ar"/>
        </w:rPr>
        <w:t xml:space="preserve">        </w:t>
      </w:r>
      <w:r>
        <w:rPr>
          <w:rFonts w:hint="eastAsia" w:ascii="宋体" w:hAnsi="宋体" w:cs="宋体"/>
          <w:kern w:val="0"/>
          <w:szCs w:val="21"/>
          <w:lang w:bidi="ar"/>
        </w:rPr>
        <w:t>安全生产目标，进一步明确双方的安全管理责任，加强安全生产管理工作的协调、管理力度，</w:t>
      </w:r>
      <w:r>
        <w:rPr>
          <w:rFonts w:hint="eastAsia" w:ascii="宋体" w:hAnsi="宋体" w:cs="宋体"/>
          <w:kern w:val="0"/>
          <w:szCs w:val="21"/>
          <w:u w:val="single"/>
          <w:lang w:bidi="ar"/>
        </w:rPr>
        <w:t xml:space="preserve">        </w:t>
      </w:r>
      <w:r>
        <w:rPr>
          <w:rFonts w:hint="eastAsia" w:ascii="宋体" w:hAnsi="宋体" w:cs="宋体"/>
          <w:kern w:val="0"/>
          <w:szCs w:val="21"/>
          <w:lang w:bidi="ar"/>
        </w:rPr>
        <w:t>（以下简称“发包人”）与</w:t>
      </w:r>
      <w:r>
        <w:rPr>
          <w:rFonts w:hint="eastAsia" w:ascii="宋体" w:hAnsi="宋体" w:cs="宋体"/>
          <w:kern w:val="0"/>
          <w:szCs w:val="21"/>
          <w:u w:val="single"/>
          <w:lang w:bidi="ar"/>
        </w:rPr>
        <w:t xml:space="preserve">        </w:t>
      </w:r>
      <w:r>
        <w:rPr>
          <w:rFonts w:hint="eastAsia" w:ascii="宋体" w:hAnsi="宋体" w:cs="宋体"/>
          <w:kern w:val="0"/>
          <w:szCs w:val="21"/>
          <w:lang w:bidi="ar"/>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widowControl/>
        <w:spacing w:line="360" w:lineRule="auto"/>
        <w:ind w:firstLine="420" w:firstLineChars="200"/>
        <w:jc w:val="left"/>
        <w:rPr>
          <w:rFonts w:ascii="宋体" w:hAnsi="宋体" w:cs="宋体"/>
          <w:kern w:val="0"/>
        </w:rPr>
      </w:pPr>
      <w:bookmarkStart w:id="3104" w:name="_Toc239510289"/>
      <w:bookmarkEnd w:id="3104"/>
      <w:bookmarkStart w:id="3105" w:name="_Toc247431423"/>
      <w:bookmarkEnd w:id="3105"/>
      <w:bookmarkStart w:id="3106" w:name="_Toc532375700"/>
      <w:bookmarkEnd w:id="3106"/>
      <w:bookmarkStart w:id="3107" w:name="_Toc247418263"/>
      <w:r>
        <w:rPr>
          <w:rFonts w:hint="eastAsia" w:ascii="宋体" w:hAnsi="宋体" w:cs="宋体"/>
          <w:kern w:val="0"/>
          <w:szCs w:val="21"/>
          <w:lang w:bidi="ar"/>
        </w:rPr>
        <w:t>一、协议有效期限</w:t>
      </w:r>
      <w:bookmarkEnd w:id="3107"/>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本协议中所涉及的安全管理责任自合同订立之日起开始生效，至合同工程全部完工验收且经发包人与承包人签订移交协议生效后之日终止。</w:t>
      </w:r>
    </w:p>
    <w:p>
      <w:pPr>
        <w:widowControl/>
        <w:spacing w:line="360" w:lineRule="auto"/>
        <w:ind w:firstLine="420" w:firstLineChars="200"/>
        <w:jc w:val="left"/>
        <w:rPr>
          <w:rFonts w:ascii="宋体" w:hAnsi="宋体" w:cs="宋体"/>
          <w:kern w:val="0"/>
        </w:rPr>
      </w:pPr>
      <w:bookmarkStart w:id="3108" w:name="_Toc247431424"/>
      <w:bookmarkEnd w:id="3108"/>
      <w:bookmarkStart w:id="3109" w:name="_Toc247418264"/>
      <w:bookmarkEnd w:id="3109"/>
      <w:bookmarkStart w:id="3110" w:name="_Toc239510290"/>
      <w:bookmarkEnd w:id="3110"/>
      <w:bookmarkStart w:id="3111" w:name="_Toc532375701"/>
      <w:r>
        <w:rPr>
          <w:rFonts w:hint="eastAsia" w:ascii="宋体" w:hAnsi="宋体" w:cs="宋体"/>
          <w:kern w:val="0"/>
          <w:szCs w:val="21"/>
          <w:lang w:bidi="ar"/>
        </w:rPr>
        <w:t>二、责任目标</w:t>
      </w:r>
      <w:bookmarkEnd w:id="3111"/>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（一）承包人承诺承担和履行合同和发包人所规定的安全责任，且满足要求。</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（二）承包人的安全控制目标是确保本工程在实施过程中：</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1．不发生人身重伤事故；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2．不发生火灾事故；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3．不发生负有同等及以上事故责任的造成人身重伤的一般交通事故；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4．不发生集体食物中毒事件（同时5人及以上的食物中毒）；</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5．不发生流行性传染病 （无甲型传染病、其他常见传染病未形成多人同时患病）；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6．不发生重大环境污染事件（生活、工业垃圾及其他污染物造成环境污染和大面积水土流失）；</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7．不发生对施工区附近生产、生活造成重大影响的事件（如造成重大设备损坏、重大财产损失、人员伤害等）；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8．不发生治安保卫事件（构成刑事拘留及以上的事件、盗窃直接损失超过1万元人民币的事件）。</w:t>
      </w:r>
    </w:p>
    <w:p>
      <w:pPr>
        <w:widowControl/>
        <w:spacing w:line="360" w:lineRule="auto"/>
        <w:ind w:firstLine="420" w:firstLineChars="200"/>
        <w:jc w:val="left"/>
        <w:rPr>
          <w:rFonts w:ascii="宋体" w:hAnsi="宋体" w:cs="宋体"/>
          <w:kern w:val="0"/>
        </w:rPr>
      </w:pPr>
      <w:bookmarkStart w:id="3112" w:name="_Toc247431425"/>
      <w:bookmarkEnd w:id="3112"/>
      <w:bookmarkStart w:id="3113" w:name="_Toc247418265"/>
      <w:bookmarkEnd w:id="3113"/>
      <w:bookmarkStart w:id="3114" w:name="_Toc239510291"/>
      <w:r>
        <w:rPr>
          <w:rFonts w:hint="eastAsia" w:ascii="宋体" w:hAnsi="宋体" w:cs="宋体"/>
          <w:kern w:val="0"/>
          <w:szCs w:val="21"/>
          <w:lang w:bidi="ar"/>
        </w:rPr>
        <w:t>（三）承包人承诺在施工中控制以下安全事故的发生：</w:t>
      </w:r>
      <w:bookmarkEnd w:id="3114"/>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1．人员轻伤事故。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2．负有同等及以上事故责任的人身轻伤交通事故。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3．其他安全未遂事故和异常事件。</w:t>
      </w:r>
    </w:p>
    <w:p>
      <w:pPr>
        <w:widowControl/>
        <w:spacing w:line="360" w:lineRule="auto"/>
        <w:ind w:firstLine="420" w:firstLineChars="200"/>
        <w:jc w:val="left"/>
        <w:rPr>
          <w:rFonts w:ascii="宋体" w:hAnsi="宋体" w:cs="宋体"/>
          <w:kern w:val="0"/>
        </w:rPr>
      </w:pPr>
      <w:bookmarkStart w:id="3115" w:name="_Toc532375702"/>
      <w:bookmarkEnd w:id="3115"/>
      <w:bookmarkStart w:id="3116" w:name="_Toc247418266"/>
      <w:bookmarkEnd w:id="3116"/>
      <w:bookmarkStart w:id="3117" w:name="_Toc247431426"/>
      <w:bookmarkEnd w:id="3117"/>
      <w:bookmarkStart w:id="3118" w:name="_Toc239510292"/>
      <w:r>
        <w:rPr>
          <w:rFonts w:hint="eastAsia" w:ascii="宋体" w:hAnsi="宋体" w:cs="宋体"/>
          <w:kern w:val="0"/>
          <w:szCs w:val="21"/>
          <w:lang w:bidi="ar"/>
        </w:rPr>
        <w:t>三、安全责任</w:t>
      </w:r>
      <w:bookmarkEnd w:id="3118"/>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1．承包人负有安全生产的管理责任和直接责任。</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2．承包人的法人或签署合同的公司总经理或受委托的代理人对合同安全负有全面的领导责任。</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3．承包人项目经理对施工现场的安全工作负有全面的直接领导责任。</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4．承包人保证执行“谁施工、谁负责”的施工安全原则。</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5．承包人保证服从发包人对安全工作的统一协调和管理。</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6．承包人保证对本工程项目安全生产条件及其管理资源自行投入，保证安全资金的专款专用。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7．承包人保证建立本工程项目的安全管理体系及安全保证体系（注：项目安全管理大纲/手册、管理性的程序文件等）。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8．承包人保证现场的安全管理专职人员必须持有建设主管部门安全生产培训考核合格证书。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9．承包人保证为现场所有工作人员（含分包商员工及劳务人员）配备符合国家标准的有承包人和/或其下属分包商标志的个人基本劳动保护用品。</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10．承包人保证按照国家法律规定为现场所有工作人员（含分包商员工及劳务人员）购买意外伤害保险。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11．承包人保证施工生活营地（包括自建的和租用的营地）满足消防、安全用电、卫生防疫、防暴雨、防雷击等方面的安全要求。</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12．承包人保证对带入现场的设备、工具、材料按照国家法规和标准进行检测、试验，并持有法定部门出具的检验证书。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13．承包人保证制订施工现场的文明施工措施，保护环境、树木和植被，保持施工现场的良好秩序和整洁的作业环境。</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14．承包人负责在施工过程中与当地政府、周边群众及其他承包商保持良好的沟通和交流。承包人遇到与周边群众发生纠纷时，应负责协调工作，确保工程能够顺利进行。</w:t>
      </w:r>
    </w:p>
    <w:p>
      <w:pPr>
        <w:widowControl/>
        <w:spacing w:line="360" w:lineRule="auto"/>
        <w:ind w:firstLine="420" w:firstLineChars="200"/>
        <w:jc w:val="left"/>
        <w:rPr>
          <w:rFonts w:ascii="宋体" w:hAnsi="宋体" w:cs="宋体"/>
          <w:kern w:val="0"/>
        </w:rPr>
      </w:pPr>
      <w:bookmarkStart w:id="3119" w:name="_Toc247418267"/>
      <w:bookmarkEnd w:id="3119"/>
      <w:bookmarkStart w:id="3120" w:name="_Toc239510293"/>
      <w:bookmarkEnd w:id="3120"/>
      <w:bookmarkStart w:id="3121" w:name="_Toc247431427"/>
      <w:bookmarkEnd w:id="3121"/>
      <w:bookmarkStart w:id="3122" w:name="_Toc532375703"/>
      <w:r>
        <w:rPr>
          <w:rFonts w:hint="eastAsia" w:ascii="宋体" w:hAnsi="宋体" w:cs="宋体"/>
          <w:kern w:val="0"/>
          <w:szCs w:val="21"/>
          <w:lang w:bidi="ar"/>
        </w:rPr>
        <w:t>四、接口及协调</w:t>
      </w:r>
      <w:bookmarkEnd w:id="3122"/>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1．发包人委托监理公司对该工程实施监理，监理公司在安全管理方面代表发包人行使监督检查职能，承包人必须给予配合和支持。</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2．承包人人员、车辆的出入，带入现场的设备、机具、材料，在现场使用的或直接管理的办公、生活、生产性设施的安全管理须满足发包人现场管理的基本要求。</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3．承包人应指定专职安全管理人员与发包人委托的监理公司接口，参与安全协调和管理。安全协调和管理的内容包括职业健康、工业安全、消防安全、卫生防疫、交通安全、环境保护、治安保卫等各方面。</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5．承包人指定的专职安全管理人员应与发包人委托的监理公司建立联系，在业务上接受发包人委托的监理公司的协调和指导。</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6．开工后承包人的专职安全管理人员应按照发包人委托的监理公司的规定，定期报送安全月度快报、季报、年报和各种专项事故报告等。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7．在工程实体未全部正式移交发包人施工管理部门之前，承包人依旧对施工范围内的安全管理负责。</w:t>
      </w:r>
    </w:p>
    <w:p>
      <w:pPr>
        <w:widowControl/>
        <w:spacing w:line="360" w:lineRule="auto"/>
        <w:ind w:firstLine="420" w:firstLineChars="200"/>
        <w:jc w:val="left"/>
        <w:rPr>
          <w:rFonts w:ascii="宋体" w:hAnsi="宋体" w:cs="宋体"/>
          <w:kern w:val="0"/>
        </w:rPr>
      </w:pPr>
      <w:bookmarkStart w:id="3123" w:name="_Toc239510294"/>
      <w:bookmarkEnd w:id="3123"/>
      <w:bookmarkStart w:id="3124" w:name="_Toc247418268"/>
      <w:bookmarkEnd w:id="3124"/>
      <w:bookmarkStart w:id="3125" w:name="_Toc247431428"/>
      <w:bookmarkEnd w:id="3125"/>
      <w:bookmarkStart w:id="3126" w:name="_Toc532375704"/>
      <w:r>
        <w:rPr>
          <w:rFonts w:hint="eastAsia" w:ascii="宋体" w:hAnsi="宋体" w:cs="宋体"/>
          <w:kern w:val="0"/>
          <w:szCs w:val="21"/>
          <w:lang w:bidi="ar"/>
        </w:rPr>
        <w:t>五、安全资质审查</w:t>
      </w:r>
      <w:bookmarkEnd w:id="3126"/>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承包人在项目开工前5个工作天内向发包人委托的监理公司提供以下安全资质供审查和存档：</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1．企业安全生产许可证书复印件。</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2．企业近三年的施工简历及安全施工业绩证明文件。</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3．企业主要安全管理人员（包括项目经理、专职安全管理人员）经建设主管部门安全生产知识考核合格证书。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4．特种作业人员资格证书。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5．项目安全管理机构及其人员配备（承包人必须配有专职的安全员）。</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6．适用于项目的安全管理体系及保证体系文件（安全管理大纲及管理程序文件）。</w:t>
      </w:r>
    </w:p>
    <w:p>
      <w:pPr>
        <w:widowControl/>
        <w:spacing w:line="360" w:lineRule="auto"/>
        <w:ind w:firstLine="420" w:firstLineChars="200"/>
        <w:jc w:val="left"/>
        <w:rPr>
          <w:rFonts w:ascii="宋体" w:hAnsi="宋体" w:cs="宋体"/>
          <w:kern w:val="0"/>
        </w:rPr>
      </w:pPr>
      <w:bookmarkStart w:id="3127" w:name="_Toc247418269"/>
      <w:bookmarkEnd w:id="3127"/>
      <w:bookmarkStart w:id="3128" w:name="_Toc247431429"/>
      <w:bookmarkEnd w:id="3128"/>
      <w:bookmarkStart w:id="3129" w:name="_Toc239510295"/>
      <w:bookmarkEnd w:id="3129"/>
      <w:bookmarkStart w:id="3130" w:name="_Toc532375705"/>
      <w:r>
        <w:rPr>
          <w:rFonts w:hint="eastAsia" w:ascii="宋体" w:hAnsi="宋体" w:cs="宋体"/>
          <w:kern w:val="0"/>
          <w:szCs w:val="21"/>
          <w:lang w:bidi="ar"/>
        </w:rPr>
        <w:t>六、人员基本素质</w:t>
      </w:r>
      <w:bookmarkEnd w:id="3130"/>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承包人提供的人员必须满足下列要求：</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1．身体健康，无影响工作的精神疾病、无传染病和其他重大疾病；承包人需对其雇用的施工人员签发健康声明并保证其健康。其中体检证明材料（县级以上医院）和健康声明作为人员办理入场证件的必备材料。</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2．无刑事案件牵连。</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3．无吸毒、酗酒、赌博、嫖娼等恶习及违法行为。</w:t>
      </w:r>
    </w:p>
    <w:p>
      <w:pPr>
        <w:widowControl/>
        <w:spacing w:line="360" w:lineRule="auto"/>
        <w:ind w:firstLine="420" w:firstLineChars="200"/>
        <w:jc w:val="left"/>
        <w:rPr>
          <w:rFonts w:ascii="宋体" w:hAnsi="宋体" w:cs="宋体"/>
          <w:kern w:val="0"/>
        </w:rPr>
      </w:pPr>
      <w:bookmarkStart w:id="3131" w:name="_Toc247418270"/>
      <w:bookmarkEnd w:id="3131"/>
      <w:bookmarkStart w:id="3132" w:name="_Toc247431430"/>
      <w:bookmarkEnd w:id="3132"/>
      <w:bookmarkStart w:id="3133" w:name="_Toc532375706"/>
      <w:bookmarkEnd w:id="3133"/>
      <w:bookmarkStart w:id="3134" w:name="_Toc239510296"/>
      <w:r>
        <w:rPr>
          <w:rFonts w:hint="eastAsia" w:ascii="宋体" w:hAnsi="宋体" w:cs="宋体"/>
          <w:kern w:val="0"/>
          <w:szCs w:val="21"/>
          <w:lang w:bidi="ar"/>
        </w:rPr>
        <w:t>七、劳动保护</w:t>
      </w:r>
      <w:bookmarkEnd w:id="3134"/>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1．承包人负责为本单位任何用工形式的员工提供个人劳动保护用品（包括工作服、安全帽、安全鞋等）。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2．承包人负责向特殊工种的员工提供特殊劳动保护，否则不得从事特殊工种作业。</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3．发包人委托的监理公司有权检查承包人的个人劳动保护用品是否符合国家的相应标准。</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 承包人在特殊风险场所作业而需要特殊防护用品或安全仪表时，必须在上述防护用品全部到位后才能开工。</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5．承包人应配备临时安全围栏、警示带、警告标志、防火布等集体防护用品。</w:t>
      </w:r>
    </w:p>
    <w:p>
      <w:pPr>
        <w:widowControl/>
        <w:spacing w:line="360" w:lineRule="auto"/>
        <w:ind w:firstLine="420" w:firstLineChars="200"/>
        <w:jc w:val="left"/>
        <w:rPr>
          <w:rFonts w:ascii="宋体" w:hAnsi="宋体" w:cs="宋体"/>
          <w:kern w:val="0"/>
        </w:rPr>
      </w:pPr>
      <w:bookmarkStart w:id="3135" w:name="_Toc247431431"/>
      <w:bookmarkEnd w:id="3135"/>
      <w:bookmarkStart w:id="3136" w:name="_Toc239510297"/>
      <w:bookmarkEnd w:id="3136"/>
      <w:bookmarkStart w:id="3137" w:name="_Toc247418271"/>
      <w:bookmarkEnd w:id="3137"/>
      <w:bookmarkStart w:id="3138" w:name="_Toc532375707"/>
      <w:r>
        <w:rPr>
          <w:rFonts w:hint="eastAsia" w:ascii="宋体" w:hAnsi="宋体" w:cs="宋体"/>
          <w:kern w:val="0"/>
          <w:szCs w:val="21"/>
          <w:lang w:bidi="ar"/>
        </w:rPr>
        <w:t>八、施工机具与材料</w:t>
      </w:r>
      <w:bookmarkEnd w:id="3138"/>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1．承包人对带入现场的施工机械和工器具的安全负责。</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2．对于承包人带入现场的特殊工器具，如起重设备、索具、机动车辆、压缩气瓶等，承包人必须按国家法规和标准进行检测、试验，并持有法定部门出具的检验证书。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3．对于不属于法定检测的工器具，承包人也必须建立相应的管理、检测制度，这些工器具包括登高工具、脚手架材料、电动工具、安全防护设备及用具等。</w:t>
      </w:r>
    </w:p>
    <w:p>
      <w:pPr>
        <w:widowControl/>
        <w:spacing w:line="360" w:lineRule="auto"/>
        <w:ind w:firstLine="420" w:firstLineChars="200"/>
        <w:jc w:val="left"/>
        <w:rPr>
          <w:rFonts w:ascii="宋体" w:hAnsi="宋体" w:cs="宋体"/>
          <w:kern w:val="0"/>
        </w:rPr>
      </w:pPr>
      <w:bookmarkStart w:id="3139" w:name="_Toc247431432"/>
      <w:bookmarkEnd w:id="3139"/>
      <w:bookmarkStart w:id="3140" w:name="_Toc247418272"/>
      <w:bookmarkEnd w:id="3140"/>
      <w:bookmarkStart w:id="3141" w:name="_Toc239510298"/>
      <w:bookmarkEnd w:id="3141"/>
      <w:bookmarkStart w:id="3142" w:name="_Toc532375708"/>
      <w:r>
        <w:rPr>
          <w:rFonts w:hint="eastAsia" w:ascii="宋体" w:hAnsi="宋体" w:cs="宋体"/>
          <w:kern w:val="0"/>
          <w:szCs w:val="21"/>
          <w:lang w:bidi="ar"/>
        </w:rPr>
        <w:t>九、开工前安全条件检查</w:t>
      </w:r>
      <w:bookmarkEnd w:id="3142"/>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3．发包人委托的监理公司检查发现的缺陷，承包人应在规定期限内完成整改。对于重大缺陷，发包人委托的监理公司有权要求承包人推迟开工，由此对工期产生的影响或经济损失，由承包人承担。</w:t>
      </w:r>
    </w:p>
    <w:p>
      <w:pPr>
        <w:widowControl/>
        <w:spacing w:line="360" w:lineRule="auto"/>
        <w:ind w:firstLine="420" w:firstLineChars="200"/>
        <w:jc w:val="left"/>
        <w:rPr>
          <w:rFonts w:ascii="宋体" w:hAnsi="宋体" w:cs="宋体"/>
          <w:kern w:val="0"/>
        </w:rPr>
      </w:pPr>
      <w:bookmarkStart w:id="3143" w:name="_Toc532375709"/>
      <w:bookmarkEnd w:id="3143"/>
      <w:bookmarkStart w:id="3144" w:name="_Toc247431433"/>
      <w:bookmarkEnd w:id="3144"/>
      <w:bookmarkStart w:id="3145" w:name="_Toc247418273"/>
      <w:bookmarkEnd w:id="3145"/>
      <w:bookmarkStart w:id="3146" w:name="_Toc239510299"/>
      <w:r>
        <w:rPr>
          <w:rFonts w:hint="eastAsia" w:ascii="宋体" w:hAnsi="宋体" w:cs="宋体"/>
          <w:kern w:val="0"/>
          <w:szCs w:val="21"/>
          <w:lang w:bidi="ar"/>
        </w:rPr>
        <w:t>十、安全监督</w:t>
      </w:r>
      <w:bookmarkEnd w:id="3146"/>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1．承包人应配备有满足项目安全管理需要的专职安全管理人员。</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2．承包人的专职安全管理人员必须持建设主管部门颁发的安全生产知识考核合格证书。</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3．承包人的专职安全管理人员在业务上接受发包人委托的监理公司和发包人安全管理部门的协调和指导。</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4．承包人应建立班前安全交底制度；施工期间坚持开展安全检查和日常安全监督并形成相应的记录。</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5．承包人应在每个作业区任命兼职安全员，赋予兼职安全员相应的授权和义务，并对兼职安全员进行定期考核。</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6．承包人应接受和配合发包人专业部门及委托的监理公司的监督与安全评价。</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7．发包人和委托的监理公司有权对承包人履行安全管理协议的情况进行监督，并有权对违章行为实行停工和处罚，处罚情况将通知承包人。涉及经济处罚时将直接通知合同管理部门从合同结算中扣除。</w:t>
      </w:r>
    </w:p>
    <w:p>
      <w:pPr>
        <w:widowControl/>
        <w:spacing w:line="360" w:lineRule="auto"/>
        <w:ind w:firstLine="420" w:firstLineChars="200"/>
        <w:jc w:val="left"/>
        <w:rPr>
          <w:rFonts w:ascii="宋体" w:hAnsi="宋体" w:cs="宋体"/>
          <w:kern w:val="0"/>
        </w:rPr>
      </w:pPr>
      <w:bookmarkStart w:id="3147" w:name="_Toc239510300"/>
      <w:bookmarkEnd w:id="3147"/>
      <w:bookmarkStart w:id="3148" w:name="_Toc532375710"/>
      <w:bookmarkEnd w:id="3148"/>
      <w:bookmarkStart w:id="3149" w:name="_Toc247418274"/>
      <w:bookmarkEnd w:id="3149"/>
      <w:bookmarkStart w:id="3150" w:name="_Toc247431434"/>
      <w:r>
        <w:rPr>
          <w:rFonts w:hint="eastAsia" w:ascii="宋体" w:hAnsi="宋体" w:cs="宋体"/>
          <w:kern w:val="0"/>
          <w:szCs w:val="21"/>
          <w:lang w:bidi="ar"/>
        </w:rPr>
        <w:t>十一、安全培训与授权</w:t>
      </w:r>
      <w:bookmarkEnd w:id="3150"/>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1．承包人所有特殊工种人员必须持证上岗，发包人和发包人委托的监理公司有权对其进行抽查。承包人要建立特殊工种定期培训和检查计划，这些工种包括但不限于：机动车驾驶员、焊工、起重工、电工等。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2．承包人应在特殊工种之外的其他工种中，筛选出高风险工种，并对其开展针对性的专题安全培训。</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3．承包人应组织 “入场培训”和考核。发包人委托的监理公司有权监督培训、考核情况或组织抽查考核。</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4．承包人应建立安全培训和考核机制，编制培训教材和培训滚动计划。承包人应组织安全考试/考核，建立培训考核记录，发包人委托的监理公司有权查看这些记录。</w:t>
      </w:r>
    </w:p>
    <w:p>
      <w:pPr>
        <w:widowControl/>
        <w:spacing w:line="360" w:lineRule="auto"/>
        <w:ind w:firstLine="420" w:firstLineChars="200"/>
        <w:jc w:val="left"/>
        <w:rPr>
          <w:rFonts w:ascii="宋体" w:hAnsi="宋体" w:cs="宋体"/>
          <w:kern w:val="0"/>
        </w:rPr>
      </w:pPr>
      <w:bookmarkStart w:id="3151" w:name="_Toc239510301"/>
      <w:bookmarkEnd w:id="3151"/>
      <w:bookmarkStart w:id="3152" w:name="_Toc247418275"/>
      <w:bookmarkEnd w:id="3152"/>
      <w:bookmarkStart w:id="3153" w:name="_Toc247431435"/>
      <w:bookmarkEnd w:id="3153"/>
      <w:bookmarkStart w:id="3154" w:name="_Toc532375711"/>
      <w:r>
        <w:rPr>
          <w:rFonts w:hint="eastAsia" w:ascii="宋体" w:hAnsi="宋体" w:cs="宋体"/>
          <w:kern w:val="0"/>
          <w:szCs w:val="21"/>
          <w:lang w:bidi="ar"/>
        </w:rPr>
        <w:t>十二、职业健康与卫生防疫</w:t>
      </w:r>
      <w:bookmarkEnd w:id="3154"/>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1．承包人应有特殊健康检查制度，预防有禁忌症患者从事有关职业，如恐高症患者不得从事高空作业，患有心血管疾病的人员不得从事繁重的体力劳动，特殊工种人员的体检应符合国家的规定。</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2．承包人应保证卫生防疫基本设施的投入，以满足医疗、急救的要求，建立外部医疗支持渠道。</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widowControl/>
        <w:spacing w:line="360" w:lineRule="auto"/>
        <w:ind w:firstLine="420" w:firstLineChars="200"/>
        <w:jc w:val="left"/>
        <w:rPr>
          <w:rFonts w:ascii="宋体" w:hAnsi="宋体" w:cs="宋体"/>
          <w:kern w:val="0"/>
        </w:rPr>
      </w:pPr>
      <w:bookmarkStart w:id="3155" w:name="_Toc532375712"/>
      <w:bookmarkEnd w:id="3155"/>
      <w:bookmarkStart w:id="3156" w:name="_Toc239510302"/>
      <w:bookmarkEnd w:id="3156"/>
      <w:bookmarkStart w:id="3157" w:name="_Toc247418276"/>
      <w:bookmarkEnd w:id="3157"/>
      <w:bookmarkStart w:id="3158" w:name="_Toc247431436"/>
      <w:r>
        <w:rPr>
          <w:rFonts w:hint="eastAsia" w:ascii="宋体" w:hAnsi="宋体" w:cs="宋体"/>
          <w:kern w:val="0"/>
          <w:szCs w:val="21"/>
          <w:lang w:bidi="ar"/>
        </w:rPr>
        <w:t>十三、文明施工与环保要求</w:t>
      </w:r>
      <w:bookmarkEnd w:id="3158"/>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1．承包人需制订施工现场的文明施工措施，保持良好的施工现场秩序。施工现场的物料堆放要摆放整齐，安全标志和宣传标志要清楚醒目，废料、废物要分类收集，安全通道要畅通。</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2．承包人作业时应避免建筑材料抛洒、飞扬、流淌；应尽可能降低噪音、震动。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3．承包人应根据实际需要，在施工现场布置临时卫生设施（洗手间、卫生间等），施工作业不破坏环境卫生，不污染现场环境。</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4．承包人在施工中应充分重视对环境的保护，保护绿色植被，保护古树。施工如需伤害古树，必须报告发包人委托的监理公司，在未得到指令前，禁止擅自伤害古树。</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6．承包人在施工中应禁止向环境，排放工业污水、生活污水、废油或其他有害物质。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widowControl/>
        <w:spacing w:line="360" w:lineRule="auto"/>
        <w:ind w:firstLine="420" w:firstLineChars="200"/>
        <w:jc w:val="left"/>
        <w:rPr>
          <w:rFonts w:ascii="宋体" w:hAnsi="宋体" w:cs="宋体"/>
          <w:kern w:val="0"/>
        </w:rPr>
      </w:pPr>
      <w:bookmarkStart w:id="3159" w:name="_Toc239510303"/>
      <w:bookmarkEnd w:id="3159"/>
      <w:bookmarkStart w:id="3160" w:name="_Toc247418277"/>
      <w:bookmarkEnd w:id="3160"/>
      <w:bookmarkStart w:id="3161" w:name="_Toc247431437"/>
      <w:bookmarkEnd w:id="3161"/>
      <w:bookmarkStart w:id="3162" w:name="_Toc532375713"/>
      <w:r>
        <w:rPr>
          <w:rFonts w:hint="eastAsia" w:ascii="宋体" w:hAnsi="宋体" w:cs="宋体"/>
          <w:kern w:val="0"/>
          <w:szCs w:val="21"/>
          <w:lang w:bidi="ar"/>
        </w:rPr>
        <w:t>十四、工程风险管理与事故预防</w:t>
      </w:r>
      <w:bookmarkEnd w:id="3162"/>
    </w:p>
    <w:p>
      <w:pPr>
        <w:widowControl/>
        <w:spacing w:line="360" w:lineRule="auto"/>
        <w:ind w:firstLine="420" w:firstLineChars="200"/>
        <w:jc w:val="left"/>
        <w:rPr>
          <w:rFonts w:ascii="宋体" w:hAnsi="宋体" w:cs="宋体"/>
          <w:kern w:val="0"/>
        </w:rPr>
      </w:pPr>
      <w:bookmarkStart w:id="3163" w:name="_Toc247418278"/>
      <w:bookmarkEnd w:id="3163"/>
      <w:bookmarkStart w:id="3164" w:name="_Toc247431438"/>
      <w:bookmarkEnd w:id="3164"/>
      <w:bookmarkStart w:id="3165" w:name="_Toc239510304"/>
      <w:r>
        <w:rPr>
          <w:rFonts w:hint="eastAsia" w:ascii="宋体" w:hAnsi="宋体" w:cs="宋体"/>
          <w:kern w:val="0"/>
          <w:szCs w:val="21"/>
          <w:lang w:bidi="ar"/>
        </w:rPr>
        <w:t>（一）基本要求</w:t>
      </w:r>
      <w:bookmarkEnd w:id="3165"/>
    </w:p>
    <w:p>
      <w:pPr>
        <w:widowControl/>
        <w:spacing w:line="360" w:lineRule="auto"/>
        <w:ind w:firstLine="420" w:firstLineChars="200"/>
        <w:jc w:val="left"/>
        <w:rPr>
          <w:rFonts w:ascii="宋体" w:hAnsi="宋体" w:cs="宋体"/>
          <w:kern w:val="0"/>
        </w:rPr>
      </w:pPr>
      <w:bookmarkStart w:id="3166" w:name="_Toc532375714"/>
      <w:bookmarkEnd w:id="3166"/>
      <w:r>
        <w:rPr>
          <w:rFonts w:hint="eastAsia" w:ascii="宋体" w:hAnsi="宋体" w:cs="宋体"/>
          <w:kern w:val="0"/>
          <w:szCs w:val="21"/>
          <w:lang w:bidi="ar"/>
        </w:rPr>
        <w:t>1．承包人应对施工过程进行全面、深入的危险源识别和风险分析。在施工安全组织设计中提供危险源及重要危险源清单、作业风险分析报告，该报告应包括（但不限于）如下信息：</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（1）高风险作业和工种清单：作业名称、类别和数量、主要事故风险。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（2）施工能源和机械的种类、数量和主要事故风险。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（3）施工作业条件的类型和主要事故风险。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（4）主要工艺过程（或施工活动）的类别及其相关的事故风险。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（5）主要火灾危险（可燃物、点火源）。</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（6）主要自然灾害（洪水、大风、雷暴、暴雨、地质灾害等）。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（7）主要环境保护事件（有害垃圾、机械的跑冒滴漏、原材料流失、水土流失等）。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（8）其他。</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2．承包人应针对识别出的危险源制定有针对性的事故预防措施并确保在施工中得到有效落实。</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3．承包人应建立日常施工活动的动态作业风险分析和安全交底制度。该制度应明确规定风险分析的方法、责任和交底的内容、时间及记录。</w:t>
      </w:r>
    </w:p>
    <w:p>
      <w:pPr>
        <w:widowControl/>
        <w:spacing w:line="360" w:lineRule="auto"/>
        <w:ind w:firstLine="420" w:firstLineChars="200"/>
        <w:jc w:val="left"/>
        <w:rPr>
          <w:rFonts w:ascii="宋体" w:hAnsi="宋体" w:cs="宋体"/>
          <w:kern w:val="0"/>
        </w:rPr>
      </w:pPr>
      <w:bookmarkStart w:id="3167" w:name="_Toc247418279"/>
      <w:bookmarkEnd w:id="3167"/>
      <w:bookmarkStart w:id="3168" w:name="_Toc239510305"/>
      <w:bookmarkEnd w:id="3168"/>
      <w:bookmarkStart w:id="3169" w:name="_Toc247431439"/>
      <w:r>
        <w:rPr>
          <w:rFonts w:hint="eastAsia" w:ascii="宋体" w:hAnsi="宋体" w:cs="宋体"/>
          <w:kern w:val="0"/>
          <w:szCs w:val="21"/>
          <w:lang w:bidi="ar"/>
        </w:rPr>
        <w:t>（二）现场作业基本安全条件</w:t>
      </w:r>
      <w:bookmarkEnd w:id="3169"/>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widowControl/>
        <w:spacing w:line="360" w:lineRule="auto"/>
        <w:ind w:firstLine="420" w:firstLineChars="200"/>
        <w:jc w:val="left"/>
        <w:rPr>
          <w:rFonts w:ascii="宋体" w:hAnsi="宋体" w:cs="宋体"/>
          <w:kern w:val="0"/>
        </w:rPr>
      </w:pPr>
      <w:bookmarkStart w:id="3170" w:name="_Toc247418280"/>
      <w:bookmarkEnd w:id="3170"/>
      <w:bookmarkStart w:id="3171" w:name="_Toc239510306"/>
      <w:bookmarkEnd w:id="3171"/>
      <w:bookmarkStart w:id="3172" w:name="_Toc247431440"/>
      <w:bookmarkEnd w:id="3172"/>
      <w:bookmarkStart w:id="3173" w:name="_Toc532375715"/>
      <w:r>
        <w:rPr>
          <w:rFonts w:hint="eastAsia" w:ascii="宋体" w:hAnsi="宋体" w:cs="宋体"/>
          <w:kern w:val="0"/>
          <w:szCs w:val="21"/>
          <w:lang w:bidi="ar"/>
        </w:rPr>
        <w:t>十五、事故报告与应急救援</w:t>
      </w:r>
      <w:bookmarkEnd w:id="3173"/>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1．承包人应制定对于未遂事故及以上级别的安全事件和事故，定期报送安全月度快报、季报、年报和各种专项事故报告等。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2．承包人应建立安全事故统计记录、未遂事故统计记录、违章统计记录，并根据统计情况进行分析，并就分析结果制定相应的预防措施。</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3．承包人应建立事故应急救援机制，明确事故处置的基本原则，即现场发生事故时，首先抢救生命，向救援组织报警，并采取措施限制事故扩大。</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4．承包人应建立相应的应急响应组织，以便能迅速处理突发意外。</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5．承包人应建立专项应急响应预案，包括重大人身伤亡事故的救护预案、火灾响应预案、“四防”预案（防风、防冻、防雷、防暴雨）、重大疫病防护预案、环境污染防护预案、地质灾害防护预案等。</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6．承包人应对应急预案进行适当演练，保证应急预案的可操作性。</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7．在工地的其他施工单位发生重大事故时，承包人应无条件立即配合、支持事故抢险。</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8．承包人必须为事故处置支付各项费用，包括受伤者的抚恤、补偿等费用，并按合同要求赔偿对发包人造成的损失。</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9．由于发包人原因而造成的事故，发包人应负责按事故的具体损失情况给予承包人经济赔偿。</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10．涉及承包人员工的伤害事故，承包人除要报告发包人委托的监理公司外，还应负责按照国家、行业和本单位上级公司的要求，上报事故。</w:t>
      </w:r>
    </w:p>
    <w:p>
      <w:pPr>
        <w:widowControl/>
        <w:spacing w:line="360" w:lineRule="auto"/>
        <w:ind w:firstLine="420" w:firstLineChars="200"/>
        <w:jc w:val="left"/>
        <w:rPr>
          <w:rFonts w:ascii="宋体" w:hAnsi="宋体" w:cs="宋体"/>
          <w:kern w:val="0"/>
        </w:rPr>
      </w:pPr>
      <w:bookmarkStart w:id="3174" w:name="_Toc247431441"/>
      <w:bookmarkEnd w:id="3174"/>
      <w:bookmarkStart w:id="3175" w:name="_Toc247418281"/>
      <w:bookmarkEnd w:id="3175"/>
      <w:bookmarkStart w:id="3176" w:name="_Toc532375716"/>
      <w:bookmarkEnd w:id="3176"/>
      <w:bookmarkStart w:id="3177" w:name="_Toc239510307"/>
      <w:r>
        <w:rPr>
          <w:rFonts w:hint="eastAsia" w:ascii="宋体" w:hAnsi="宋体" w:cs="宋体"/>
          <w:kern w:val="0"/>
          <w:szCs w:val="21"/>
          <w:lang w:bidi="ar"/>
        </w:rPr>
        <w:t>十六、安全业绩考核</w:t>
      </w:r>
      <w:bookmarkEnd w:id="3177"/>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为了落实安全管理的责任，承包人在施工过程中发生安全事故时，承包人除应按国家有关规定承担责任和处罚外，发包人还将按照以下标准进行考核：</w:t>
      </w:r>
    </w:p>
    <w:tbl>
      <w:tblPr>
        <w:tblStyle w:val="45"/>
        <w:tblW w:w="7005" w:type="dxa"/>
        <w:jc w:val="center"/>
        <w:tblInd w:w="0" w:type="dxa"/>
        <w:tblLayout w:type="fixed"/>
        <w:tblCellMar>
          <w:top w:w="0" w:type="dxa"/>
          <w:left w:w="0" w:type="dxa"/>
          <w:bottom w:w="0" w:type="dxa"/>
          <w:right w:w="0" w:type="dxa"/>
        </w:tblCellMar>
      </w:tblPr>
      <w:tblGrid>
        <w:gridCol w:w="3240"/>
        <w:gridCol w:w="3765"/>
      </w:tblGrid>
      <w:tr>
        <w:tblPrEx>
          <w:tblLayout w:type="fixed"/>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rPr>
                <w:rFonts w:ascii="宋体" w:hAnsi="宋体" w:cs="宋体"/>
                <w:kern w:val="0"/>
              </w:rPr>
            </w:pPr>
            <w:r>
              <w:rPr>
                <w:rFonts w:hint="eastAsia" w:ascii="宋体" w:hAnsi="宋体" w:cs="宋体"/>
                <w:kern w:val="0"/>
                <w:szCs w:val="21"/>
                <w:lang w:bidi="ar"/>
              </w:rPr>
              <w:t>事件类型</w:t>
            </w:r>
          </w:p>
        </w:tc>
        <w:tc>
          <w:tcPr>
            <w:tcW w:w="376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widowControl/>
              <w:jc w:val="center"/>
              <w:rPr>
                <w:rFonts w:ascii="宋体" w:hAnsi="宋体" w:cs="宋体"/>
                <w:kern w:val="0"/>
              </w:rPr>
            </w:pPr>
            <w:r>
              <w:rPr>
                <w:rFonts w:hint="eastAsia" w:ascii="宋体" w:hAnsi="宋体" w:cs="宋体"/>
                <w:kern w:val="0"/>
                <w:szCs w:val="21"/>
                <w:lang w:bidi="ar"/>
              </w:rPr>
              <w:t>违约金额</w:t>
            </w:r>
          </w:p>
        </w:tc>
      </w:tr>
      <w:tr>
        <w:tblPrEx>
          <w:tblLayout w:type="fixed"/>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rPr>
                <w:rFonts w:ascii="宋体" w:hAnsi="宋体" w:cs="宋体"/>
                <w:kern w:val="0"/>
              </w:rPr>
            </w:pPr>
            <w:r>
              <w:rPr>
                <w:rFonts w:hint="eastAsia" w:ascii="宋体" w:hAnsi="宋体" w:cs="宋体"/>
                <w:kern w:val="0"/>
                <w:szCs w:val="21"/>
                <w:lang w:bidi="ar"/>
              </w:rPr>
              <w:t>较大事故</w:t>
            </w:r>
          </w:p>
        </w:tc>
        <w:tc>
          <w:tcPr>
            <w:tcW w:w="376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kern w:val="0"/>
              </w:rPr>
            </w:pPr>
            <w:r>
              <w:rPr>
                <w:rFonts w:hint="eastAsia" w:ascii="宋体" w:hAnsi="宋体" w:cs="宋体"/>
                <w:kern w:val="0"/>
                <w:szCs w:val="21"/>
                <w:lang w:bidi="ar"/>
              </w:rPr>
              <w:t>签约合同价的0.5‰</w:t>
            </w:r>
          </w:p>
        </w:tc>
      </w:tr>
      <w:tr>
        <w:tblPrEx>
          <w:tblLayout w:type="fixed"/>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rPr>
                <w:rFonts w:ascii="宋体" w:hAnsi="宋体" w:cs="宋体"/>
                <w:kern w:val="0"/>
              </w:rPr>
            </w:pPr>
            <w:r>
              <w:rPr>
                <w:rFonts w:hint="eastAsia" w:ascii="宋体" w:hAnsi="宋体" w:cs="宋体"/>
                <w:kern w:val="0"/>
                <w:szCs w:val="21"/>
                <w:lang w:bidi="ar"/>
              </w:rPr>
              <w:t>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kern w:val="0"/>
              </w:rPr>
            </w:pPr>
            <w:r>
              <w:rPr>
                <w:rFonts w:hint="eastAsia" w:ascii="宋体" w:hAnsi="宋体" w:cs="宋体"/>
                <w:kern w:val="0"/>
                <w:szCs w:val="21"/>
                <w:lang w:bidi="ar"/>
              </w:rPr>
              <w:t>签约合同价的2‰</w:t>
            </w:r>
          </w:p>
        </w:tc>
      </w:tr>
      <w:tr>
        <w:tblPrEx>
          <w:tblLayout w:type="fixed"/>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rPr>
                <w:rFonts w:ascii="宋体" w:hAnsi="宋体" w:cs="宋体"/>
                <w:kern w:val="0"/>
              </w:rPr>
            </w:pPr>
            <w:r>
              <w:rPr>
                <w:rFonts w:hint="eastAsia" w:ascii="宋体" w:hAnsi="宋体" w:cs="宋体"/>
                <w:kern w:val="0"/>
                <w:szCs w:val="21"/>
                <w:lang w:bidi="ar"/>
              </w:rPr>
              <w:t>特别重大事故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kern w:val="0"/>
              </w:rPr>
            </w:pPr>
            <w:r>
              <w:rPr>
                <w:rFonts w:hint="eastAsia" w:ascii="宋体" w:hAnsi="宋体" w:cs="宋体"/>
                <w:kern w:val="0"/>
                <w:szCs w:val="21"/>
                <w:lang w:bidi="ar"/>
              </w:rPr>
              <w:t>签约合同价的4‰</w:t>
            </w:r>
          </w:p>
        </w:tc>
      </w:tr>
    </w:tbl>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（1）较大事故，是指造成3人以上10人以下死亡，或者10人以上50人以下重伤，或者1000万元以上5000万元以下直接经济损失的事故；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（2）重大事故，是指造成10人以上30人以下死亡，或者50人以上100人以下重伤，或者5000万元以上1亿元以下直接经济损失的事故；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（3）特别重大事故，是指造成30人以上死亡，或者100人以上重伤（包括急性工业中毒，下同），或者1亿元以上直接经济损失的事故；</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（4）所称的“以上”包括本数，所称的“以下”不包括本数。</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（5）如整个施工过程未发生以上安全事故，则给予承包人建安费总额的1‰的安全奖励。</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widowControl/>
        <w:spacing w:line="360" w:lineRule="auto"/>
        <w:ind w:firstLine="420" w:firstLineChars="200"/>
        <w:jc w:val="left"/>
        <w:rPr>
          <w:rFonts w:ascii="宋体" w:hAnsi="宋体" w:cs="宋体"/>
          <w:kern w:val="0"/>
        </w:rPr>
      </w:pPr>
      <w:bookmarkStart w:id="3178" w:name="_Toc532375717"/>
      <w:bookmarkEnd w:id="3178"/>
      <w:bookmarkStart w:id="3179" w:name="_Toc239510308"/>
      <w:bookmarkEnd w:id="3179"/>
      <w:bookmarkStart w:id="3180" w:name="_Toc247418282"/>
      <w:bookmarkEnd w:id="3180"/>
      <w:bookmarkStart w:id="3181" w:name="_Toc247431442"/>
      <w:r>
        <w:rPr>
          <w:rFonts w:hint="eastAsia" w:ascii="宋体" w:hAnsi="宋体" w:cs="宋体"/>
          <w:kern w:val="0"/>
          <w:szCs w:val="21"/>
          <w:lang w:bidi="ar"/>
        </w:rPr>
        <w:t>十七、协议条款的修订</w:t>
      </w:r>
      <w:bookmarkEnd w:id="3181"/>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在项目实施过程中，经双方友好协商，本协议的有关条款也可做出相应的修改。</w:t>
      </w:r>
    </w:p>
    <w:p>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本工程安全管理协议，由发包人、承包人双方在施工承包合同签订后7天内共同签署，作为施工合同附件。</w:t>
      </w:r>
    </w:p>
    <w:p>
      <w:pPr>
        <w:widowControl/>
        <w:spacing w:line="360" w:lineRule="auto"/>
        <w:ind w:firstLine="420" w:firstLineChars="200"/>
        <w:jc w:val="left"/>
        <w:rPr>
          <w:lang w:bidi="ar"/>
        </w:rPr>
      </w:pPr>
      <w:r>
        <w:rPr>
          <w:rFonts w:hint="eastAsia"/>
          <w:lang w:bidi="ar"/>
        </w:rPr>
        <w:t>（以下无正文）</w:t>
      </w:r>
    </w:p>
    <w:p>
      <w:pPr>
        <w:pStyle w:val="2"/>
        <w:rPr>
          <w:lang w:bidi="ar"/>
        </w:rPr>
      </w:pPr>
    </w:p>
    <w:p>
      <w:pPr>
        <w:pStyle w:val="2"/>
        <w:rPr>
          <w:lang w:bidi="ar"/>
        </w:rPr>
      </w:pP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发  包  人（公章）：</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法定代表人（签名）：</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或其委托代理人（签名）：</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  包  人（公章）：</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法定代表人（签名）：</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或其委托代理人（签名）：</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szCs w:val="21"/>
          <w:lang w:bidi="ar"/>
        </w:rPr>
        <w:br w:type="page"/>
      </w:r>
    </w:p>
    <w:p>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3182" w:name="_Toc22861"/>
      <w:bookmarkStart w:id="3183" w:name="_Toc4344"/>
      <w:bookmarkStart w:id="3184" w:name="_Toc23428"/>
      <w:bookmarkStart w:id="3185" w:name="_Toc20998"/>
      <w:r>
        <w:rPr>
          <w:rFonts w:hint="eastAsia" w:ascii="宋体" w:hAnsi="宋体" w:cs="宋体"/>
          <w:b/>
          <w:kern w:val="0"/>
          <w:szCs w:val="21"/>
          <w:lang w:bidi="ar"/>
        </w:rPr>
        <w:t>附件1</w:t>
      </w:r>
      <w:r>
        <w:rPr>
          <w:rFonts w:ascii="宋体" w:hAnsi="宋体" w:cs="宋体"/>
          <w:b/>
          <w:kern w:val="0"/>
          <w:szCs w:val="21"/>
          <w:lang w:bidi="ar"/>
        </w:rPr>
        <w:t>0</w:t>
      </w:r>
      <w:r>
        <w:rPr>
          <w:rFonts w:hint="eastAsia" w:ascii="宋体" w:hAnsi="宋体" w:cs="宋体"/>
          <w:b/>
          <w:kern w:val="0"/>
          <w:szCs w:val="21"/>
          <w:lang w:bidi="ar"/>
        </w:rPr>
        <w:t xml:space="preserve"> 保障建筑工人工资支付协议</w:t>
      </w:r>
      <w:bookmarkEnd w:id="3182"/>
      <w:bookmarkEnd w:id="3183"/>
      <w:bookmarkEnd w:id="3184"/>
      <w:bookmarkEnd w:id="3185"/>
    </w:p>
    <w:p>
      <w:pPr>
        <w:widowControl/>
        <w:jc w:val="left"/>
        <w:rPr>
          <w:rFonts w:ascii="宋体" w:hAnsi="宋体" w:cs="宋体"/>
          <w:kern w:val="0"/>
        </w:rPr>
      </w:pPr>
      <w:r>
        <w:rPr>
          <w:rFonts w:hint="eastAsia" w:ascii="宋体" w:hAnsi="宋体" w:cs="宋体"/>
          <w:kern w:val="0"/>
          <w:szCs w:val="21"/>
          <w:lang w:bidi="ar"/>
        </w:rPr>
        <w:t xml:space="preserve"> </w:t>
      </w:r>
    </w:p>
    <w:p>
      <w:pPr>
        <w:widowControl/>
        <w:spacing w:line="360" w:lineRule="auto"/>
        <w:jc w:val="left"/>
        <w:rPr>
          <w:rFonts w:ascii="宋体" w:hAnsi="宋体" w:cs="宋体"/>
          <w:kern w:val="0"/>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pPr>
        <w:widowControl/>
        <w:spacing w:line="360" w:lineRule="auto"/>
        <w:jc w:val="left"/>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为贯彻落实</w:t>
      </w:r>
      <w:r>
        <w:rPr>
          <w:rFonts w:hint="eastAsia" w:ascii="宋体" w:hAnsi="宋体"/>
          <w:szCs w:val="21"/>
          <w:u w:val="single"/>
        </w:rPr>
        <w:t>《保障农民工工资支付条例》（中华人民共和国国务院令第724号）及国家和重庆市现行有关农民工工资支付规定</w:t>
      </w:r>
      <w:r>
        <w:rPr>
          <w:rFonts w:hint="eastAsia" w:ascii="宋体" w:hAnsi="宋体" w:cs="宋体"/>
          <w:kern w:val="0"/>
          <w:szCs w:val="21"/>
          <w:lang w:bidi="ar"/>
        </w:rPr>
        <w:t>，健全预防和解决拖欠建筑工人工资问题的长效机制，切实保障建筑工人劳动报酬权益，维护社会公平正义，促进社会和谐稳定。经</w:t>
      </w:r>
      <w:r>
        <w:rPr>
          <w:rFonts w:hint="eastAsia" w:ascii="宋体" w:hAnsi="宋体" w:cs="宋体"/>
          <w:kern w:val="0"/>
          <w:szCs w:val="21"/>
          <w:lang w:val="en-US" w:eastAsia="zh-CN" w:bidi="ar"/>
        </w:rPr>
        <w:t>发承包</w:t>
      </w:r>
      <w:r>
        <w:rPr>
          <w:rFonts w:hint="eastAsia" w:ascii="宋体" w:hAnsi="宋体" w:cs="宋体"/>
          <w:kern w:val="0"/>
          <w:szCs w:val="21"/>
          <w:lang w:bidi="ar"/>
        </w:rPr>
        <w:t>双方结合实际情况，友好协商，达成如下协议：</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一、承包人申报工程进度款时，应对上月已支付工程款用于建筑工人工资发放的情况进行说明，并附建筑工人代表按时足额收取了工资的签名确认书。监理单位应对相关情况说明和签名确认书（详附件）进行审查签名后，与工程进度款申报资料一并提交给发包人。发包人审核合格后，才进行当期工程进度款的支付。</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由于工程进度款申报和审查需一定时间，其与建筑工人工资发放时间存在一定时间的延后，承包人应具有垫付不低于3个月建筑工人工资能力。承包人在本补充协议签订后申请的第一笔工程进度款时应出具垫付不低于3个月建筑工人工资的书面承诺给发包人。发包人将承包人是否做出承诺作为支付工程进度款的前提条件之一。</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三、承包人每月10日前将本月作业班组、班组人数、建筑工人身份信息等报监理单位，10日～15日分别以作业班组为小组，每小组自行选举产生一名建筑工人代表，监理单位应全程监督，选举结果与当期工程款支付申请一并报送发包人。</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四、若发现承包人有下列事项的，发包人在支付当期进度款时暂扣当期应支付进度款5%比例的款项。</w:t>
      </w:r>
      <w:r>
        <w:rPr>
          <w:rFonts w:hint="eastAsia" w:ascii="宋体" w:hAnsi="宋体" w:cs="宋体"/>
          <w:kern w:val="0"/>
          <w:szCs w:val="21"/>
          <w:lang w:bidi="ar"/>
        </w:rPr>
        <w:br w:type="textWrapping"/>
      </w:r>
      <w:r>
        <w:rPr>
          <w:rFonts w:hint="eastAsia" w:ascii="宋体" w:hAnsi="宋体" w:cs="宋体"/>
          <w:kern w:val="0"/>
          <w:szCs w:val="21"/>
          <w:lang w:bidi="ar"/>
        </w:rPr>
        <w:t xml:space="preserve">    （一）现场检查发现项目存在拖欠建筑工人工资情况并经核查属实的；</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（二）相关行政管理部门检查发现存在拖欠建筑工人工资情况并经核查属实的；</w:t>
      </w:r>
      <w:r>
        <w:rPr>
          <w:rFonts w:hint="eastAsia" w:ascii="宋体" w:hAnsi="宋体" w:cs="宋体"/>
          <w:kern w:val="0"/>
          <w:szCs w:val="21"/>
          <w:lang w:bidi="ar"/>
        </w:rPr>
        <w:br w:type="textWrapping"/>
      </w:r>
      <w:r>
        <w:rPr>
          <w:rFonts w:hint="eastAsia" w:ascii="宋体" w:hAnsi="宋体" w:cs="宋体"/>
          <w:kern w:val="0"/>
          <w:szCs w:val="21"/>
          <w:lang w:bidi="ar"/>
        </w:rPr>
        <w:t xml:space="preserve">    （三）有拖欠建筑工人工资投诉事项并经核查属实的。</w:t>
      </w:r>
      <w:r>
        <w:rPr>
          <w:rFonts w:hint="eastAsia" w:ascii="宋体" w:hAnsi="宋体" w:cs="宋体"/>
          <w:kern w:val="0"/>
          <w:szCs w:val="21"/>
          <w:lang w:bidi="ar"/>
        </w:rPr>
        <w:br w:type="textWrapping"/>
      </w:r>
      <w:r>
        <w:rPr>
          <w:rFonts w:hint="eastAsia" w:ascii="宋体" w:hAnsi="宋体" w:cs="宋体"/>
          <w:kern w:val="0"/>
          <w:szCs w:val="21"/>
          <w:lang w:bidi="ar"/>
        </w:rPr>
        <w:t xml:space="preserve">    五、对发现的存在拖欠建筑工人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六、本协议经双方法定代表人或委托代理人签名并加盖公章后生效，履行完毕后自然失效。</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附件：</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1、关于建筑工人工资发放情况的说明表</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（以下无正文）</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发包人：</w:t>
      </w:r>
      <w:r>
        <w:rPr>
          <w:rFonts w:hint="eastAsia" w:ascii="宋体" w:hAnsi="宋体" w:cs="宋体"/>
          <w:kern w:val="0"/>
          <w:szCs w:val="21"/>
          <w:u w:val="single"/>
          <w:lang w:bidi="ar"/>
        </w:rPr>
        <w:t xml:space="preserve">       </w:t>
      </w:r>
      <w:r>
        <w:rPr>
          <w:rFonts w:hint="eastAsia" w:ascii="宋体" w:hAnsi="宋体" w:cs="宋体"/>
          <w:kern w:val="0"/>
          <w:szCs w:val="21"/>
          <w:lang w:bidi="ar"/>
        </w:rPr>
        <w:t>（发包人）</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或委托代理人：</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联系人：</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w:t>
      </w:r>
      <w:r>
        <w:rPr>
          <w:rFonts w:hint="eastAsia" w:ascii="宋体" w:hAnsi="宋体" w:cs="宋体"/>
          <w:kern w:val="0"/>
          <w:szCs w:val="21"/>
          <w:u w:val="single"/>
          <w:lang w:bidi="ar"/>
        </w:rPr>
        <w:t xml:space="preserve">       </w:t>
      </w:r>
      <w:r>
        <w:rPr>
          <w:rFonts w:hint="eastAsia" w:ascii="宋体" w:hAnsi="宋体" w:cs="宋体"/>
          <w:kern w:val="0"/>
          <w:szCs w:val="21"/>
          <w:lang w:bidi="ar"/>
        </w:rPr>
        <w:t>（承包人）</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或委托代理人：</w:t>
      </w:r>
      <w:r>
        <w:rPr>
          <w:rFonts w:hint="eastAsia" w:ascii="宋体" w:hAnsi="宋体" w:cs="宋体"/>
          <w:kern w:val="0"/>
          <w:szCs w:val="21"/>
          <w:u w:val="single"/>
          <w:lang w:bidi="ar"/>
        </w:rPr>
        <w:t xml:space="preserve">       </w:t>
      </w:r>
    </w:p>
    <w:p>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联系人：</w:t>
      </w:r>
      <w:r>
        <w:rPr>
          <w:rFonts w:hint="eastAsia" w:ascii="宋体" w:hAnsi="宋体" w:cs="宋体"/>
          <w:kern w:val="0"/>
          <w:szCs w:val="21"/>
          <w:u w:val="single"/>
          <w:lang w:bidi="ar"/>
        </w:rPr>
        <w:t xml:space="preserve">       </w:t>
      </w:r>
    </w:p>
    <w:p>
      <w:pPr>
        <w:widowControl/>
        <w:jc w:val="left"/>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cs="宋体"/>
          <w:kern w:val="0"/>
        </w:rPr>
      </w:pPr>
      <w:r>
        <w:rPr>
          <w:rFonts w:hint="eastAsia" w:ascii="宋体" w:hAnsi="宋体"/>
          <w:szCs w:val="21"/>
          <w:lang w:bidi="ar"/>
        </w:rPr>
        <w:br w:type="page"/>
      </w:r>
    </w:p>
    <w:p>
      <w:pPr>
        <w:widowControl/>
        <w:jc w:val="left"/>
        <w:rPr>
          <w:rFonts w:ascii="宋体" w:hAnsi="宋体" w:cs="宋体"/>
          <w:kern w:val="0"/>
        </w:rPr>
      </w:pPr>
      <w:r>
        <w:rPr>
          <w:rFonts w:hint="eastAsia" w:ascii="宋体" w:hAnsi="宋体" w:cs="宋体"/>
          <w:kern w:val="0"/>
          <w:szCs w:val="21"/>
          <w:lang w:bidi="ar"/>
        </w:rPr>
        <w:t>保障建筑工人工资支付协议附件1：</w:t>
      </w:r>
    </w:p>
    <w:p>
      <w:pPr>
        <w:widowControl/>
        <w:jc w:val="center"/>
        <w:rPr>
          <w:rFonts w:ascii="宋体" w:hAnsi="宋体" w:cs="宋体"/>
          <w:kern w:val="0"/>
        </w:rPr>
      </w:pPr>
      <w:r>
        <w:rPr>
          <w:rFonts w:hint="eastAsia" w:ascii="宋体" w:hAnsi="宋体" w:cs="宋体"/>
          <w:kern w:val="0"/>
          <w:szCs w:val="21"/>
          <w:lang w:bidi="ar"/>
        </w:rPr>
        <w:t xml:space="preserve"> </w:t>
      </w:r>
    </w:p>
    <w:p>
      <w:pPr>
        <w:widowControl/>
        <w:jc w:val="center"/>
        <w:rPr>
          <w:rFonts w:ascii="宋体" w:hAnsi="宋体" w:cs="宋体"/>
          <w:kern w:val="0"/>
        </w:rPr>
      </w:pPr>
      <w:r>
        <w:rPr>
          <w:rFonts w:hint="eastAsia" w:ascii="宋体" w:hAnsi="宋体" w:cs="宋体"/>
          <w:kern w:val="0"/>
          <w:szCs w:val="21"/>
          <w:lang w:bidi="ar"/>
        </w:rPr>
        <w:t>关于建筑工人工资发放情况的说明表</w:t>
      </w:r>
    </w:p>
    <w:p>
      <w:pPr>
        <w:widowControl/>
        <w:jc w:val="center"/>
        <w:rPr>
          <w:rFonts w:ascii="宋体" w:hAnsi="宋体" w:cs="宋体"/>
          <w:kern w:val="0"/>
        </w:rPr>
      </w:pPr>
      <w:r>
        <w:rPr>
          <w:rFonts w:hint="eastAsia" w:ascii="宋体" w:hAnsi="宋体" w:cs="宋体"/>
          <w:kern w:val="0"/>
          <w:szCs w:val="21"/>
          <w:lang w:bidi="ar"/>
        </w:rPr>
        <w:t xml:space="preserve"> </w:t>
      </w:r>
    </w:p>
    <w:tbl>
      <w:tblPr>
        <w:tblStyle w:val="45"/>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施工单位：</w:t>
            </w:r>
          </w:p>
        </w:tc>
        <w:tc>
          <w:tcPr>
            <w:tcW w:w="6201"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ascii="宋体" w:hAnsi="宋体" w:cs="宋体"/>
                <w:kern w:val="0"/>
                <w:szCs w:val="21"/>
                <w:lang w:bidi="ar"/>
              </w:rPr>
              <w:t>监理单位：</w:t>
            </w:r>
          </w:p>
        </w:tc>
        <w:tc>
          <w:tcPr>
            <w:tcW w:w="6201"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5" w:hRule="atLeast"/>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u w:val="single"/>
              </w:rPr>
            </w:pPr>
          </w:p>
          <w:p>
            <w:pPr>
              <w:widowControl/>
              <w:jc w:val="left"/>
              <w:rPr>
                <w:rFonts w:ascii="宋体" w:hAnsi="宋体" w:cs="宋体"/>
                <w:kern w:val="0"/>
              </w:rPr>
            </w:pPr>
            <w:r>
              <w:rPr>
                <w:rFonts w:hint="eastAsia" w:ascii="宋体" w:hAnsi="宋体" w:cs="宋体"/>
                <w:kern w:val="0"/>
                <w:szCs w:val="21"/>
                <w:lang w:bidi="ar"/>
              </w:rPr>
              <w:t>（项目业主单位名称）：</w:t>
            </w:r>
            <w:r>
              <w:rPr>
                <w:rFonts w:hint="eastAsia" w:ascii="宋体" w:hAnsi="宋体" w:cs="宋体"/>
                <w:kern w:val="0"/>
                <w:szCs w:val="21"/>
                <w:u w:val="single"/>
                <w:lang w:bidi="ar"/>
              </w:rPr>
              <w:br w:type="textWrapping"/>
            </w:r>
            <w:r>
              <w:rPr>
                <w:rFonts w:hint="eastAsia" w:ascii="宋体" w:hAnsi="宋体" w:cs="宋体"/>
                <w:kern w:val="0"/>
                <w:szCs w:val="21"/>
                <w:lang w:bidi="ar"/>
              </w:rPr>
              <w:t xml:space="preserve">    我单位负责承建的（工程名称）无拖欠建筑工人工资的情况，贵单位先期支付我单位的工程款已优先用于支付了建筑工人工资，建筑工人工资全部按时足额进行了发放，请贵单位予以审核。</w:t>
            </w:r>
          </w:p>
          <w:p>
            <w:pPr>
              <w:widowControl/>
              <w:jc w:val="left"/>
              <w:rPr>
                <w:rFonts w:ascii="宋体" w:hAnsi="宋体" w:cs="宋体"/>
                <w:kern w:val="0"/>
                <w:u w:val="single"/>
              </w:rPr>
            </w:pPr>
            <w:r>
              <w:rPr>
                <w:rFonts w:hint="eastAsia" w:ascii="宋体" w:hAnsi="宋体" w:cs="宋体"/>
                <w:kern w:val="0"/>
                <w:szCs w:val="21"/>
                <w:lang w:bidi="ar"/>
              </w:rPr>
              <w:t>施工单位项目负责人签名（加盖项目章）：</w:t>
            </w:r>
            <w:r>
              <w:rPr>
                <w:rFonts w:hint="eastAsia" w:ascii="宋体" w:hAnsi="宋体" w:cs="宋体"/>
                <w:kern w:val="0"/>
                <w:szCs w:val="21"/>
                <w:u w:val="single"/>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rPr>
            </w:pPr>
            <w:r>
              <w:rPr>
                <w:rFonts w:hint="eastAsia" w:ascii="宋体" w:hAnsi="宋体" w:cs="宋体"/>
                <w:kern w:val="0"/>
                <w:szCs w:val="21"/>
                <w:lang w:bidi="ar"/>
              </w:rPr>
              <w:t>监理单位意见：</w:t>
            </w:r>
          </w:p>
        </w:tc>
        <w:tc>
          <w:tcPr>
            <w:tcW w:w="6201"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u w:val="single"/>
              </w:rPr>
            </w:pPr>
          </w:p>
          <w:p>
            <w:pPr>
              <w:widowControl/>
              <w:jc w:val="left"/>
              <w:rPr>
                <w:rFonts w:ascii="宋体" w:hAnsi="宋体" w:cs="宋体"/>
                <w:kern w:val="0"/>
                <w:u w:val="single"/>
              </w:rPr>
            </w:pPr>
            <w:r>
              <w:rPr>
                <w:rFonts w:hint="eastAsia" w:ascii="宋体" w:hAnsi="宋体" w:cs="宋体"/>
                <w:kern w:val="0"/>
                <w:szCs w:val="21"/>
                <w:lang w:bidi="ar"/>
              </w:rPr>
              <w:t xml:space="preserve">             总监签名并加盖项目章：</w:t>
            </w:r>
            <w:r>
              <w:rPr>
                <w:rFonts w:hint="eastAsia" w:ascii="宋体" w:hAnsi="宋体" w:cs="宋体"/>
                <w:kern w:val="0"/>
                <w:szCs w:val="21"/>
                <w:u w:val="single"/>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rPr>
            </w:pPr>
            <w:r>
              <w:rPr>
                <w:rFonts w:hint="eastAsia" w:ascii="宋体" w:hAnsi="宋体" w:cs="宋体"/>
                <w:kern w:val="0"/>
                <w:szCs w:val="21"/>
                <w:lang w:bidi="ar"/>
              </w:rPr>
              <w:t>工程部项目负责人意见：</w:t>
            </w:r>
          </w:p>
        </w:tc>
        <w:tc>
          <w:tcPr>
            <w:tcW w:w="6201"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u w:val="single"/>
              </w:rPr>
            </w:pPr>
          </w:p>
          <w:p>
            <w:pPr>
              <w:widowControl/>
              <w:jc w:val="left"/>
              <w:rPr>
                <w:rFonts w:ascii="宋体" w:hAnsi="宋体" w:cs="宋体"/>
                <w:kern w:val="0"/>
                <w:u w:val="single"/>
              </w:rPr>
            </w:pPr>
            <w:r>
              <w:rPr>
                <w:rFonts w:hint="eastAsia" w:ascii="宋体" w:hAnsi="宋体" w:cs="宋体"/>
                <w:kern w:val="0"/>
                <w:szCs w:val="21"/>
                <w:lang w:bidi="ar"/>
              </w:rPr>
              <w:t xml:space="preserve">                   项目负责人签名：</w:t>
            </w:r>
            <w:r>
              <w:rPr>
                <w:rFonts w:hint="eastAsia" w:ascii="宋体" w:hAnsi="宋体" w:cs="宋体"/>
                <w:kern w:val="0"/>
                <w:szCs w:val="21"/>
                <w:u w:val="single"/>
                <w:lang w:bidi="ar"/>
              </w:rPr>
              <w:t xml:space="preserve">        </w:t>
            </w:r>
          </w:p>
        </w:tc>
      </w:tr>
    </w:tbl>
    <w:p>
      <w:pPr>
        <w:widowControl/>
        <w:jc w:val="left"/>
        <w:rPr>
          <w:rFonts w:ascii="宋体" w:hAnsi="宋体" w:cs="宋体"/>
          <w:kern w:val="0"/>
        </w:rPr>
      </w:pPr>
      <w:r>
        <w:rPr>
          <w:rFonts w:hint="eastAsia" w:ascii="宋体" w:hAnsi="宋体" w:cs="宋体"/>
          <w:kern w:val="0"/>
          <w:szCs w:val="21"/>
          <w:lang w:bidi="ar"/>
        </w:rPr>
        <w:t xml:space="preserve"> </w:t>
      </w:r>
    </w:p>
    <w:p>
      <w:pPr>
        <w:widowControl/>
        <w:jc w:val="left"/>
        <w:rPr>
          <w:rFonts w:ascii="宋体" w:hAnsi="宋体"/>
          <w:sz w:val="24"/>
          <w:lang w:bidi="ar"/>
        </w:rPr>
      </w:pPr>
      <w:r>
        <w:rPr>
          <w:rFonts w:hint="eastAsia" w:ascii="宋体" w:hAnsi="宋体"/>
          <w:sz w:val="24"/>
          <w:lang w:bidi="ar"/>
        </w:rPr>
        <w:t xml:space="preserve"> </w:t>
      </w:r>
      <w:bookmarkEnd w:id="892"/>
    </w:p>
    <w:p>
      <w:pPr>
        <w:rPr>
          <w:rFonts w:ascii="宋体" w:hAnsi="宋体"/>
          <w:sz w:val="24"/>
          <w:lang w:bidi="ar"/>
        </w:rPr>
      </w:pPr>
      <w:r>
        <w:rPr>
          <w:rFonts w:hint="eastAsia" w:ascii="宋体" w:hAnsi="宋体"/>
          <w:sz w:val="24"/>
          <w:lang w:bidi="ar"/>
        </w:rPr>
        <w:br w:type="page"/>
      </w:r>
    </w:p>
    <w:p/>
    <w:p>
      <w:pPr>
        <w:keepNext/>
        <w:keepLines/>
        <w:widowControl/>
        <w:wordWrap w:val="0"/>
        <w:topLinePunct/>
        <w:adjustRightInd w:val="0"/>
        <w:snapToGrid w:val="0"/>
        <w:spacing w:after="156" w:afterLines="50" w:line="360" w:lineRule="auto"/>
        <w:jc w:val="center"/>
        <w:outlineLvl w:val="1"/>
        <w:rPr>
          <w:rFonts w:ascii="宋体" w:hAnsi="宋体" w:cs="宋体"/>
          <w:b/>
          <w:kern w:val="0"/>
          <w:szCs w:val="21"/>
          <w:lang w:bidi="ar"/>
        </w:rPr>
      </w:pPr>
      <w:bookmarkStart w:id="3186" w:name="_Toc22969"/>
      <w:bookmarkStart w:id="3187" w:name="_Toc3660"/>
      <w:bookmarkStart w:id="3188" w:name="_Toc5110"/>
      <w:r>
        <w:rPr>
          <w:rFonts w:hint="eastAsia" w:ascii="宋体" w:hAnsi="宋体" w:cs="宋体"/>
          <w:b/>
          <w:kern w:val="0"/>
          <w:szCs w:val="21"/>
          <w:lang w:bidi="ar"/>
        </w:rPr>
        <w:t>附件</w:t>
      </w:r>
      <w:r>
        <w:rPr>
          <w:rFonts w:hint="eastAsia" w:ascii="宋体" w:hAnsi="宋体" w:cs="宋体"/>
          <w:b/>
          <w:kern w:val="0"/>
          <w:szCs w:val="21"/>
          <w:lang w:val="en-US" w:eastAsia="zh-CN" w:bidi="ar"/>
        </w:rPr>
        <w:t>11</w:t>
      </w:r>
      <w:r>
        <w:rPr>
          <w:rFonts w:hint="eastAsia" w:ascii="宋体" w:hAnsi="宋体" w:cs="宋体"/>
          <w:b/>
          <w:kern w:val="0"/>
          <w:szCs w:val="21"/>
          <w:lang w:bidi="ar"/>
        </w:rPr>
        <w:t xml:space="preserve"> </w:t>
      </w:r>
      <w:r>
        <w:rPr>
          <w:rFonts w:hint="eastAsia" w:ascii="宋体" w:hAnsi="宋体" w:cs="宋体"/>
          <w:b/>
          <w:kern w:val="0"/>
          <w:szCs w:val="21"/>
          <w:lang w:eastAsia="zh-CN" w:bidi="ar"/>
        </w:rPr>
        <w:t>履约担保</w:t>
      </w:r>
      <w:r>
        <w:rPr>
          <w:rFonts w:hint="eastAsia" w:ascii="宋体" w:hAnsi="宋体" w:cs="宋体"/>
          <w:b/>
          <w:kern w:val="0"/>
          <w:szCs w:val="21"/>
          <w:lang w:bidi="ar"/>
        </w:rPr>
        <w:t>（如有）</w:t>
      </w:r>
      <w:bookmarkEnd w:id="3186"/>
      <w:bookmarkEnd w:id="3187"/>
      <w:bookmarkEnd w:id="3188"/>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（受益人名称）：</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鉴于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 xml:space="preserve"> </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以下简称“受益人”）与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（以下简称“申请人”）就工程</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宋体" w:hAnsi="宋体" w:eastAsia="宋体" w:cs="宋体"/>
          <w:color w:val="auto"/>
          <w:kern w:val="2"/>
          <w:sz w:val="21"/>
          <w:szCs w:val="21"/>
          <w:u w:val="single"/>
        </w:rPr>
        <w:t>《        》</w:t>
      </w:r>
      <w:r>
        <w:rPr>
          <w:rFonts w:hint="eastAsia" w:ascii="宋体" w:hAnsi="宋体" w:eastAsia="宋体" w:cs="宋体"/>
          <w:color w:val="auto"/>
          <w:kern w:val="2"/>
          <w:sz w:val="21"/>
          <w:szCs w:val="21"/>
        </w:rPr>
        <w:t>（以下简称“基础合同”）约定的义务，向贵方提供不可撤销、不可转让的见索即付保函（以下简称“本保函”）。</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一、本保函担保范围：承包人未按照基础合同的约定履行义务，应当向贵方承担的违约责任和赔偿因此造成的损失、利息、律师费、诉讼费用等实现债权的费用。</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二、本保函担保金额最高不超过人民币（大写）</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元（¥</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rPr>
      </w:pPr>
      <w:r>
        <w:rPr>
          <w:rFonts w:hint="eastAsia" w:ascii="宋体" w:hAnsi="宋体" w:eastAsia="宋体" w:cs="宋体"/>
          <w:color w:val="auto"/>
          <w:kern w:val="2"/>
          <w:sz w:val="21"/>
          <w:szCs w:val="21"/>
        </w:rPr>
        <w:t>三、</w:t>
      </w:r>
      <w:r>
        <w:rPr>
          <w:rFonts w:hint="eastAsia" w:ascii="宋体" w:hAnsi="宋体" w:eastAsia="宋体" w:cs="宋体"/>
          <w:color w:val="auto"/>
          <w:spacing w:val="6"/>
          <w:kern w:val="2"/>
          <w:sz w:val="21"/>
          <w:szCs w:val="21"/>
        </w:rPr>
        <w:t>本保函有效期自</w:t>
      </w:r>
      <w:r>
        <w:rPr>
          <w:rFonts w:hint="eastAsia" w:ascii="宋体" w:hAnsi="宋体" w:eastAsia="宋体" w:cs="宋体"/>
          <w:color w:val="auto"/>
          <w:spacing w:val="6"/>
          <w:kern w:val="2"/>
          <w:sz w:val="21"/>
          <w:szCs w:val="21"/>
          <w:lang w:eastAsia="zh-CN"/>
        </w:rPr>
        <w:t>受益人与申请人签订的合同生效之日</w:t>
      </w:r>
      <w:r>
        <w:rPr>
          <w:rFonts w:hint="eastAsia" w:ascii="宋体" w:hAnsi="宋体" w:eastAsia="宋体" w:cs="宋体"/>
          <w:color w:val="auto"/>
          <w:spacing w:val="0"/>
          <w:kern w:val="2"/>
          <w:sz w:val="21"/>
          <w:szCs w:val="21"/>
          <w:lang w:eastAsia="zh-CN"/>
        </w:rPr>
        <w:t>起至合同约定的工期截止日后</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rPr>
        <w:t>天</w:t>
      </w:r>
      <w:r>
        <w:rPr>
          <w:rFonts w:hint="eastAsia" w:ascii="宋体" w:hAnsi="宋体" w:eastAsia="宋体" w:cs="宋体"/>
          <w:color w:val="auto"/>
          <w:spacing w:val="0"/>
          <w:kern w:val="2"/>
          <w:sz w:val="21"/>
          <w:szCs w:val="21"/>
          <w:lang w:eastAsia="zh-CN"/>
        </w:rPr>
        <w:t>，最迟不超过</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年</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月</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日。</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四、我方承诺，在收到受益人发来的书面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w:t>
      </w:r>
      <w:r>
        <w:rPr>
          <w:rFonts w:hint="eastAsia" w:ascii="宋体" w:hAnsi="宋体" w:eastAsia="宋体" w:cs="宋体"/>
          <w:color w:val="auto"/>
          <w:kern w:val="2"/>
          <w:sz w:val="21"/>
          <w:szCs w:val="21"/>
          <w:lang w:eastAsia="zh-CN"/>
        </w:rPr>
        <w:t>和本保函原件</w:t>
      </w:r>
      <w:r>
        <w:rPr>
          <w:rFonts w:hint="eastAsia" w:ascii="宋体" w:hAnsi="宋体" w:eastAsia="宋体" w:cs="宋体"/>
          <w:color w:val="auto"/>
          <w:kern w:val="2"/>
          <w:sz w:val="21"/>
          <w:szCs w:val="21"/>
        </w:rPr>
        <w:t>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个工作日内无条件支付至受益人指定账户，前述书面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通知即为付款要求之单据，且应满足以下要求：</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通知到达的日期在本保函的有效期内；</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（3）载明申请人违反合同义务的条款和内容；</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（5）</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六、与本保函有关的基础合同不成立、不生效、无效、被撤销、被解除，不影响本保函的独立有效。</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七、贵方应在本保函到期后的</w:t>
      </w:r>
      <w:r>
        <w:rPr>
          <w:rFonts w:hint="eastAsia" w:ascii="宋体" w:hAnsi="宋体" w:eastAsia="宋体" w:cs="宋体"/>
          <w:color w:val="auto"/>
          <w:kern w:val="2"/>
          <w:sz w:val="21"/>
          <w:szCs w:val="21"/>
          <w:lang w:val="en-US" w:eastAsia="zh-CN"/>
        </w:rPr>
        <w:t>七个工作</w:t>
      </w:r>
      <w:r>
        <w:rPr>
          <w:rFonts w:hint="eastAsia" w:ascii="宋体" w:hAnsi="宋体" w:eastAsia="宋体" w:cs="宋体"/>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八、本保函适用的法律为中华人民共和国法律，争议裁判管辖地为中华人民共和国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九、本保函自我方法定代表人或授权代表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val="en-US" w:eastAsia="zh-CN"/>
        </w:rPr>
        <w:t>十、</w:t>
      </w:r>
      <w:r>
        <w:rPr>
          <w:rFonts w:hint="eastAsia" w:ascii="宋体" w:hAnsi="宋体" w:eastAsia="宋体" w:cs="宋体"/>
          <w:color w:val="auto"/>
          <w:kern w:val="2"/>
          <w:sz w:val="21"/>
          <w:szCs w:val="21"/>
          <w:lang w:eastAsia="zh-CN"/>
        </w:rPr>
        <w:t>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宋体" w:hAnsi="宋体" w:eastAsia="宋体" w:cs="宋体"/>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法定代表人（或授权代表）：</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签名或盖个人名章</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single"/>
          <w:lang w:val="en-US" w:eastAsia="zh-CN"/>
        </w:rPr>
      </w:pPr>
      <w:r>
        <w:rPr>
          <w:rFonts w:hint="eastAsia" w:ascii="宋体" w:hAnsi="宋体" w:eastAsia="宋体" w:cs="宋体"/>
          <w:color w:val="auto"/>
          <w:kern w:val="2"/>
          <w:sz w:val="21"/>
          <w:szCs w:val="21"/>
        </w:rPr>
        <w:t xml:space="preserve">地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pPr>
        <w:spacing w:beforeLines="0" w:line="360" w:lineRule="auto"/>
        <w:ind w:firstLine="420" w:firstLineChars="200"/>
        <w:outlineLvl w:val="9"/>
        <w:rPr>
          <w:rFonts w:hint="eastAsia" w:ascii="宋体" w:hAnsi="宋体" w:eastAsia="宋体" w:cs="宋体"/>
          <w:color w:val="auto"/>
          <w:kern w:val="2"/>
          <w:sz w:val="21"/>
          <w:szCs w:val="21"/>
          <w:u w:val="single"/>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pPr>
        <w:spacing w:beforeLines="0" w:line="360" w:lineRule="auto"/>
        <w:ind w:firstLine="420" w:firstLineChars="200"/>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kern w:val="2"/>
          <w:sz w:val="21"/>
          <w:szCs w:val="21"/>
        </w:rPr>
        <w:t xml:space="preserve">开立时间：    年    月    </w:t>
      </w:r>
      <w:r>
        <w:rPr>
          <w:rFonts w:hint="eastAsia" w:ascii="宋体" w:hAnsi="宋体" w:eastAsia="宋体" w:cs="宋体"/>
          <w:color w:val="auto"/>
          <w:sz w:val="21"/>
          <w:szCs w:val="21"/>
          <w:lang w:eastAsia="zh-CN"/>
        </w:rPr>
        <w:t>日</w:t>
      </w:r>
    </w:p>
    <w:p>
      <w:pPr>
        <w:pStyle w:val="2"/>
        <w:rPr>
          <w:rFonts w:hint="eastAsia" w:ascii="宋体" w:hAnsi="宋体" w:eastAsia="宋体" w:cs="宋体"/>
          <w:color w:val="auto"/>
          <w:sz w:val="21"/>
          <w:szCs w:val="21"/>
          <w:lang w:eastAsia="zh-CN"/>
        </w:rPr>
      </w:pPr>
    </w:p>
    <w:p>
      <w:pPr>
        <w:rPr>
          <w:rFonts w:hint="eastAsia"/>
          <w:lang w:eastAsia="zh-CN"/>
        </w:rPr>
      </w:pPr>
      <w:r>
        <w:rPr>
          <w:rFonts w:hint="eastAsia"/>
          <w:lang w:eastAsia="zh-CN"/>
        </w:rPr>
        <w:br w:type="page"/>
      </w:r>
    </w:p>
    <w:p>
      <w:pPr>
        <w:keepNext/>
        <w:keepLines/>
        <w:widowControl/>
        <w:wordWrap w:val="0"/>
        <w:topLinePunct/>
        <w:adjustRightInd w:val="0"/>
        <w:snapToGrid w:val="0"/>
        <w:spacing w:after="156" w:afterLines="50" w:line="360" w:lineRule="auto"/>
        <w:jc w:val="center"/>
        <w:outlineLvl w:val="1"/>
        <w:rPr>
          <w:rFonts w:ascii="宋体" w:hAnsi="宋体" w:cs="宋体"/>
          <w:b/>
          <w:kern w:val="0"/>
          <w:szCs w:val="21"/>
          <w:lang w:bidi="ar"/>
        </w:rPr>
      </w:pPr>
      <w:bookmarkStart w:id="3189" w:name="_Toc14905"/>
      <w:bookmarkStart w:id="3190" w:name="_Toc11455"/>
      <w:bookmarkStart w:id="3191" w:name="_Toc3473"/>
      <w:r>
        <w:rPr>
          <w:rFonts w:hint="eastAsia" w:ascii="宋体" w:hAnsi="宋体" w:cs="宋体"/>
          <w:b/>
          <w:kern w:val="0"/>
          <w:szCs w:val="21"/>
          <w:lang w:bidi="ar"/>
        </w:rPr>
        <w:t>附件</w:t>
      </w:r>
      <w:r>
        <w:rPr>
          <w:rFonts w:hint="eastAsia" w:ascii="宋体" w:hAnsi="宋体" w:cs="宋体"/>
          <w:b/>
          <w:kern w:val="0"/>
          <w:szCs w:val="21"/>
          <w:lang w:val="en-US" w:eastAsia="zh-CN" w:bidi="ar"/>
        </w:rPr>
        <w:t>12</w:t>
      </w:r>
      <w:r>
        <w:rPr>
          <w:rFonts w:hint="eastAsia" w:ascii="宋体" w:hAnsi="宋体" w:cs="宋体"/>
          <w:b/>
          <w:kern w:val="0"/>
          <w:szCs w:val="21"/>
          <w:lang w:bidi="ar"/>
        </w:rPr>
        <w:t xml:space="preserve"> </w:t>
      </w:r>
      <w:r>
        <w:rPr>
          <w:rFonts w:hint="eastAsia" w:ascii="宋体" w:hAnsi="宋体" w:cs="宋体"/>
          <w:b/>
          <w:kern w:val="0"/>
          <w:szCs w:val="21"/>
          <w:lang w:eastAsia="zh-CN" w:bidi="ar"/>
        </w:rPr>
        <w:t>质量保证金保函</w:t>
      </w:r>
      <w:r>
        <w:rPr>
          <w:rFonts w:hint="eastAsia" w:ascii="宋体" w:hAnsi="宋体" w:cs="宋体"/>
          <w:b/>
          <w:kern w:val="0"/>
          <w:szCs w:val="21"/>
          <w:lang w:bidi="ar"/>
        </w:rPr>
        <w:t>（如有）</w:t>
      </w:r>
      <w:bookmarkEnd w:id="3189"/>
      <w:bookmarkEnd w:id="3190"/>
      <w:bookmarkEnd w:id="3191"/>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宋体" w:hAnsi="宋体" w:eastAsia="宋体" w:cs="宋体"/>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 xml:space="preserve">（受益人名称）： </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鉴于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（以下简称“受益人”）与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（以下简称“申请人”）于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日就</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工程（以下简称“本工程”）施工和有关事项协商一致共同签订</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（合同名称）合同编号</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二、本保函担保金额最高不超过人民币（大写）</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元（¥</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三、本保函有效期（保证期间）为以下第</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种：</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lang w:val="en-US" w:eastAsia="zh-CN"/>
        </w:rPr>
        <w:t>1</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本保函有效期至</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lang w:val="en-US" w:eastAsia="zh-CN"/>
        </w:rPr>
        <w:t>2</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四、我方承诺，在收到受益人发来的书面索赔通知和本保函原件后的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个工作</w:t>
      </w:r>
      <w:r>
        <w:rPr>
          <w:rFonts w:hint="eastAsia" w:ascii="宋体" w:hAnsi="宋体" w:eastAsia="宋体" w:cs="宋体"/>
          <w:color w:val="auto"/>
          <w:kern w:val="2"/>
          <w:sz w:val="21"/>
          <w:szCs w:val="21"/>
        </w:rPr>
        <w:t>日内无条件支付至受益人指定账户，前述书面索赔通知即为付款要求之单据，且应满足以下要求：</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（1）索赔通知到达的日期在本保函的有效期内；</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（3）载明申请人违反合同义务的条款和内容；</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（5）索赔通知应在本保函有效期内到达的地址是：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六、与本保函有关的合同不成立、不生效、无效、被撤销、被解除，不影响本保函的独立有效。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七、贵方应在本保函到期后的</w:t>
      </w:r>
      <w:r>
        <w:rPr>
          <w:rFonts w:hint="eastAsia" w:ascii="宋体" w:hAnsi="宋体" w:eastAsia="宋体" w:cs="宋体"/>
          <w:color w:val="auto"/>
          <w:kern w:val="2"/>
          <w:sz w:val="21"/>
          <w:szCs w:val="21"/>
          <w:lang w:eastAsia="zh-CN"/>
        </w:rPr>
        <w:t>七个工作</w:t>
      </w:r>
      <w:r>
        <w:rPr>
          <w:rFonts w:hint="eastAsia" w:ascii="宋体" w:hAnsi="宋体" w:eastAsia="宋体" w:cs="宋体"/>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八、本保函适用的法律为中华人民共和国法律，争议裁判管辖地为中华人民共和国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九、本保函自我方法定代表人或授权代表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val="en-US" w:eastAsia="zh-CN"/>
        </w:rPr>
        <w:t>十、</w:t>
      </w:r>
      <w:r>
        <w:rPr>
          <w:rFonts w:hint="eastAsia" w:ascii="宋体" w:hAnsi="宋体" w:eastAsia="宋体" w:cs="宋体"/>
          <w:color w:val="auto"/>
          <w:kern w:val="2"/>
          <w:sz w:val="21"/>
          <w:szCs w:val="21"/>
          <w:lang w:eastAsia="zh-CN"/>
        </w:rPr>
        <w:t>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宋体" w:hAnsi="宋体" w:eastAsia="宋体" w:cs="宋体"/>
          <w:color w:val="auto"/>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法定代表人（或授权代表）：</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签名或盖个人名章</w:t>
      </w:r>
      <w:r>
        <w:rPr>
          <w:rFonts w:hint="eastAsia" w:ascii="宋体" w:hAnsi="宋体" w:eastAsia="宋体" w:cs="宋体"/>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    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rPr>
        <w:t xml:space="preserve">开立时间：    年    月    </w:t>
      </w:r>
      <w:r>
        <w:rPr>
          <w:rFonts w:hint="eastAsia" w:ascii="宋体" w:hAnsi="宋体" w:eastAsia="宋体" w:cs="宋体"/>
          <w:color w:val="auto"/>
          <w:sz w:val="21"/>
          <w:szCs w:val="21"/>
        </w:rPr>
        <w:t>日</w:t>
      </w:r>
    </w:p>
    <w:p>
      <w:pPr>
        <w:pStyle w:val="2"/>
        <w:rPr>
          <w:rFonts w:hint="eastAsia" w:ascii="宋体" w:hAnsi="宋体" w:eastAsia="宋体" w:cs="宋体"/>
          <w:color w:val="auto"/>
          <w:sz w:val="21"/>
          <w:szCs w:val="21"/>
        </w:rPr>
      </w:pPr>
    </w:p>
    <w:p/>
    <w:bookmarkEnd w:id="887"/>
    <w:p>
      <w:pPr>
        <w:widowControl/>
        <w:jc w:val="left"/>
        <w:rPr>
          <w:rFonts w:ascii="宋体" w:hAnsi="宋体"/>
          <w:szCs w:val="20"/>
        </w:rPr>
      </w:pPr>
      <w:r>
        <w:rPr>
          <w:rFonts w:ascii="宋体" w:hAnsi="宋体"/>
          <w:szCs w:val="20"/>
        </w:rPr>
        <w:br w:type="page"/>
      </w:r>
    </w:p>
    <w:p>
      <w:pPr>
        <w:pStyle w:val="3"/>
        <w:spacing w:before="0" w:after="0" w:line="360" w:lineRule="auto"/>
        <w:jc w:val="center"/>
        <w:rPr>
          <w:rFonts w:ascii="宋体" w:hAnsi="宋体"/>
        </w:rPr>
      </w:pPr>
      <w:bookmarkStart w:id="3192" w:name="_Toc23989"/>
      <w:bookmarkStart w:id="3193" w:name="_Toc20767"/>
      <w:bookmarkStart w:id="3194" w:name="_Toc26493"/>
      <w:bookmarkStart w:id="3195" w:name="_Toc287607855"/>
      <w:bookmarkStart w:id="3196" w:name="_Toc509218843"/>
      <w:bookmarkStart w:id="3197" w:name="_Toc430530513"/>
      <w:bookmarkStart w:id="3198" w:name="_Toc287620797"/>
      <w:bookmarkStart w:id="3199" w:name="_Toc534185822"/>
      <w:r>
        <w:rPr>
          <w:rFonts w:hint="eastAsia" w:ascii="宋体" w:hAnsi="宋体"/>
        </w:rPr>
        <w:t xml:space="preserve">第五章  </w:t>
      </w:r>
      <w:r>
        <w:rPr>
          <w:rFonts w:hint="eastAsia"/>
        </w:rPr>
        <w:t>工程量清单（如有）</w:t>
      </w:r>
      <w:bookmarkEnd w:id="3192"/>
      <w:bookmarkEnd w:id="3193"/>
      <w:bookmarkEnd w:id="3194"/>
    </w:p>
    <w:p>
      <w:pPr>
        <w:spacing w:line="360" w:lineRule="auto"/>
        <w:jc w:val="center"/>
        <w:rPr>
          <w:rFonts w:ascii="宋体" w:hAnsi="宋体"/>
        </w:rPr>
      </w:pPr>
      <w:r>
        <w:rPr>
          <w:rFonts w:hint="eastAsia" w:ascii="宋体" w:hAnsi="宋体"/>
        </w:rPr>
        <w:br w:type="page"/>
      </w:r>
    </w:p>
    <w:p>
      <w:pPr>
        <w:pStyle w:val="3"/>
        <w:spacing w:before="0" w:after="0" w:line="360" w:lineRule="auto"/>
        <w:jc w:val="center"/>
        <w:rPr>
          <w:rFonts w:ascii="宋体" w:hAnsi="宋体"/>
        </w:rPr>
      </w:pPr>
      <w:bookmarkStart w:id="3200" w:name="_Toc3408"/>
      <w:bookmarkStart w:id="3201" w:name="_Toc1277"/>
      <w:bookmarkStart w:id="3202" w:name="_Toc4571"/>
      <w:r>
        <w:rPr>
          <w:rFonts w:hint="eastAsia" w:ascii="宋体" w:hAnsi="宋体"/>
        </w:rPr>
        <w:t xml:space="preserve">第六章  </w:t>
      </w:r>
      <w:bookmarkEnd w:id="3195"/>
      <w:bookmarkEnd w:id="3196"/>
      <w:bookmarkEnd w:id="3197"/>
      <w:bookmarkEnd w:id="3198"/>
      <w:bookmarkEnd w:id="3199"/>
      <w:bookmarkStart w:id="3203" w:name="招标文件05章工程量清单01"/>
      <w:bookmarkEnd w:id="3203"/>
      <w:bookmarkStart w:id="3204" w:name="_Toc287620798"/>
      <w:bookmarkStart w:id="3205" w:name="_Toc224103477"/>
      <w:bookmarkStart w:id="3206" w:name="_Toc287607856"/>
      <w:bookmarkStart w:id="3207" w:name="_Toc277082638"/>
      <w:bookmarkStart w:id="3208" w:name="_Toc430530514"/>
      <w:r>
        <w:rPr>
          <w:rFonts w:hint="eastAsia"/>
        </w:rPr>
        <w:t>发包人要求</w:t>
      </w:r>
      <w:bookmarkEnd w:id="3200"/>
      <w:bookmarkEnd w:id="3201"/>
      <w:bookmarkEnd w:id="3202"/>
    </w:p>
    <w:bookmarkEnd w:id="3204"/>
    <w:bookmarkEnd w:id="3205"/>
    <w:bookmarkEnd w:id="3206"/>
    <w:bookmarkEnd w:id="3207"/>
    <w:bookmarkEnd w:id="3208"/>
    <w:p>
      <w:pPr>
        <w:snapToGrid w:val="0"/>
        <w:spacing w:line="360" w:lineRule="auto"/>
        <w:jc w:val="center"/>
        <w:rPr>
          <w:rFonts w:ascii="宋体" w:hAnsi="宋体"/>
          <w:sz w:val="24"/>
        </w:rPr>
      </w:pPr>
    </w:p>
    <w:p>
      <w:pPr>
        <w:spacing w:line="360" w:lineRule="auto"/>
        <w:ind w:firstLine="420" w:firstLineChars="200"/>
        <w:rPr>
          <w:rFonts w:ascii="宋体" w:hAnsi="宋体"/>
          <w:i/>
          <w:iCs/>
          <w:szCs w:val="21"/>
        </w:rPr>
      </w:pPr>
      <w:r>
        <w:rPr>
          <w:rFonts w:ascii="宋体" w:hAnsi="宋体"/>
          <w:i/>
          <w:iCs/>
          <w:szCs w:val="21"/>
        </w:rPr>
        <w:t>[</w:t>
      </w:r>
      <w:r>
        <w:rPr>
          <w:rFonts w:hint="eastAsia" w:ascii="宋体" w:hAnsi="宋体"/>
          <w:i/>
          <w:iCs/>
          <w:szCs w:val="21"/>
        </w:rPr>
        <w:t>提示：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发包人要求通常包括但不限于以下内容，发包人根据项目实际情况编写。</w:t>
      </w:r>
      <w:r>
        <w:rPr>
          <w:rFonts w:ascii="宋体" w:hAnsi="宋体"/>
          <w:i/>
          <w:iCs/>
          <w:szCs w:val="21"/>
        </w:rPr>
        <w:t>]</w:t>
      </w:r>
    </w:p>
    <w:p>
      <w:pPr>
        <w:spacing w:line="360" w:lineRule="auto"/>
        <w:ind w:firstLine="420" w:firstLineChars="200"/>
        <w:rPr>
          <w:rFonts w:ascii="黑体" w:eastAsia="黑体"/>
          <w:szCs w:val="21"/>
        </w:rPr>
      </w:pPr>
      <w:r>
        <w:rPr>
          <w:rFonts w:hint="eastAsia" w:ascii="黑体" w:eastAsia="黑体"/>
          <w:szCs w:val="21"/>
        </w:rPr>
        <w:t>一、功能要求</w:t>
      </w:r>
    </w:p>
    <w:p>
      <w:pPr>
        <w:spacing w:line="360" w:lineRule="auto"/>
        <w:ind w:firstLine="420" w:firstLineChars="200"/>
        <w:rPr>
          <w:rFonts w:ascii="黑体" w:eastAsia="黑体"/>
          <w:szCs w:val="21"/>
        </w:rPr>
      </w:pPr>
      <w:r>
        <w:rPr>
          <w:rFonts w:hint="eastAsia" w:ascii="黑体" w:eastAsia="黑体"/>
          <w:szCs w:val="21"/>
        </w:rPr>
        <w:t>二、工程范围</w:t>
      </w:r>
    </w:p>
    <w:p>
      <w:pPr>
        <w:spacing w:line="360" w:lineRule="auto"/>
        <w:ind w:firstLine="420" w:firstLineChars="200"/>
        <w:rPr>
          <w:rFonts w:ascii="黑体" w:eastAsia="黑体"/>
          <w:szCs w:val="21"/>
        </w:rPr>
      </w:pPr>
      <w:r>
        <w:rPr>
          <w:rFonts w:hint="eastAsia" w:ascii="黑体" w:eastAsia="黑体"/>
          <w:szCs w:val="21"/>
        </w:rPr>
        <w:t>三、工艺安排或要求</w:t>
      </w:r>
    </w:p>
    <w:p>
      <w:pPr>
        <w:spacing w:line="360" w:lineRule="auto"/>
        <w:ind w:firstLine="420" w:firstLineChars="200"/>
        <w:rPr>
          <w:rFonts w:ascii="黑体" w:eastAsia="黑体"/>
          <w:szCs w:val="21"/>
        </w:rPr>
      </w:pPr>
      <w:r>
        <w:rPr>
          <w:rFonts w:hint="eastAsia" w:ascii="黑体" w:eastAsia="黑体"/>
          <w:szCs w:val="21"/>
        </w:rPr>
        <w:t>四、时间要求</w:t>
      </w:r>
    </w:p>
    <w:p>
      <w:pPr>
        <w:spacing w:line="360" w:lineRule="auto"/>
        <w:ind w:firstLine="420" w:firstLineChars="200"/>
        <w:rPr>
          <w:szCs w:val="21"/>
        </w:rPr>
      </w:pPr>
      <w:r>
        <w:rPr>
          <w:rFonts w:hint="eastAsia" w:ascii="黑体" w:eastAsia="黑体"/>
          <w:szCs w:val="21"/>
        </w:rPr>
        <w:t>五、技术要求</w:t>
      </w:r>
    </w:p>
    <w:p>
      <w:pPr>
        <w:spacing w:line="360" w:lineRule="auto"/>
        <w:ind w:firstLine="420" w:firstLineChars="200"/>
        <w:rPr>
          <w:rFonts w:ascii="黑体" w:eastAsia="黑体"/>
          <w:szCs w:val="21"/>
        </w:rPr>
      </w:pPr>
      <w:r>
        <w:rPr>
          <w:rFonts w:hint="eastAsia" w:ascii="黑体" w:eastAsia="黑体"/>
          <w:szCs w:val="21"/>
        </w:rPr>
        <w:t>六、专业设备材料采购要求和技术标准</w:t>
      </w:r>
    </w:p>
    <w:p>
      <w:pPr>
        <w:spacing w:line="360" w:lineRule="auto"/>
        <w:ind w:firstLine="420" w:firstLineChars="200"/>
        <w:rPr>
          <w:rFonts w:ascii="黑体" w:eastAsia="黑体"/>
          <w:szCs w:val="21"/>
        </w:rPr>
      </w:pPr>
      <w:r>
        <w:rPr>
          <w:rFonts w:hint="eastAsia" w:ascii="黑体" w:eastAsia="黑体"/>
          <w:szCs w:val="21"/>
        </w:rPr>
        <w:t>七、竣工试验</w:t>
      </w:r>
    </w:p>
    <w:p>
      <w:pPr>
        <w:spacing w:line="360" w:lineRule="auto"/>
        <w:ind w:firstLine="420" w:firstLineChars="200"/>
        <w:rPr>
          <w:rFonts w:ascii="黑体" w:eastAsia="黑体"/>
          <w:szCs w:val="21"/>
        </w:rPr>
      </w:pPr>
      <w:r>
        <w:rPr>
          <w:rFonts w:hint="eastAsia" w:ascii="黑体" w:eastAsia="黑体"/>
          <w:szCs w:val="21"/>
        </w:rPr>
        <w:t>八、竣工验收</w:t>
      </w:r>
    </w:p>
    <w:p>
      <w:pPr>
        <w:spacing w:line="360" w:lineRule="auto"/>
        <w:ind w:firstLine="420" w:firstLineChars="200"/>
        <w:rPr>
          <w:rFonts w:ascii="黑体" w:eastAsia="黑体"/>
          <w:szCs w:val="21"/>
        </w:rPr>
      </w:pPr>
      <w:r>
        <w:rPr>
          <w:rFonts w:hint="eastAsia" w:ascii="黑体" w:eastAsia="黑体"/>
          <w:szCs w:val="21"/>
        </w:rPr>
        <w:t>九、竣工后试验</w:t>
      </w:r>
    </w:p>
    <w:p>
      <w:pPr>
        <w:spacing w:line="360" w:lineRule="auto"/>
        <w:ind w:firstLine="420" w:firstLineChars="200"/>
        <w:rPr>
          <w:rFonts w:ascii="黑体" w:eastAsia="黑体"/>
          <w:szCs w:val="21"/>
        </w:rPr>
      </w:pPr>
      <w:r>
        <w:rPr>
          <w:rFonts w:hint="eastAsia" w:ascii="黑体" w:eastAsia="黑体"/>
          <w:szCs w:val="21"/>
        </w:rPr>
        <w:t>十、文件要求</w:t>
      </w:r>
    </w:p>
    <w:p>
      <w:pPr>
        <w:spacing w:line="360" w:lineRule="auto"/>
        <w:ind w:firstLine="420" w:firstLineChars="200"/>
        <w:rPr>
          <w:rFonts w:ascii="黑体" w:eastAsia="黑体"/>
          <w:szCs w:val="21"/>
        </w:rPr>
      </w:pPr>
      <w:r>
        <w:rPr>
          <w:rFonts w:hint="eastAsia" w:ascii="黑体" w:eastAsia="黑体"/>
          <w:szCs w:val="21"/>
        </w:rPr>
        <w:t>十一、工程项目管理规定</w:t>
      </w:r>
    </w:p>
    <w:p>
      <w:pPr>
        <w:spacing w:line="360" w:lineRule="auto"/>
        <w:ind w:firstLine="420" w:firstLineChars="200"/>
        <w:rPr>
          <w:rFonts w:ascii="黑体" w:eastAsia="黑体"/>
          <w:szCs w:val="21"/>
        </w:rPr>
      </w:pPr>
      <w:r>
        <w:rPr>
          <w:rFonts w:hint="eastAsia" w:ascii="黑体" w:eastAsia="黑体"/>
          <w:szCs w:val="21"/>
        </w:rPr>
        <w:t>十二、其他要求</w:t>
      </w:r>
    </w:p>
    <w:p>
      <w:pPr>
        <w:spacing w:line="360" w:lineRule="auto"/>
        <w:ind w:firstLine="420" w:firstLineChars="200"/>
        <w:rPr>
          <w:szCs w:val="21"/>
        </w:rPr>
      </w:pPr>
    </w:p>
    <w:p>
      <w:pPr>
        <w:spacing w:line="400" w:lineRule="exact"/>
      </w:pPr>
    </w:p>
    <w:p>
      <w:pPr>
        <w:ind w:right="561"/>
        <w:rPr>
          <w:rFonts w:ascii="宋体" w:hAnsi="宋体"/>
          <w:szCs w:val="21"/>
        </w:rPr>
      </w:pPr>
      <w:r>
        <w:rPr>
          <w:rFonts w:ascii="宋体" w:hAnsi="宋体"/>
          <w:sz w:val="24"/>
        </w:rPr>
        <w:br w:type="page"/>
      </w:r>
    </w:p>
    <w:p>
      <w:pPr>
        <w:pStyle w:val="3"/>
        <w:spacing w:before="0" w:after="0" w:line="360" w:lineRule="auto"/>
        <w:jc w:val="center"/>
        <w:rPr>
          <w:rFonts w:ascii="宋体" w:hAnsi="宋体"/>
          <w:sz w:val="52"/>
          <w:szCs w:val="52"/>
        </w:rPr>
      </w:pPr>
      <w:bookmarkStart w:id="3209" w:name="_Toc27920"/>
      <w:bookmarkStart w:id="3210" w:name="_Toc534185823"/>
      <w:bookmarkStart w:id="3211" w:name="_Toc509218844"/>
      <w:bookmarkStart w:id="3212" w:name="_Toc15427"/>
      <w:bookmarkStart w:id="3213" w:name="_Toc10235"/>
      <w:r>
        <w:rPr>
          <w:rFonts w:ascii="宋体" w:hAnsi="宋体"/>
          <w:sz w:val="52"/>
          <w:szCs w:val="52"/>
        </w:rPr>
        <w:t>第 二 卷</w:t>
      </w:r>
      <w:bookmarkEnd w:id="3209"/>
      <w:bookmarkEnd w:id="3210"/>
      <w:bookmarkEnd w:id="3211"/>
      <w:bookmarkEnd w:id="3212"/>
      <w:bookmarkEnd w:id="3213"/>
    </w:p>
    <w:p>
      <w:pPr>
        <w:spacing w:line="360" w:lineRule="auto"/>
        <w:rPr>
          <w:rFonts w:ascii="宋体" w:hAnsi="宋体"/>
          <w:szCs w:val="20"/>
        </w:rPr>
      </w:pPr>
      <w:r>
        <w:rPr>
          <w:rFonts w:ascii="宋体" w:hAnsi="宋体"/>
          <w:szCs w:val="20"/>
        </w:rPr>
        <w:br w:type="page"/>
      </w:r>
    </w:p>
    <w:p>
      <w:pPr>
        <w:pStyle w:val="3"/>
        <w:spacing w:line="360" w:lineRule="auto"/>
        <w:jc w:val="center"/>
        <w:rPr>
          <w:rFonts w:ascii="宋体" w:hAnsi="宋体"/>
        </w:rPr>
      </w:pPr>
      <w:bookmarkStart w:id="3214" w:name="招标文件06章图纸"/>
      <w:bookmarkEnd w:id="3214"/>
      <w:bookmarkStart w:id="3215" w:name="_Toc534185825"/>
      <w:bookmarkStart w:id="3216" w:name="_Toc287607861"/>
      <w:bookmarkStart w:id="3217" w:name="_Toc287620803"/>
      <w:bookmarkStart w:id="3218" w:name="_Toc509218846"/>
      <w:bookmarkStart w:id="3219" w:name="_Toc430530519"/>
      <w:bookmarkStart w:id="3220" w:name="_Toc5550"/>
      <w:bookmarkStart w:id="3221" w:name="_Toc4684"/>
      <w:bookmarkStart w:id="3222" w:name="_Toc1145"/>
      <w:r>
        <w:rPr>
          <w:rFonts w:hint="eastAsia" w:ascii="宋体" w:hAnsi="宋体"/>
        </w:rPr>
        <w:t xml:space="preserve">第七章  </w:t>
      </w:r>
      <w:bookmarkEnd w:id="3215"/>
      <w:bookmarkEnd w:id="3216"/>
      <w:bookmarkEnd w:id="3217"/>
      <w:bookmarkEnd w:id="3218"/>
      <w:bookmarkEnd w:id="3219"/>
      <w:r>
        <w:rPr>
          <w:rFonts w:hint="eastAsia"/>
        </w:rPr>
        <w:t>发包人提供的资料</w:t>
      </w:r>
      <w:bookmarkEnd w:id="3220"/>
      <w:bookmarkEnd w:id="3221"/>
      <w:bookmarkEnd w:id="3222"/>
    </w:p>
    <w:p>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pPr>
        <w:spacing w:line="360" w:lineRule="auto"/>
        <w:rPr>
          <w:rFonts w:ascii="宋体" w:hAnsi="宋体"/>
          <w:szCs w:val="20"/>
        </w:rPr>
      </w:pPr>
    </w:p>
    <w:p>
      <w:pPr>
        <w:spacing w:line="360" w:lineRule="auto"/>
        <w:ind w:firstLine="420" w:firstLineChars="200"/>
        <w:rPr>
          <w:rFonts w:ascii="宋体" w:hAnsi="宋体"/>
          <w:i/>
          <w:szCs w:val="20"/>
        </w:rPr>
      </w:pPr>
      <w:bookmarkStart w:id="3223" w:name="招标文件06章图纸01"/>
      <w:bookmarkEnd w:id="3223"/>
      <w:bookmarkStart w:id="3224" w:name="_Toc430530520"/>
      <w:bookmarkStart w:id="3225" w:name="_Toc287620804"/>
      <w:r>
        <w:rPr>
          <w:rFonts w:hint="eastAsia" w:ascii="宋体" w:hAnsi="宋体"/>
          <w:i/>
          <w:szCs w:val="20"/>
        </w:rPr>
        <w:t>[提示：</w:t>
      </w:r>
      <w:r>
        <w:rPr>
          <w:rFonts w:hint="eastAsia" w:ascii="宋体" w:hAnsi="宋体"/>
          <w:i/>
          <w:iCs/>
          <w:szCs w:val="20"/>
        </w:rPr>
        <w:t>包括但不限于水文地质资料、项目建议书、可研报告、初勘资料、详勘资料、方案设计文件、初步设计文件等，以及反映项目建设目标、建设规模、建设指标的其他资料。招标人根据招标项目实际需要提供以上资料。</w:t>
      </w:r>
      <w:r>
        <w:rPr>
          <w:rFonts w:hint="eastAsia" w:ascii="宋体" w:hAnsi="宋体"/>
          <w:i/>
          <w:szCs w:val="20"/>
        </w:rPr>
        <w:t>]</w:t>
      </w:r>
    </w:p>
    <w:p>
      <w:pPr>
        <w:spacing w:line="360" w:lineRule="auto"/>
        <w:rPr>
          <w:rFonts w:ascii="宋体" w:hAnsi="宋体"/>
          <w:szCs w:val="20"/>
        </w:rPr>
      </w:pPr>
    </w:p>
    <w:bookmarkEnd w:id="3224"/>
    <w:bookmarkEnd w:id="3225"/>
    <w:p>
      <w:pPr>
        <w:spacing w:line="360" w:lineRule="auto"/>
        <w:rPr>
          <w:rFonts w:ascii="宋体" w:hAnsi="宋体"/>
        </w:rPr>
      </w:pPr>
      <w:r>
        <w:rPr>
          <w:rFonts w:ascii="宋体" w:hAnsi="宋体"/>
          <w:szCs w:val="20"/>
        </w:rPr>
        <w:br w:type="page"/>
      </w:r>
    </w:p>
    <w:p>
      <w:pPr>
        <w:pStyle w:val="3"/>
        <w:spacing w:before="0" w:after="0" w:line="360" w:lineRule="auto"/>
        <w:jc w:val="center"/>
        <w:rPr>
          <w:rFonts w:ascii="宋体" w:hAnsi="宋体"/>
          <w:sz w:val="52"/>
          <w:szCs w:val="52"/>
        </w:rPr>
      </w:pPr>
      <w:bookmarkStart w:id="3226" w:name="_Toc32570"/>
      <w:bookmarkStart w:id="3227" w:name="_Toc9471"/>
      <w:bookmarkStart w:id="3228" w:name="_Toc23381"/>
      <w:r>
        <w:rPr>
          <w:rFonts w:hint="eastAsia" w:ascii="宋体" w:hAnsi="宋体"/>
          <w:sz w:val="52"/>
          <w:szCs w:val="52"/>
        </w:rPr>
        <w:t>第 三 卷</w:t>
      </w:r>
      <w:bookmarkEnd w:id="3226"/>
      <w:bookmarkEnd w:id="3227"/>
      <w:bookmarkEnd w:id="3228"/>
      <w:bookmarkStart w:id="3229" w:name="_Toc536796850"/>
      <w:bookmarkStart w:id="3230" w:name="_Toc13211764"/>
      <w:bookmarkStart w:id="3231" w:name="_Toc536797255"/>
      <w:bookmarkStart w:id="3232" w:name="_Toc536621880"/>
      <w:bookmarkStart w:id="3233" w:name="_Toc534185826"/>
      <w:bookmarkStart w:id="3234" w:name="_Toc536797390"/>
      <w:bookmarkStart w:id="3235" w:name="_Toc536619968"/>
      <w:bookmarkStart w:id="3236" w:name="_Toc536797121"/>
      <w:bookmarkStart w:id="3237" w:name="_Toc536628344"/>
      <w:bookmarkStart w:id="3238" w:name="_Toc13210772"/>
      <w:bookmarkStart w:id="3239" w:name="_Toc13211206"/>
      <w:bookmarkStart w:id="3240" w:name="_Toc536796986"/>
      <w:bookmarkStart w:id="3241" w:name="_Toc536620100"/>
      <w:bookmarkStart w:id="3242" w:name="_Toc509218847"/>
    </w:p>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bookmarkStart w:id="3243" w:name="招标文件07章技术标准和要求"/>
      <w:bookmarkEnd w:id="3243"/>
      <w:r>
        <w:rPr>
          <w:rFonts w:ascii="宋体" w:hAnsi="宋体"/>
        </w:rPr>
        <w:br w:type="page"/>
      </w:r>
      <w:bookmarkStart w:id="3244" w:name="招标文件08章投标文件格式"/>
      <w:bookmarkEnd w:id="3244"/>
      <w:bookmarkStart w:id="3245" w:name="_Toc287620812"/>
      <w:bookmarkStart w:id="3246" w:name="_Toc287607865"/>
    </w:p>
    <w:p>
      <w:pPr>
        <w:pStyle w:val="3"/>
        <w:spacing w:line="360" w:lineRule="auto"/>
        <w:jc w:val="center"/>
        <w:rPr>
          <w:rFonts w:ascii="宋体" w:hAnsi="宋体"/>
        </w:rPr>
      </w:pPr>
      <w:bookmarkStart w:id="3247" w:name="_Toc509218852"/>
      <w:bookmarkStart w:id="3248" w:name="_Toc25665"/>
      <w:bookmarkStart w:id="3249" w:name="_Toc430530528"/>
      <w:bookmarkStart w:id="3250" w:name="_Toc6268"/>
      <w:bookmarkStart w:id="3251" w:name="_Toc534185829"/>
      <w:bookmarkStart w:id="3252" w:name="_Toc30442"/>
      <w:r>
        <w:rPr>
          <w:rFonts w:hint="eastAsia" w:ascii="宋体" w:hAnsi="宋体"/>
        </w:rPr>
        <w:t>第八章  投标文件格式</w:t>
      </w:r>
      <w:bookmarkEnd w:id="3245"/>
      <w:bookmarkEnd w:id="3246"/>
      <w:bookmarkEnd w:id="3247"/>
      <w:bookmarkEnd w:id="3248"/>
      <w:bookmarkEnd w:id="3249"/>
      <w:bookmarkEnd w:id="3250"/>
      <w:bookmarkEnd w:id="3251"/>
      <w:bookmarkEnd w:id="3252"/>
    </w:p>
    <w:p>
      <w:pPr>
        <w:spacing w:line="360" w:lineRule="auto"/>
        <w:rPr>
          <w:rFonts w:ascii="宋体" w:hAnsi="宋体"/>
          <w:sz w:val="32"/>
          <w:szCs w:val="32"/>
        </w:rPr>
      </w:pPr>
    </w:p>
    <w:p>
      <w:pPr>
        <w:spacing w:line="360" w:lineRule="auto"/>
        <w:jc w:val="center"/>
        <w:rPr>
          <w:rFonts w:ascii="宋体" w:hAnsi="宋体"/>
          <w:sz w:val="36"/>
          <w:szCs w:val="36"/>
        </w:rPr>
      </w:pPr>
      <w: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0" b="0"/>
                <wp:wrapNone/>
                <wp:docPr id="352"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75eqfaAAAADQEAAA8AAAAAAAAAAQAgAAAA&#10;IgAAAGRycy9kb3ducmV2LnhtbFBLAQIUABQAAAAIAIdO4kDdO4/dCQIAAPQDAAAOAAAAAAAAAAEA&#10;IAAAACkBAABkcnMvZTJvRG9jLnhtbFBLBQYAAAAABgAGAFkBAACkBQAAAAA=&#10;">
                <v:fill on="t" focussize="0,0"/>
                <v:stroke on="f"/>
                <v:imagedata o:title=""/>
                <o:lock v:ext="edit" aspectratio="f"/>
                <v:textbox>
                  <w:txbxContent>
                    <w:p>
                      <w:pPr>
                        <w:jc w:val="center"/>
                      </w:pPr>
                    </w:p>
                  </w:txbxContent>
                </v:textbox>
              </v:rect>
            </w:pict>
          </mc:Fallback>
        </mc:AlternateContent>
      </w:r>
      <w:r>
        <w:rPr>
          <w:rFonts w:ascii="宋体" w:hAnsi="宋体"/>
          <w:szCs w:val="20"/>
        </w:rPr>
        <w:br w:type="page"/>
      </w:r>
      <w:bookmarkStart w:id="3253" w:name="_Toc224103493"/>
      <w:r>
        <w:rPr>
          <w:rFonts w:hint="eastAsia" w:ascii="宋体" w:hAnsi="宋体"/>
          <w:sz w:val="36"/>
          <w:szCs w:val="36"/>
        </w:rPr>
        <w:t>目  录</w:t>
      </w:r>
      <w:bookmarkEnd w:id="3253"/>
    </w:p>
    <w:p>
      <w:pPr>
        <w:spacing w:line="360" w:lineRule="auto"/>
        <w:jc w:val="center"/>
        <w:rPr>
          <w:rFonts w:ascii="宋体" w:hAnsi="宋体"/>
          <w:szCs w:val="20"/>
        </w:rPr>
      </w:pPr>
    </w:p>
    <w:p>
      <w:pPr>
        <w:spacing w:line="360" w:lineRule="auto"/>
        <w:rPr>
          <w:rFonts w:ascii="宋体" w:hAnsi="宋体"/>
          <w:b/>
        </w:rPr>
      </w:pPr>
      <w:r>
        <w:rPr>
          <w:rFonts w:hint="eastAsia" w:ascii="宋体" w:hAnsi="宋体"/>
          <w:b/>
        </w:rPr>
        <w:t>一</w:t>
      </w:r>
      <w:r>
        <w:rPr>
          <w:rFonts w:ascii="宋体" w:hAnsi="宋体"/>
          <w:b/>
        </w:rPr>
        <w:t>、投标函部分</w:t>
      </w:r>
    </w:p>
    <w:p>
      <w:pPr>
        <w:spacing w:line="360" w:lineRule="auto"/>
        <w:ind w:firstLine="420" w:firstLineChars="200"/>
        <w:rPr>
          <w:rFonts w:ascii="宋体" w:hAnsi="宋体"/>
        </w:rPr>
      </w:pPr>
      <w:r>
        <w:rPr>
          <w:rFonts w:ascii="宋体" w:hAnsi="宋体"/>
        </w:rPr>
        <w:t>（一）投标函</w:t>
      </w:r>
    </w:p>
    <w:p>
      <w:pPr>
        <w:spacing w:line="360" w:lineRule="auto"/>
        <w:ind w:firstLine="420" w:firstLineChars="200"/>
        <w:rPr>
          <w:rFonts w:ascii="宋体" w:hAnsi="宋体"/>
        </w:rPr>
      </w:pPr>
      <w:r>
        <w:rPr>
          <w:rFonts w:ascii="宋体" w:hAnsi="宋体"/>
        </w:rPr>
        <w:t>（二）投标函附录</w:t>
      </w:r>
    </w:p>
    <w:p>
      <w:pPr>
        <w:spacing w:line="360" w:lineRule="auto"/>
        <w:ind w:firstLine="420" w:firstLineChars="200"/>
        <w:rPr>
          <w:rFonts w:ascii="宋体" w:hAnsi="宋体"/>
        </w:rPr>
      </w:pPr>
      <w:r>
        <w:rPr>
          <w:rFonts w:ascii="宋体" w:hAnsi="宋体"/>
        </w:rPr>
        <w:t>（三）</w:t>
      </w:r>
      <w:r>
        <w:rPr>
          <w:rFonts w:hint="eastAsia" w:ascii="宋体" w:hAnsi="宋体"/>
          <w:snapToGrid w:val="0"/>
          <w:kern w:val="0"/>
          <w:szCs w:val="21"/>
        </w:rPr>
        <w:t>法定代表人身份证明或授权委托书</w:t>
      </w:r>
    </w:p>
    <w:p>
      <w:pPr>
        <w:spacing w:line="360" w:lineRule="auto"/>
        <w:ind w:firstLine="420" w:firstLineChars="200"/>
        <w:rPr>
          <w:rFonts w:ascii="宋体" w:hAnsi="宋体"/>
        </w:rPr>
      </w:pPr>
      <w:r>
        <w:rPr>
          <w:rFonts w:ascii="宋体" w:hAnsi="宋体"/>
        </w:rPr>
        <w:t>（四）</w:t>
      </w:r>
      <w:r>
        <w:rPr>
          <w:rFonts w:hint="eastAsia" w:ascii="宋体" w:hAnsi="宋体"/>
          <w:lang w:val="en-US" w:eastAsia="zh-CN"/>
        </w:rPr>
        <w:t>投标报价合理性说明</w:t>
      </w:r>
      <w:r>
        <w:rPr>
          <w:rFonts w:hint="eastAsia" w:ascii="宋体" w:hAnsi="宋体"/>
        </w:rPr>
        <w:t>（如有）</w:t>
      </w:r>
    </w:p>
    <w:p>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lang w:val="en-US" w:eastAsia="zh-CN"/>
        </w:rPr>
        <w:t>报价</w:t>
      </w:r>
      <w:r>
        <w:rPr>
          <w:rFonts w:hint="eastAsia" w:ascii="宋体" w:hAnsi="宋体"/>
          <w:b/>
        </w:rPr>
        <w:t>部分</w:t>
      </w:r>
    </w:p>
    <w:p>
      <w:pPr>
        <w:spacing w:line="360" w:lineRule="auto"/>
        <w:rPr>
          <w:rFonts w:ascii="宋体" w:hAnsi="宋体"/>
          <w:b/>
        </w:rPr>
      </w:pPr>
      <w:r>
        <w:rPr>
          <w:rFonts w:hint="eastAsia" w:ascii="宋体" w:hAnsi="宋体"/>
          <w:b/>
        </w:rPr>
        <w:t>三</w:t>
      </w:r>
      <w:r>
        <w:rPr>
          <w:rFonts w:ascii="宋体" w:hAnsi="宋体"/>
          <w:b/>
        </w:rPr>
        <w:t>、</w:t>
      </w:r>
      <w:r>
        <w:rPr>
          <w:rFonts w:hint="eastAsia" w:ascii="宋体" w:hAnsi="宋体"/>
          <w:b/>
        </w:rPr>
        <w:t>商务</w:t>
      </w:r>
      <w:r>
        <w:rPr>
          <w:rFonts w:ascii="宋体" w:hAnsi="宋体"/>
          <w:b/>
        </w:rPr>
        <w:t>部分（</w:t>
      </w:r>
      <w:r>
        <w:rPr>
          <w:rFonts w:hint="eastAsia" w:ascii="宋体" w:hAnsi="宋体"/>
          <w:b/>
          <w:lang w:val="en-US" w:eastAsia="zh-CN"/>
        </w:rPr>
        <w:t>如有</w:t>
      </w:r>
      <w:r>
        <w:rPr>
          <w:rFonts w:ascii="宋体" w:hAnsi="宋体"/>
          <w:b/>
        </w:rPr>
        <w:t>）</w:t>
      </w:r>
    </w:p>
    <w:p>
      <w:pPr>
        <w:spacing w:line="360" w:lineRule="auto"/>
        <w:rPr>
          <w:rFonts w:ascii="宋体" w:hAnsi="宋体"/>
          <w:b/>
        </w:rPr>
      </w:pPr>
      <w:r>
        <w:rPr>
          <w:rFonts w:hint="eastAsia" w:ascii="宋体" w:hAnsi="宋体"/>
          <w:b/>
        </w:rPr>
        <w:t>四</w:t>
      </w:r>
      <w:r>
        <w:rPr>
          <w:rFonts w:ascii="宋体" w:hAnsi="宋体"/>
          <w:b/>
        </w:rPr>
        <w:t>、技术部分（</w:t>
      </w:r>
      <w:r>
        <w:rPr>
          <w:rFonts w:hint="eastAsia" w:ascii="宋体" w:hAnsi="宋体"/>
          <w:b/>
          <w:lang w:val="en-US" w:eastAsia="zh-CN"/>
        </w:rPr>
        <w:t>如有</w:t>
      </w:r>
      <w:r>
        <w:rPr>
          <w:rFonts w:ascii="宋体" w:hAnsi="宋体"/>
          <w:b/>
        </w:rPr>
        <w:t>）</w:t>
      </w:r>
    </w:p>
    <w:p>
      <w:pPr>
        <w:spacing w:line="360" w:lineRule="auto"/>
        <w:rPr>
          <w:rFonts w:ascii="宋体" w:hAnsi="宋体"/>
          <w:b/>
        </w:rPr>
      </w:pPr>
      <w:r>
        <w:rPr>
          <w:rFonts w:hint="eastAsia" w:ascii="宋体" w:hAnsi="宋体"/>
          <w:b/>
        </w:rPr>
        <w:t>五</w:t>
      </w:r>
      <w:r>
        <w:rPr>
          <w:rFonts w:ascii="宋体" w:hAnsi="宋体"/>
          <w:b/>
        </w:rPr>
        <w:t>、</w:t>
      </w:r>
      <w:r>
        <w:rPr>
          <w:rFonts w:hint="eastAsia" w:ascii="宋体" w:hAnsi="宋体"/>
          <w:b/>
        </w:rPr>
        <w:t>资格审查部分</w:t>
      </w:r>
    </w:p>
    <w:p>
      <w:pPr>
        <w:spacing w:line="360" w:lineRule="auto"/>
        <w:ind w:firstLine="420" w:firstLineChars="200"/>
        <w:rPr>
          <w:rFonts w:ascii="宋体" w:hAnsi="宋体"/>
        </w:rPr>
      </w:pPr>
      <w:r>
        <w:rPr>
          <w:rFonts w:ascii="宋体" w:hAnsi="宋体"/>
        </w:rPr>
        <w:t>（一）</w:t>
      </w:r>
      <w:r>
        <w:rPr>
          <w:rFonts w:hint="eastAsia" w:ascii="宋体" w:hAnsi="宋体"/>
        </w:rPr>
        <w:t>法定代表人身份证明或授权委托书</w:t>
      </w:r>
    </w:p>
    <w:p>
      <w:pPr>
        <w:spacing w:line="360" w:lineRule="auto"/>
        <w:ind w:firstLine="420" w:firstLineChars="200"/>
        <w:rPr>
          <w:rFonts w:ascii="宋体" w:hAnsi="宋体"/>
        </w:rPr>
      </w:pPr>
      <w:r>
        <w:rPr>
          <w:rFonts w:ascii="宋体" w:hAnsi="宋体"/>
        </w:rPr>
        <w:t>（二）</w:t>
      </w:r>
      <w:r>
        <w:rPr>
          <w:rFonts w:hint="eastAsia" w:ascii="宋体" w:hAnsi="宋体"/>
          <w:lang w:eastAsia="zh-CN"/>
        </w:rPr>
        <w:t>共同投标协议</w:t>
      </w:r>
      <w:r>
        <w:rPr>
          <w:rFonts w:hint="eastAsia" w:ascii="宋体" w:hAnsi="宋体"/>
        </w:rPr>
        <w:t>（如有）</w:t>
      </w:r>
    </w:p>
    <w:p>
      <w:pPr>
        <w:spacing w:line="360" w:lineRule="auto"/>
        <w:ind w:firstLine="420" w:firstLineChars="200"/>
        <w:rPr>
          <w:rFonts w:ascii="宋体" w:hAnsi="宋体"/>
        </w:rPr>
      </w:pPr>
      <w:r>
        <w:rPr>
          <w:rFonts w:ascii="宋体" w:hAnsi="宋体"/>
        </w:rPr>
        <w:t>（</w:t>
      </w:r>
      <w:r>
        <w:rPr>
          <w:rFonts w:hint="eastAsia" w:ascii="宋体" w:hAnsi="宋体"/>
          <w:lang w:val="en-US" w:eastAsia="zh-CN"/>
        </w:rPr>
        <w:t>三</w:t>
      </w:r>
      <w:r>
        <w:rPr>
          <w:rFonts w:ascii="宋体" w:hAnsi="宋体"/>
        </w:rPr>
        <w:t>）</w:t>
      </w:r>
      <w:r>
        <w:rPr>
          <w:rFonts w:hint="eastAsia" w:ascii="宋体" w:hAnsi="宋体"/>
        </w:rPr>
        <w:t>承诺</w:t>
      </w:r>
    </w:p>
    <w:p>
      <w:pPr>
        <w:spacing w:line="360" w:lineRule="auto"/>
        <w:ind w:firstLine="420" w:firstLineChars="200"/>
        <w:rPr>
          <w:rFonts w:ascii="宋体" w:hAnsi="宋体"/>
        </w:rPr>
      </w:pPr>
      <w:r>
        <w:rPr>
          <w:rFonts w:ascii="宋体" w:hAnsi="宋体"/>
        </w:rPr>
        <w:t>（</w:t>
      </w:r>
      <w:r>
        <w:rPr>
          <w:rFonts w:hint="eastAsia" w:ascii="宋体" w:hAnsi="宋体"/>
          <w:lang w:val="en-US" w:eastAsia="zh-CN"/>
        </w:rPr>
        <w:t>四</w:t>
      </w:r>
      <w:r>
        <w:rPr>
          <w:rFonts w:ascii="宋体" w:hAnsi="宋体"/>
        </w:rPr>
        <w:t>）其他资料</w:t>
      </w:r>
    </w:p>
    <w:p>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3254" w:name="_Toc224103494"/>
      <w:bookmarkStart w:id="3255" w:name="_Toc287620813"/>
      <w:bookmarkStart w:id="3256" w:name="_Toc287607866"/>
      <w:bookmarkStart w:id="3257" w:name="_Toc277082642"/>
      <w:bookmarkStart w:id="3258" w:name="_Toc430530529"/>
    </w:p>
    <w:p>
      <w:pPr>
        <w:pStyle w:val="4"/>
        <w:spacing w:line="360" w:lineRule="auto"/>
        <w:jc w:val="center"/>
        <w:rPr>
          <w:rFonts w:ascii="宋体" w:hAnsi="宋体"/>
          <w:b w:val="0"/>
          <w:bCs w:val="0"/>
          <w:sz w:val="44"/>
          <w:szCs w:val="44"/>
        </w:rPr>
      </w:pPr>
      <w:bookmarkStart w:id="3259" w:name="_Toc1762"/>
      <w:bookmarkStart w:id="3260" w:name="_Toc6567"/>
      <w:bookmarkStart w:id="3261" w:name="_Toc7517"/>
      <w:r>
        <w:rPr>
          <w:rFonts w:hint="eastAsia" w:ascii="宋体" w:hAnsi="宋体"/>
          <w:b w:val="0"/>
          <w:bCs w:val="0"/>
          <w:sz w:val="44"/>
          <w:szCs w:val="44"/>
        </w:rPr>
        <w:t>一、投标函部分</w:t>
      </w:r>
      <w:bookmarkEnd w:id="3254"/>
      <w:bookmarkEnd w:id="3255"/>
      <w:bookmarkEnd w:id="3256"/>
      <w:bookmarkEnd w:id="3257"/>
      <w:bookmarkEnd w:id="3258"/>
      <w:bookmarkEnd w:id="3259"/>
      <w:bookmarkEnd w:id="3260"/>
      <w:bookmarkEnd w:id="3261"/>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tabs>
          <w:tab w:val="left" w:pos="2580"/>
          <w:tab w:val="left" w:pos="5940"/>
        </w:tabs>
        <w:autoSpaceDE w:val="0"/>
        <w:autoSpaceDN w:val="0"/>
        <w:adjustRightInd w:val="0"/>
        <w:snapToGrid w:val="0"/>
        <w:spacing w:line="360" w:lineRule="auto"/>
        <w:jc w:val="left"/>
        <w:rPr>
          <w:rFonts w:ascii="宋体" w:hAnsi="宋体"/>
          <w:kern w:val="0"/>
          <w:sz w:val="28"/>
          <w:szCs w:val="28"/>
        </w:rPr>
      </w:pPr>
      <w:r>
        <w:rPr>
          <w:rFonts w:ascii="宋体" w:hAnsi="宋体"/>
          <w:kern w:val="0"/>
          <w:sz w:val="28"/>
          <w:szCs w:val="28"/>
        </w:rPr>
        <w:br w:type="page"/>
      </w:r>
    </w:p>
    <w:p>
      <w:pPr>
        <w:spacing w:line="360" w:lineRule="auto"/>
        <w:jc w:val="center"/>
        <w:rPr>
          <w:rFonts w:ascii="宋体" w:hAnsi="宋体"/>
          <w:kern w:val="0"/>
          <w:sz w:val="32"/>
          <w:szCs w:val="32"/>
        </w:rPr>
      </w:pPr>
      <w:bookmarkStart w:id="3262" w:name="_Hlk45038325"/>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bookmarkEnd w:id="3262"/>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法定代表人身份证明或授权委托书</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lang w:val="en-US" w:eastAsia="zh-CN"/>
        </w:rPr>
        <w:t>投标报价合理性说明</w:t>
      </w:r>
      <w:r>
        <w:rPr>
          <w:rFonts w:hint="eastAsia" w:ascii="宋体" w:hAnsi="宋体"/>
          <w:kern w:val="0"/>
          <w:sz w:val="24"/>
        </w:rPr>
        <w:t>（如有）</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w w:val="99"/>
          <w:kern w:val="0"/>
          <w:sz w:val="28"/>
          <w:szCs w:val="28"/>
        </w:rPr>
      </w:pPr>
    </w:p>
    <w:p>
      <w:pPr>
        <w:autoSpaceDE w:val="0"/>
        <w:autoSpaceDN w:val="0"/>
        <w:adjustRightInd w:val="0"/>
        <w:snapToGrid w:val="0"/>
        <w:spacing w:line="360" w:lineRule="auto"/>
        <w:jc w:val="left"/>
        <w:rPr>
          <w:rFonts w:ascii="宋体" w:hAnsi="宋体"/>
          <w:w w:val="99"/>
          <w:kern w:val="0"/>
          <w:sz w:val="28"/>
          <w:szCs w:val="28"/>
        </w:rPr>
      </w:pPr>
    </w:p>
    <w:p>
      <w:pPr>
        <w:autoSpaceDE w:val="0"/>
        <w:autoSpaceDN w:val="0"/>
        <w:adjustRightInd w:val="0"/>
        <w:snapToGrid w:val="0"/>
        <w:spacing w:line="360" w:lineRule="auto"/>
        <w:jc w:val="left"/>
        <w:rPr>
          <w:rFonts w:ascii="宋体" w:hAnsi="宋体"/>
          <w:w w:val="99"/>
          <w:kern w:val="0"/>
          <w:sz w:val="28"/>
          <w:szCs w:val="28"/>
        </w:rPr>
      </w:pPr>
    </w:p>
    <w:p>
      <w:pPr>
        <w:autoSpaceDE w:val="0"/>
        <w:autoSpaceDN w:val="0"/>
        <w:adjustRightInd w:val="0"/>
        <w:snapToGrid w:val="0"/>
        <w:spacing w:line="360" w:lineRule="auto"/>
        <w:jc w:val="left"/>
        <w:rPr>
          <w:rFonts w:ascii="宋体" w:hAnsi="宋体"/>
          <w:w w:val="99"/>
          <w:kern w:val="0"/>
          <w:sz w:val="28"/>
          <w:szCs w:val="28"/>
        </w:rPr>
      </w:pPr>
    </w:p>
    <w:p>
      <w:pPr>
        <w:spacing w:after="260"/>
        <w:jc w:val="center"/>
        <w:rPr>
          <w:rFonts w:ascii="宋体" w:hAnsi="宋体"/>
          <w:b/>
        </w:rPr>
      </w:pPr>
      <w:bookmarkStart w:id="3263" w:name="_Toc277082643"/>
      <w:bookmarkStart w:id="3264" w:name="_Toc224103495"/>
      <w:bookmarkStart w:id="3265" w:name="_Toc430530530"/>
      <w:bookmarkStart w:id="3266" w:name="_Toc287607867"/>
      <w:bookmarkStart w:id="3267" w:name="_Toc509218854"/>
      <w:bookmarkStart w:id="3268" w:name="_Toc534185831"/>
      <w:bookmarkStart w:id="3269" w:name="_Toc287620814"/>
      <w:r>
        <w:rPr>
          <w:rFonts w:ascii="宋体" w:hAnsi="宋体"/>
        </w:rPr>
        <w:br w:type="page"/>
      </w:r>
      <w:r>
        <w:rPr>
          <w:rFonts w:hint="eastAsia" w:ascii="宋体" w:hAnsi="宋体"/>
          <w:snapToGrid w:val="0"/>
          <w:kern w:val="0"/>
          <w:sz w:val="32"/>
          <w:szCs w:val="32"/>
        </w:rPr>
        <w:t>（一）投标函</w:t>
      </w:r>
      <w:bookmarkEnd w:id="3263"/>
      <w:bookmarkEnd w:id="3264"/>
      <w:bookmarkEnd w:id="3265"/>
      <w:bookmarkEnd w:id="3266"/>
      <w:bookmarkEnd w:id="3267"/>
      <w:bookmarkEnd w:id="3268"/>
      <w:bookmarkEnd w:id="3269"/>
    </w:p>
    <w:p>
      <w:pPr>
        <w:tabs>
          <w:tab w:val="left" w:pos="2640"/>
        </w:tabs>
        <w:autoSpaceDE w:val="0"/>
        <w:autoSpaceDN w:val="0"/>
        <w:adjustRightInd w:val="0"/>
        <w:spacing w:line="360" w:lineRule="auto"/>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rPr>
        <w:t>（招标人名称）：</w:t>
      </w:r>
    </w:p>
    <w:p>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招标文件的全部内容，</w:t>
      </w:r>
      <w:r>
        <w:rPr>
          <w:rFonts w:hint="eastAsia" w:ascii="宋体" w:hAnsi="宋体"/>
          <w:snapToGrid w:val="0"/>
          <w:kern w:val="0"/>
          <w:szCs w:val="21"/>
        </w:rPr>
        <w:t>愿意以：</w:t>
      </w:r>
    </w:p>
    <w:p>
      <w:pPr>
        <w:tabs>
          <w:tab w:val="left" w:pos="2655"/>
          <w:tab w:val="left" w:pos="3520"/>
          <w:tab w:val="left" w:pos="4920"/>
          <w:tab w:val="left" w:pos="5715"/>
          <w:tab w:val="left" w:pos="6945"/>
          <w:tab w:val="left" w:pos="7980"/>
        </w:tabs>
        <w:autoSpaceDE w:val="0"/>
        <w:autoSpaceDN w:val="0"/>
        <w:adjustRightInd w:val="0"/>
        <w:spacing w:line="440" w:lineRule="exact"/>
        <w:ind w:right="94"/>
        <w:rPr>
          <w:rFonts w:ascii="宋体" w:hAnsi="宋体"/>
        </w:rPr>
      </w:pPr>
      <w:r>
        <w:rPr>
          <w:rFonts w:hint="eastAsia" w:ascii="宋体" w:hAnsi="宋体"/>
          <w:snapToGrid w:val="0"/>
          <w:kern w:val="0"/>
          <w:szCs w:val="21"/>
        </w:rPr>
        <w:t>投标总报价：</w:t>
      </w:r>
      <w:r>
        <w:rPr>
          <w:rFonts w:hint="eastAsia"/>
          <w:szCs w:val="21"/>
        </w:rPr>
        <w:t>（大写）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r>
        <w:rPr>
          <w:rFonts w:ascii="宋体" w:hAnsi="宋体"/>
          <w:snapToGrid w:val="0"/>
          <w:kern w:val="0"/>
          <w:szCs w:val="21"/>
        </w:rPr>
        <w:t>按合同约定实施和完成</w:t>
      </w:r>
      <w:r>
        <w:rPr>
          <w:rFonts w:hint="eastAsia" w:ascii="宋体" w:hAnsi="宋体"/>
          <w:snapToGrid w:val="0"/>
          <w:kern w:val="0"/>
          <w:szCs w:val="21"/>
        </w:rPr>
        <w:t>总</w:t>
      </w:r>
      <w:r>
        <w:rPr>
          <w:rFonts w:ascii="宋体" w:hAnsi="宋体"/>
          <w:snapToGrid w:val="0"/>
          <w:kern w:val="0"/>
          <w:szCs w:val="21"/>
        </w:rPr>
        <w:t>承包工程</w:t>
      </w:r>
      <w:r>
        <w:rPr>
          <w:rFonts w:hint="eastAsia" w:ascii="宋体" w:hAnsi="宋体"/>
          <w:snapToGrid w:val="0"/>
          <w:kern w:val="0"/>
          <w:szCs w:val="21"/>
        </w:rPr>
        <w:t>。其中：</w:t>
      </w:r>
    </w:p>
    <w:p>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szCs w:val="21"/>
        </w:rPr>
      </w:pPr>
      <w:r>
        <w:rPr>
          <w:rFonts w:hint="eastAsia"/>
          <w:szCs w:val="21"/>
        </w:rPr>
        <w:t>□</w:t>
      </w:r>
      <w:r>
        <w:rPr>
          <w:rFonts w:hint="eastAsia" w:ascii="宋体" w:hAnsi="宋体"/>
        </w:rPr>
        <w:t>（</w:t>
      </w:r>
      <w:r>
        <w:rPr>
          <w:rFonts w:ascii="宋体" w:hAnsi="宋体"/>
        </w:rPr>
        <w:t>1</w:t>
      </w:r>
      <w:r>
        <w:rPr>
          <w:rFonts w:hint="eastAsia" w:ascii="宋体" w:hAnsi="宋体"/>
        </w:rPr>
        <w:t>）</w:t>
      </w:r>
      <w:r>
        <w:rPr>
          <w:rFonts w:hint="eastAsia" w:ascii="宋体" w:hAnsi="宋体"/>
          <w:szCs w:val="21"/>
        </w:rPr>
        <w:t>设计费：</w:t>
      </w:r>
      <w:r>
        <w:rPr>
          <w:rFonts w:hint="eastAsia"/>
          <w:szCs w:val="21"/>
        </w:rPr>
        <w:t>投标</w:t>
      </w:r>
      <w:r>
        <w:rPr>
          <w:rFonts w:hint="eastAsia" w:ascii="宋体" w:hAnsi="宋体"/>
          <w:szCs w:val="21"/>
        </w:rPr>
        <w:t>设计费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）□投标</w:t>
      </w:r>
      <w:r>
        <w:rPr>
          <w:rFonts w:hint="eastAsia" w:ascii="宋体" w:hAnsi="宋体"/>
          <w:szCs w:val="21"/>
        </w:rPr>
        <w:t>设计费</w:t>
      </w:r>
      <w:r>
        <w:rPr>
          <w:rFonts w:hint="eastAsia"/>
          <w:szCs w:val="21"/>
        </w:rPr>
        <w:t>固定费率为</w:t>
      </w:r>
      <w:r>
        <w:rPr>
          <w:rFonts w:hint="eastAsia"/>
          <w:szCs w:val="21"/>
          <w:u w:val="single"/>
        </w:rPr>
        <w:t xml:space="preserve">     </w:t>
      </w:r>
      <w:r>
        <w:rPr>
          <w:rFonts w:hint="eastAsia"/>
          <w:szCs w:val="21"/>
        </w:rPr>
        <w:t>%  □投标</w:t>
      </w:r>
      <w:r>
        <w:rPr>
          <w:rFonts w:hint="eastAsia" w:ascii="宋体" w:hAnsi="宋体"/>
          <w:szCs w:val="21"/>
        </w:rPr>
        <w:t>设计费</w:t>
      </w:r>
      <w:r>
        <w:rPr>
          <w:rFonts w:hint="eastAsia"/>
          <w:szCs w:val="21"/>
        </w:rPr>
        <w:t>单价为</w:t>
      </w:r>
      <w:r>
        <w:rPr>
          <w:rFonts w:hint="eastAsia"/>
          <w:szCs w:val="21"/>
          <w:u w:val="single"/>
        </w:rPr>
        <w:t xml:space="preserve">   </w:t>
      </w:r>
      <w:r>
        <w:rPr>
          <w:rFonts w:hint="eastAsia" w:ascii="宋体" w:hAnsi="宋体" w:eastAsia="宋体"/>
          <w:szCs w:val="21"/>
          <w:u w:val="none"/>
          <w:lang w:eastAsia="zh-CN"/>
        </w:rPr>
        <w:t>（单位：</w:t>
      </w:r>
      <w:r>
        <w:rPr>
          <w:rFonts w:hint="eastAsia" w:ascii="宋体" w:hAnsi="宋体" w:eastAsia="宋体"/>
          <w:szCs w:val="21"/>
          <w:u w:val="single"/>
          <w:lang w:val="en-US" w:eastAsia="zh-CN"/>
        </w:rPr>
        <w:t xml:space="preserve">  </w:t>
      </w:r>
      <w:r>
        <w:rPr>
          <w:rFonts w:hint="eastAsia" w:ascii="宋体" w:hAnsi="宋体" w:eastAsia="宋体"/>
          <w:szCs w:val="21"/>
          <w:u w:val="none"/>
          <w:lang w:eastAsia="zh-CN"/>
        </w:rPr>
        <w:t>）</w:t>
      </w:r>
      <w:r>
        <w:rPr>
          <w:rFonts w:hint="eastAsia"/>
          <w:szCs w:val="21"/>
        </w:rPr>
        <w:t>；</w:t>
      </w:r>
    </w:p>
    <w:p>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kern w:val="0"/>
          <w:szCs w:val="21"/>
        </w:rPr>
      </w:pPr>
      <w:r>
        <w:rPr>
          <w:rFonts w:hint="eastAsia"/>
          <w:szCs w:val="21"/>
        </w:rPr>
        <w:t>□（2）专业设备材料费：投标专业设备材料</w:t>
      </w:r>
      <w:r>
        <w:rPr>
          <w:rFonts w:hint="eastAsia" w:ascii="宋体" w:hAnsi="宋体"/>
          <w:szCs w:val="21"/>
        </w:rPr>
        <w:t>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p>
    <w:p>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kern w:val="0"/>
          <w:szCs w:val="21"/>
        </w:rPr>
      </w:pPr>
      <w:r>
        <w:rPr>
          <w:rFonts w:hint="eastAsia"/>
          <w:szCs w:val="21"/>
        </w:rPr>
        <w:t>□</w:t>
      </w: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）建筑安装工程费：</w:t>
      </w:r>
      <w:r>
        <w:rPr>
          <w:rFonts w:hint="eastAsia"/>
          <w:szCs w:val="21"/>
        </w:rPr>
        <w:t>投标</w:t>
      </w:r>
      <w:r>
        <w:rPr>
          <w:rFonts w:hint="eastAsia" w:ascii="宋体" w:hAnsi="宋体"/>
          <w:snapToGrid w:val="0"/>
          <w:kern w:val="0"/>
          <w:szCs w:val="21"/>
        </w:rPr>
        <w:t>建筑安装工程费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）□投标</w:t>
      </w:r>
      <w:r>
        <w:rPr>
          <w:rFonts w:hint="eastAsia" w:ascii="宋体" w:hAnsi="宋体"/>
          <w:snapToGrid w:val="0"/>
          <w:kern w:val="0"/>
          <w:szCs w:val="21"/>
        </w:rPr>
        <w:t>建筑安装工程费</w:t>
      </w:r>
      <w:r>
        <w:rPr>
          <w:rFonts w:hint="eastAsia"/>
          <w:szCs w:val="21"/>
        </w:rPr>
        <w:t>固定费率为</w:t>
      </w:r>
      <w:r>
        <w:rPr>
          <w:rFonts w:hint="eastAsia"/>
          <w:szCs w:val="21"/>
          <w:u w:val="single"/>
        </w:rPr>
        <w:t xml:space="preserve">     </w:t>
      </w:r>
      <w:r>
        <w:rPr>
          <w:rFonts w:hint="eastAsia"/>
          <w:szCs w:val="21"/>
        </w:rPr>
        <w:t>%；</w:t>
      </w:r>
    </w:p>
    <w:p>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hint="eastAsia"/>
          <w:szCs w:val="21"/>
        </w:rPr>
        <w:t>□</w:t>
      </w: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w:t>
      </w:r>
      <w:r>
        <w:rPr>
          <w:rFonts w:hint="eastAsia" w:ascii="宋体" w:hAnsi="宋体"/>
          <w:szCs w:val="21"/>
        </w:rPr>
        <w:t>其他费用（如有）：</w:t>
      </w:r>
      <w:r>
        <w:rPr>
          <w:rFonts w:hint="eastAsia" w:ascii="宋体" w:hAnsi="宋体"/>
          <w:szCs w:val="21"/>
          <w:u w:val="single"/>
        </w:rPr>
        <w:t xml:space="preserve">                                              </w:t>
      </w:r>
      <w:r>
        <w:rPr>
          <w:rFonts w:hint="eastAsia" w:ascii="宋体" w:hAnsi="宋体"/>
          <w:szCs w:val="21"/>
        </w:rPr>
        <w:t xml:space="preserve"> </w:t>
      </w:r>
    </w:p>
    <w:p>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hint="eastAsia" w:ascii="宋体" w:hAnsi="宋体"/>
          <w:snapToGrid w:val="0"/>
          <w:kern w:val="0"/>
          <w:szCs w:val="21"/>
        </w:rPr>
        <w:t>注：投标报价建议保留两位小数。</w:t>
      </w:r>
    </w:p>
    <w:p>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u w:val="single"/>
        </w:rPr>
      </w:pPr>
      <w:r>
        <w:rPr>
          <w:rFonts w:hint="eastAsia" w:ascii="宋体" w:hAnsi="宋体" w:cs="宋体"/>
          <w:szCs w:val="21"/>
        </w:rPr>
        <w:t>总承包项目经理为：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w:t>
      </w:r>
      <w:r>
        <w:rPr>
          <w:rFonts w:hint="eastAsia"/>
          <w:szCs w:val="21"/>
        </w:rPr>
        <w:t>□</w:t>
      </w:r>
      <w:r>
        <w:rPr>
          <w:rFonts w:hint="eastAsia" w:ascii="宋体" w:hAnsi="宋体" w:cs="宋体"/>
          <w:szCs w:val="21"/>
        </w:rPr>
        <w:t>设计负责人为：</w:t>
      </w:r>
      <w:r>
        <w:rPr>
          <w:rFonts w:hint="eastAsia" w:ascii="宋体" w:hAnsi="宋体" w:cs="宋体"/>
          <w:szCs w:val="21"/>
          <w:u w:val="single"/>
        </w:rPr>
        <w:t xml:space="preserve">            </w:t>
      </w:r>
      <w:r>
        <w:rPr>
          <w:rFonts w:hint="eastAsia" w:ascii="宋体" w:hAnsi="宋体" w:cs="宋体"/>
          <w:szCs w:val="21"/>
        </w:rPr>
        <w:t>；</w:t>
      </w:r>
      <w:r>
        <w:rPr>
          <w:rFonts w:hint="eastAsia"/>
          <w:szCs w:val="21"/>
        </w:rPr>
        <w:t>□</w:t>
      </w:r>
      <w:r>
        <w:rPr>
          <w:rFonts w:hint="eastAsia" w:ascii="宋体" w:hAnsi="宋体" w:cs="宋体"/>
          <w:szCs w:val="21"/>
        </w:rPr>
        <w:t>施工负责人为：</w:t>
      </w:r>
      <w:r>
        <w:rPr>
          <w:rFonts w:hint="eastAsia" w:ascii="宋体" w:hAnsi="宋体" w:cs="宋体"/>
          <w:szCs w:val="21"/>
          <w:u w:val="single"/>
        </w:rPr>
        <w:t xml:space="preserve">            </w:t>
      </w:r>
      <w:r>
        <w:rPr>
          <w:rFonts w:hint="eastAsia" w:ascii="宋体" w:hAnsi="宋体"/>
          <w:snapToGrid w:val="0"/>
          <w:kern w:val="0"/>
          <w:szCs w:val="21"/>
        </w:rPr>
        <w:t>。</w:t>
      </w:r>
      <w:r>
        <w:rPr>
          <w:rFonts w:ascii="宋体" w:hAnsi="宋体"/>
          <w:snapToGrid w:val="0"/>
          <w:kern w:val="0"/>
          <w:szCs w:val="21"/>
        </w:rPr>
        <w:t>工期</w:t>
      </w:r>
      <w:r>
        <w:rPr>
          <w:rFonts w:hint="eastAsia" w:ascii="宋体" w:hAnsi="宋体"/>
          <w:snapToGrid w:val="0"/>
          <w:kern w:val="0"/>
          <w:szCs w:val="21"/>
          <w:u w:val="single"/>
        </w:rPr>
        <w:t>符合招标文件的要求</w:t>
      </w:r>
      <w:r>
        <w:rPr>
          <w:rFonts w:hint="eastAsia" w:ascii="宋体" w:hAnsi="宋体" w:cs="宋体"/>
          <w:snapToGrid w:val="0"/>
          <w:kern w:val="0"/>
          <w:position w:val="-2"/>
          <w:szCs w:val="21"/>
        </w:rPr>
        <w:t>，</w:t>
      </w:r>
      <w:r>
        <w:rPr>
          <w:rFonts w:ascii="宋体" w:hAnsi="宋体"/>
          <w:snapToGrid w:val="0"/>
          <w:kern w:val="0"/>
          <w:szCs w:val="21"/>
        </w:rPr>
        <w:t>工程质量</w:t>
      </w:r>
      <w:r>
        <w:rPr>
          <w:rFonts w:ascii="宋体" w:hAnsi="宋体"/>
          <w:snapToGrid w:val="0"/>
          <w:kern w:val="0"/>
          <w:szCs w:val="21"/>
          <w:u w:val="single"/>
        </w:rPr>
        <w:t>达到</w:t>
      </w:r>
      <w:r>
        <w:rPr>
          <w:rFonts w:hint="eastAsia" w:ascii="宋体" w:hAnsi="宋体"/>
          <w:snapToGrid w:val="0"/>
          <w:kern w:val="0"/>
          <w:szCs w:val="21"/>
          <w:u w:val="single"/>
        </w:rPr>
        <w:t>招标文件的要求</w:t>
      </w:r>
      <w:r>
        <w:rPr>
          <w:rFonts w:hint="eastAsia" w:ascii="宋体" w:hAnsi="宋体"/>
          <w:snapToGrid w:val="0"/>
          <w:kern w:val="0"/>
          <w:szCs w:val="21"/>
        </w:rPr>
        <w:t>。</w:t>
      </w:r>
    </w:p>
    <w:p>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）。投标保证金有</w:t>
      </w:r>
      <w:r>
        <w:rPr>
          <w:rFonts w:hint="eastAsia" w:ascii="宋体" w:hAnsi="宋体"/>
          <w:snapToGrid w:val="0"/>
          <w:kern w:val="0"/>
          <w:szCs w:val="21"/>
        </w:rPr>
        <w:t>效</w:t>
      </w:r>
      <w:r>
        <w:rPr>
          <w:rFonts w:ascii="宋体" w:hAnsi="宋体"/>
          <w:snapToGrid w:val="0"/>
          <w:kern w:val="0"/>
          <w:szCs w:val="21"/>
        </w:rPr>
        <w:t>期与投标有</w:t>
      </w:r>
      <w:r>
        <w:rPr>
          <w:rFonts w:hint="eastAsia" w:ascii="宋体" w:hAnsi="宋体"/>
          <w:snapToGrid w:val="0"/>
          <w:kern w:val="0"/>
          <w:szCs w:val="21"/>
        </w:rPr>
        <w:t>效</w:t>
      </w:r>
      <w:r>
        <w:rPr>
          <w:rFonts w:ascii="宋体" w:hAnsi="宋体"/>
          <w:snapToGrid w:val="0"/>
          <w:kern w:val="0"/>
          <w:szCs w:val="21"/>
        </w:rPr>
        <w:t>期一致，在此期间，若我方违反招投标有关法律、法规及本招标文件的相关规定，投标保证金的受益人为招标人。</w:t>
      </w:r>
    </w:p>
    <w:p>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pPr>
        <w:autoSpaceDE w:val="0"/>
        <w:autoSpaceDN w:val="0"/>
        <w:adjustRightInd w:val="0"/>
        <w:spacing w:line="360" w:lineRule="auto"/>
        <w:ind w:firstLine="420" w:firstLineChars="200"/>
      </w:pPr>
      <w:r>
        <w:rPr>
          <w:rFonts w:hint="eastAsia"/>
        </w:rPr>
        <w:t>（5）我方承诺以不低于招标文件第六章“发包人要求”中所列的技术指标和参数要求完成全部合同工程。</w:t>
      </w:r>
    </w:p>
    <w:p>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w:t>
      </w:r>
      <w:r>
        <w:rPr>
          <w:rFonts w:hint="eastAsia" w:ascii="宋体" w:hAnsi="宋体"/>
          <w:snapToGrid w:val="0"/>
          <w:kern w:val="0"/>
          <w:szCs w:val="21"/>
          <w:lang w:val="en-US" w:eastAsia="zh-CN"/>
        </w:rPr>
        <w:t>和第9.2款</w:t>
      </w:r>
      <w:r>
        <w:rPr>
          <w:rFonts w:ascii="宋体" w:hAnsi="宋体"/>
          <w:snapToGrid w:val="0"/>
          <w:kern w:val="0"/>
          <w:szCs w:val="21"/>
        </w:rPr>
        <w:t>规定的任何一种情形。同时我方承诺接受招标文件及附件、澄清及修改通知中所有的内容。</w:t>
      </w:r>
    </w:p>
    <w:p>
      <w:pPr>
        <w:tabs>
          <w:tab w:val="left" w:pos="5985"/>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（其他补充说明）。</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（签名或盖章）</w:t>
      </w:r>
    </w:p>
    <w:p>
      <w:pPr>
        <w:tabs>
          <w:tab w:val="left" w:pos="7035"/>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rPr>
        <w:t>委托代理人电话（手机）：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2"/>
        <w:rPr>
          <w:rFonts w:ascii="宋体" w:hAnsi="宋体"/>
          <w:kern w:val="0"/>
          <w:szCs w:val="21"/>
        </w:rPr>
      </w:pPr>
    </w:p>
    <w:p>
      <w:pPr>
        <w:spacing w:line="360" w:lineRule="auto"/>
        <w:ind w:firstLine="420" w:firstLineChars="200"/>
        <w:rPr>
          <w:rFonts w:ascii="宋体" w:hAnsi="宋体"/>
        </w:rPr>
      </w:pPr>
    </w:p>
    <w:p>
      <w:pPr>
        <w:spacing w:line="360" w:lineRule="auto"/>
        <w:ind w:firstLine="420" w:firstLineChars="200"/>
        <w:rPr>
          <w:rFonts w:ascii="宋体" w:hAnsi="宋体"/>
        </w:rPr>
      </w:pPr>
    </w:p>
    <w:p>
      <w:pPr>
        <w:spacing w:line="360" w:lineRule="auto"/>
        <w:ind w:firstLine="420" w:firstLineChars="200"/>
        <w:rPr>
          <w:rFonts w:ascii="宋体" w:hAnsi="宋体"/>
        </w:rPr>
      </w:pPr>
    </w:p>
    <w:p>
      <w:pPr>
        <w:spacing w:line="360" w:lineRule="auto"/>
        <w:ind w:firstLine="420" w:firstLineChars="200"/>
        <w:rPr>
          <w:rFonts w:ascii="宋体" w:hAnsi="宋体"/>
          <w:kern w:val="0"/>
          <w:szCs w:val="21"/>
        </w:rPr>
      </w:pPr>
    </w:p>
    <w:p>
      <w:pPr>
        <w:spacing w:after="260"/>
        <w:jc w:val="center"/>
        <w:rPr>
          <w:rFonts w:ascii="宋体" w:hAnsi="宋体"/>
          <w:snapToGrid w:val="0"/>
          <w:kern w:val="0"/>
          <w:szCs w:val="21"/>
        </w:rPr>
      </w:pPr>
      <w:bookmarkStart w:id="3270" w:name="_Toc224103496"/>
      <w:bookmarkStart w:id="3271" w:name="_Toc430530531"/>
      <w:bookmarkStart w:id="3272" w:name="_Toc287607868"/>
      <w:bookmarkStart w:id="3273" w:name="_Toc277082644"/>
      <w:bookmarkStart w:id="3274" w:name="_Toc287620815"/>
      <w:r>
        <w:rPr>
          <w:rFonts w:ascii="宋体" w:hAnsi="宋体"/>
          <w:sz w:val="28"/>
        </w:rPr>
        <w:br w:type="page"/>
      </w:r>
      <w:bookmarkStart w:id="3275" w:name="_Toc534185832"/>
      <w:bookmarkStart w:id="3276" w:name="_Toc509218855"/>
      <w:r>
        <w:rPr>
          <w:rFonts w:ascii="宋体" w:hAnsi="宋体"/>
          <w:snapToGrid w:val="0"/>
          <w:kern w:val="0"/>
          <w:sz w:val="32"/>
          <w:szCs w:val="32"/>
        </w:rPr>
        <w:t>（二）投标函附录</w:t>
      </w:r>
      <w:bookmarkEnd w:id="3270"/>
      <w:bookmarkEnd w:id="3271"/>
      <w:bookmarkEnd w:id="3272"/>
      <w:bookmarkEnd w:id="3273"/>
      <w:bookmarkEnd w:id="3274"/>
      <w:bookmarkEnd w:id="3275"/>
      <w:bookmarkEnd w:id="3276"/>
    </w:p>
    <w:tbl>
      <w:tblPr>
        <w:tblStyle w:val="45"/>
        <w:tblW w:w="9469"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1</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8.2</w:t>
            </w:r>
          </w:p>
        </w:tc>
        <w:tc>
          <w:tcPr>
            <w:tcW w:w="2987" w:type="dxa"/>
            <w:vAlign w:val="center"/>
          </w:tcPr>
          <w:p>
            <w:pPr>
              <w:tabs>
                <w:tab w:val="left" w:pos="1560"/>
              </w:tabs>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2</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缺陷责任期</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11.2</w:t>
            </w:r>
          </w:p>
        </w:tc>
        <w:tc>
          <w:tcPr>
            <w:tcW w:w="2987" w:type="dxa"/>
            <w:vAlign w:val="center"/>
          </w:tcPr>
          <w:p>
            <w:pPr>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3</w:t>
            </w:r>
          </w:p>
        </w:tc>
        <w:tc>
          <w:tcPr>
            <w:tcW w:w="2582"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工程质量要求</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6.4.1</w:t>
            </w:r>
          </w:p>
        </w:tc>
        <w:tc>
          <w:tcPr>
            <w:tcW w:w="2987" w:type="dxa"/>
            <w:vAlign w:val="center"/>
          </w:tcPr>
          <w:p>
            <w:pPr>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4</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4.5</w:t>
            </w:r>
          </w:p>
        </w:tc>
        <w:tc>
          <w:tcPr>
            <w:tcW w:w="2987" w:type="dxa"/>
            <w:vAlign w:val="center"/>
          </w:tcPr>
          <w:p>
            <w:pPr>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pPr>
              <w:autoSpaceDE w:val="0"/>
              <w:autoSpaceDN w:val="0"/>
              <w:adjustRightInd w:val="0"/>
              <w:jc w:val="center"/>
              <w:rPr>
                <w:rFonts w:ascii="宋体" w:hAnsi="宋体"/>
                <w:snapToGrid w:val="0"/>
                <w:kern w:val="0"/>
                <w:szCs w:val="21"/>
              </w:rPr>
            </w:pPr>
          </w:p>
        </w:tc>
      </w:tr>
    </w:tbl>
    <w:p>
      <w:pPr>
        <w:spacing w:line="360" w:lineRule="auto"/>
        <w:rPr>
          <w:rFonts w:ascii="宋体" w:hAnsi="宋体"/>
          <w:snapToGrid w:val="0"/>
          <w:w w:val="99"/>
        </w:rPr>
      </w:pPr>
    </w:p>
    <w:p>
      <w:pPr>
        <w:spacing w:line="360" w:lineRule="auto"/>
        <w:rPr>
          <w:rFonts w:ascii="宋体" w:hAnsi="宋体"/>
          <w:snapToGrid w:val="0"/>
        </w:rPr>
      </w:pPr>
    </w:p>
    <w:p>
      <w:pPr>
        <w:spacing w:line="360" w:lineRule="auto"/>
        <w:rPr>
          <w:rFonts w:ascii="宋体" w:hAnsi="宋体"/>
          <w:snapToGrid w:val="0"/>
        </w:rPr>
      </w:pPr>
    </w:p>
    <w:p>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 xml:space="preserve">（签名或盖章） </w:t>
      </w: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pPr>
        <w:tabs>
          <w:tab w:val="left" w:pos="7140"/>
          <w:tab w:val="left" w:pos="7560"/>
          <w:tab w:val="left" w:pos="8300"/>
        </w:tabs>
        <w:autoSpaceDE w:val="0"/>
        <w:autoSpaceDN w:val="0"/>
        <w:adjustRightInd w:val="0"/>
        <w:spacing w:line="360" w:lineRule="auto"/>
        <w:ind w:right="210"/>
        <w:jc w:val="center"/>
        <w:rPr>
          <w:rFonts w:ascii="宋体" w:hAnsi="宋体"/>
          <w:snapToGrid w:val="0"/>
          <w:kern w:val="0"/>
          <w:szCs w:val="21"/>
        </w:rPr>
      </w:pPr>
      <w:r>
        <w:rPr>
          <w:rFonts w:ascii="宋体" w:hAnsi="宋体"/>
          <w:snapToGrid w:val="0"/>
        </w:rPr>
        <w:br w:type="page"/>
      </w:r>
      <w:bookmarkStart w:id="3277" w:name="_Toc224103497"/>
      <w:bookmarkStart w:id="3278" w:name="_Toc277082645"/>
      <w:bookmarkStart w:id="3279" w:name="_Toc287620816"/>
      <w:bookmarkStart w:id="3280" w:name="_Toc287607869"/>
      <w:bookmarkStart w:id="3281" w:name="_Toc430530532"/>
      <w:r>
        <w:rPr>
          <w:rFonts w:ascii="宋体" w:hAnsi="宋体"/>
          <w:snapToGrid w:val="0"/>
          <w:kern w:val="0"/>
          <w:sz w:val="32"/>
          <w:szCs w:val="32"/>
        </w:rPr>
        <w:t>（三）</w:t>
      </w:r>
      <w:bookmarkEnd w:id="3277"/>
      <w:bookmarkEnd w:id="3278"/>
      <w:bookmarkEnd w:id="3279"/>
      <w:bookmarkEnd w:id="3280"/>
      <w:bookmarkEnd w:id="3281"/>
      <w:r>
        <w:rPr>
          <w:rFonts w:hint="eastAsia" w:ascii="宋体" w:hAnsi="宋体"/>
          <w:snapToGrid w:val="0"/>
          <w:kern w:val="0"/>
          <w:sz w:val="30"/>
          <w:szCs w:val="30"/>
        </w:rPr>
        <w:t>法定代表人身份证明或授权委托书</w:t>
      </w:r>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autoSpaceDE w:val="0"/>
        <w:autoSpaceDN w:val="0"/>
        <w:adjustRightInd w:val="0"/>
        <w:snapToGrid w:val="0"/>
        <w:spacing w:line="480" w:lineRule="auto"/>
        <w:ind w:firstLine="186" w:firstLineChars="186"/>
        <w:jc w:val="left"/>
        <w:rPr>
          <w:rFonts w:ascii="宋体" w:hAnsi="宋体"/>
          <w:kern w:val="0"/>
          <w:sz w:val="10"/>
          <w:szCs w:val="10"/>
        </w:rPr>
      </w:pPr>
    </w:p>
    <w:p>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480" w:lineRule="auto"/>
        <w:ind w:firstLine="772" w:firstLineChars="386"/>
        <w:jc w:val="left"/>
        <w:rPr>
          <w:rFonts w:ascii="宋体" w:hAnsi="宋体"/>
          <w:kern w:val="0"/>
          <w:sz w:val="20"/>
          <w:szCs w:val="20"/>
        </w:rPr>
      </w:pPr>
    </w:p>
    <w:p>
      <w:pPr>
        <w:autoSpaceDE w:val="0"/>
        <w:autoSpaceDN w:val="0"/>
        <w:adjustRightInd w:val="0"/>
        <w:snapToGrid w:val="0"/>
        <w:spacing w:line="480" w:lineRule="auto"/>
        <w:jc w:val="left"/>
        <w:rPr>
          <w:rFonts w:ascii="宋体" w:hAnsi="宋体"/>
          <w:kern w:val="0"/>
          <w:sz w:val="20"/>
          <w:szCs w:val="20"/>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（签名或盖章）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（签名）</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r>
        <w:rPr>
          <w:rFonts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pPr>
      <w:r>
        <w:rPr>
          <w:rFonts w:hint="eastAsia" w:ascii="宋体" w:hAnsi="宋体"/>
          <w:kern w:val="0"/>
          <w:szCs w:val="21"/>
        </w:rPr>
        <w:t>委托代理人电话（手机）：</w:t>
      </w:r>
      <w:r>
        <w:rPr>
          <w:rFonts w:hint="eastAsia" w:ascii="宋体" w:hAnsi="宋体"/>
          <w:kern w:val="0"/>
          <w:szCs w:val="21"/>
          <w:u w:val="single"/>
        </w:rPr>
        <w:t xml:space="preserve"> </w:t>
      </w:r>
      <w:r>
        <w:rPr>
          <w:rFonts w:ascii="宋体" w:hAnsi="宋体"/>
          <w:kern w:val="0"/>
          <w:szCs w:val="21"/>
          <w:u w:val="single"/>
        </w:rPr>
        <w:t xml:space="preserve">                                         </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附：法定代表人及委托代理人身份证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5760"/>
        </w:tabs>
        <w:autoSpaceDE w:val="0"/>
        <w:autoSpaceDN w:val="0"/>
        <w:adjustRightInd w:val="0"/>
        <w:spacing w:line="360" w:lineRule="auto"/>
        <w:rPr>
          <w:rFonts w:ascii="宋体" w:hAnsi="宋体"/>
          <w:kern w:val="0"/>
        </w:rPr>
      </w:pPr>
    </w:p>
    <w:p>
      <w:pPr>
        <w:pStyle w:val="2"/>
        <w:rPr>
          <w:rFonts w:ascii="宋体" w:hAnsi="宋体"/>
          <w:kern w:val="0"/>
        </w:rPr>
      </w:pPr>
    </w:p>
    <w:p>
      <w:pPr>
        <w:pStyle w:val="2"/>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spacing w:line="360" w:lineRule="auto"/>
        <w:ind w:firstLine="420" w:firstLineChars="200"/>
        <w:rPr>
          <w:rFonts w:ascii="宋体" w:hAnsi="宋体"/>
        </w:rPr>
      </w:pPr>
      <w:r>
        <w:rPr>
          <w:rFonts w:ascii="宋体" w:hAnsi="宋体"/>
        </w:rPr>
        <w:br w:type="page"/>
      </w:r>
    </w:p>
    <w:p>
      <w:pPr>
        <w:autoSpaceDE w:val="0"/>
        <w:autoSpaceDN w:val="0"/>
        <w:adjustRightInd w:val="0"/>
        <w:snapToGrid w:val="0"/>
        <w:spacing w:line="360" w:lineRule="auto"/>
        <w:jc w:val="center"/>
        <w:rPr>
          <w:rFonts w:hint="default" w:ascii="宋体" w:hAnsi="宋体" w:eastAsia="宋体"/>
          <w:snapToGrid w:val="0"/>
          <w:kern w:val="0"/>
          <w:sz w:val="32"/>
          <w:szCs w:val="32"/>
          <w:lang w:val="en-US" w:eastAsia="zh-CN"/>
        </w:rPr>
      </w:pPr>
      <w:bookmarkStart w:id="3282" w:name="_Toc287607870"/>
      <w:bookmarkStart w:id="3283" w:name="_Toc224103498"/>
      <w:bookmarkStart w:id="3284" w:name="_Toc277082646"/>
      <w:bookmarkStart w:id="3285" w:name="_Toc287620817"/>
      <w:bookmarkStart w:id="3286" w:name="_Toc430530533"/>
      <w:r>
        <w:rPr>
          <w:rFonts w:ascii="宋体" w:hAnsi="宋体"/>
          <w:snapToGrid w:val="0"/>
          <w:kern w:val="0"/>
          <w:sz w:val="32"/>
          <w:szCs w:val="32"/>
        </w:rPr>
        <w:t>（四）</w:t>
      </w:r>
      <w:bookmarkEnd w:id="3282"/>
      <w:bookmarkEnd w:id="3283"/>
      <w:bookmarkEnd w:id="3284"/>
      <w:bookmarkEnd w:id="3285"/>
      <w:bookmarkStart w:id="3287" w:name="_Toc277082647"/>
      <w:bookmarkStart w:id="3288" w:name="_Toc287607871"/>
      <w:bookmarkStart w:id="3289" w:name="_Toc287620818"/>
      <w:bookmarkStart w:id="3290" w:name="_Toc224103499"/>
      <w:r>
        <w:rPr>
          <w:rFonts w:hint="eastAsia" w:ascii="宋体" w:hAnsi="宋体"/>
          <w:snapToGrid w:val="0"/>
          <w:kern w:val="0"/>
          <w:sz w:val="32"/>
          <w:szCs w:val="32"/>
          <w:lang w:val="en-US" w:eastAsia="zh-CN"/>
        </w:rPr>
        <w:t>投标报价合理性说明（如有）</w:t>
      </w:r>
    </w:p>
    <w:p>
      <w:pPr>
        <w:autoSpaceDE w:val="0"/>
        <w:autoSpaceDN w:val="0"/>
        <w:adjustRightInd w:val="0"/>
        <w:snapToGrid w:val="0"/>
        <w:spacing w:line="360" w:lineRule="auto"/>
        <w:jc w:val="center"/>
        <w:rPr>
          <w:rFonts w:ascii="宋体" w:hAnsi="宋体"/>
          <w:snapToGrid w:val="0"/>
          <w:kern w:val="0"/>
          <w:sz w:val="32"/>
          <w:szCs w:val="32"/>
        </w:rPr>
      </w:pPr>
    </w:p>
    <w:p>
      <w:pPr>
        <w:autoSpaceDE w:val="0"/>
        <w:autoSpaceDN w:val="0"/>
        <w:adjustRightInd w:val="0"/>
        <w:snapToGrid w:val="0"/>
        <w:spacing w:line="360" w:lineRule="auto"/>
        <w:jc w:val="center"/>
        <w:rPr>
          <w:rFonts w:ascii="宋体" w:hAnsi="宋体"/>
          <w:snapToGrid w:val="0"/>
          <w:kern w:val="0"/>
          <w:sz w:val="32"/>
          <w:szCs w:val="32"/>
        </w:rPr>
      </w:pPr>
    </w:p>
    <w:p>
      <w:pPr>
        <w:autoSpaceDE w:val="0"/>
        <w:autoSpaceDN w:val="0"/>
        <w:adjustRightInd w:val="0"/>
        <w:snapToGrid w:val="0"/>
        <w:spacing w:line="360" w:lineRule="auto"/>
        <w:ind w:firstLine="640"/>
        <w:rPr>
          <w:rFonts w:ascii="宋体" w:hAnsi="宋体" w:cs="宋体"/>
          <w:snapToGrid w:val="0"/>
          <w:kern w:val="0"/>
          <w:sz w:val="32"/>
          <w:szCs w:val="32"/>
        </w:rPr>
      </w:pPr>
      <w:r>
        <w:rPr>
          <w:rFonts w:hint="eastAsia" w:ascii="宋体" w:hAnsi="宋体"/>
          <w:i w:val="0"/>
          <w:iCs w:val="0"/>
          <w:snapToGrid w:val="0"/>
          <w:kern w:val="0"/>
          <w:sz w:val="21"/>
          <w:szCs w:val="21"/>
          <w:lang w:val="en-US" w:eastAsia="zh-CN"/>
        </w:rPr>
        <w:t>（注：投标报价</w:t>
      </w:r>
      <w:r>
        <w:rPr>
          <w:rFonts w:hint="eastAsia" w:ascii="宋体" w:hAnsi="宋体"/>
          <w:lang w:val="en-US" w:eastAsia="zh-CN"/>
        </w:rPr>
        <w:t>低于异常低价警戒线</w:t>
      </w:r>
      <w:r>
        <w:rPr>
          <w:rFonts w:hint="eastAsia" w:ascii="宋体" w:hAnsi="宋体"/>
          <w:i w:val="0"/>
          <w:iCs w:val="0"/>
          <w:snapToGrid w:val="0"/>
          <w:kern w:val="0"/>
          <w:sz w:val="21"/>
          <w:szCs w:val="21"/>
          <w:lang w:val="en-US" w:eastAsia="zh-CN"/>
        </w:rPr>
        <w:t>时提供，格式自拟，并提供必要的佐证材料。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snapToGrid w:val="0"/>
          <w:kern w:val="0"/>
          <w:szCs w:val="21"/>
        </w:rPr>
        <w:t>。</w:t>
      </w:r>
      <w:r>
        <w:rPr>
          <w:rFonts w:hint="eastAsia" w:ascii="宋体" w:hAnsi="宋体"/>
          <w:i w:val="0"/>
          <w:iCs w:val="0"/>
          <w:snapToGrid w:val="0"/>
          <w:kern w:val="0"/>
          <w:sz w:val="21"/>
          <w:szCs w:val="21"/>
          <w:lang w:val="en-US" w:eastAsia="zh-CN"/>
        </w:rPr>
        <w:t>）</w:t>
      </w:r>
    </w:p>
    <w:p>
      <w:pPr>
        <w:autoSpaceDE w:val="0"/>
        <w:autoSpaceDN w:val="0"/>
        <w:adjustRightInd w:val="0"/>
        <w:snapToGrid w:val="0"/>
        <w:spacing w:line="360" w:lineRule="auto"/>
        <w:jc w:val="center"/>
        <w:rPr>
          <w:rFonts w:ascii="宋体" w:hAnsi="宋体"/>
          <w:snapToGrid w:val="0"/>
          <w:kern w:val="0"/>
          <w:sz w:val="32"/>
          <w:szCs w:val="32"/>
        </w:rPr>
      </w:pPr>
    </w:p>
    <w:p>
      <w:pPr>
        <w:pStyle w:val="2"/>
        <w:rPr>
          <w:rFonts w:ascii="宋体" w:hAnsi="宋体"/>
          <w:snapToGrid w:val="0"/>
          <w:kern w:val="0"/>
          <w:sz w:val="32"/>
          <w:szCs w:val="32"/>
        </w:rPr>
      </w:pPr>
      <w:r>
        <w:rPr>
          <w:rFonts w:ascii="宋体" w:hAnsi="宋体"/>
          <w:snapToGrid w:val="0"/>
          <w:kern w:val="0"/>
          <w:sz w:val="32"/>
          <w:szCs w:val="32"/>
        </w:rPr>
        <w:br w:type="page"/>
      </w:r>
    </w:p>
    <w:bookmarkEnd w:id="3286"/>
    <w:bookmarkEnd w:id="3287"/>
    <w:bookmarkEnd w:id="3288"/>
    <w:bookmarkEnd w:id="3289"/>
    <w:bookmarkEnd w:id="3290"/>
    <w:p>
      <w:pPr>
        <w:pStyle w:val="4"/>
        <w:spacing w:line="360" w:lineRule="auto"/>
        <w:jc w:val="center"/>
        <w:rPr>
          <w:rFonts w:ascii="宋体" w:hAnsi="宋体"/>
          <w:b w:val="0"/>
          <w:bCs w:val="0"/>
          <w:sz w:val="44"/>
          <w:szCs w:val="44"/>
        </w:rPr>
      </w:pPr>
      <w:bookmarkStart w:id="3291" w:name="_Toc879"/>
      <w:bookmarkStart w:id="3292" w:name="_Toc29027"/>
      <w:bookmarkStart w:id="3293" w:name="_Toc27215"/>
      <w:r>
        <w:rPr>
          <w:rFonts w:hint="eastAsia" w:ascii="宋体" w:hAnsi="宋体"/>
          <w:b w:val="0"/>
          <w:bCs w:val="0"/>
          <w:sz w:val="44"/>
          <w:szCs w:val="44"/>
        </w:rPr>
        <w:t>二、</w:t>
      </w:r>
      <w:r>
        <w:rPr>
          <w:rFonts w:hint="eastAsia" w:ascii="宋体" w:hAnsi="宋体"/>
          <w:b w:val="0"/>
          <w:bCs w:val="0"/>
          <w:sz w:val="44"/>
          <w:szCs w:val="44"/>
          <w:lang w:val="en-US" w:eastAsia="zh-CN"/>
        </w:rPr>
        <w:t>报价</w:t>
      </w:r>
      <w:r>
        <w:rPr>
          <w:rFonts w:hint="eastAsia" w:ascii="宋体" w:hAnsi="宋体"/>
          <w:b w:val="0"/>
          <w:bCs w:val="0"/>
          <w:sz w:val="44"/>
          <w:szCs w:val="44"/>
        </w:rPr>
        <w:t>部分</w:t>
      </w:r>
      <w:bookmarkEnd w:id="3291"/>
      <w:bookmarkEnd w:id="3292"/>
      <w:bookmarkEnd w:id="3293"/>
    </w:p>
    <w:p>
      <w:pPr>
        <w:pStyle w:val="9"/>
        <w:tabs>
          <w:tab w:val="left" w:pos="315"/>
        </w:tabs>
        <w:spacing w:before="156" w:beforeLines="50" w:line="500" w:lineRule="exact"/>
        <w:ind w:firstLine="420" w:firstLineChars="200"/>
        <w:rPr>
          <w:rFonts w:ascii="宋体" w:hAnsi="宋体" w:eastAsia="宋体"/>
          <w:snapToGrid w:val="0"/>
          <w:sz w:val="21"/>
          <w:szCs w:val="21"/>
        </w:rPr>
      </w:pPr>
    </w:p>
    <w:p>
      <w:pPr>
        <w:widowControl/>
        <w:jc w:val="left"/>
        <w:rPr>
          <w:rFonts w:ascii="宋体" w:hAnsi="宋体"/>
          <w:snapToGrid w:val="0"/>
          <w:kern w:val="0"/>
          <w:szCs w:val="21"/>
        </w:rPr>
      </w:pPr>
      <w:r>
        <w:rPr>
          <w:rFonts w:ascii="宋体" w:hAnsi="宋体"/>
          <w:snapToGrid w:val="0"/>
          <w:szCs w:val="21"/>
        </w:rPr>
        <w:br w:type="page"/>
      </w:r>
    </w:p>
    <w:p>
      <w:pPr>
        <w:spacing w:line="360" w:lineRule="auto"/>
        <w:jc w:val="center"/>
        <w:rPr>
          <w:rFonts w:ascii="宋体" w:hAnsi="宋体"/>
          <w:kern w:val="0"/>
          <w:sz w:val="32"/>
          <w:szCs w:val="32"/>
        </w:rPr>
      </w:pPr>
      <w:bookmarkStart w:id="3294" w:name="_Hlk45039087"/>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lang w:val="en-US" w:eastAsia="zh-CN"/>
        </w:rPr>
        <w:t>报价</w:t>
      </w:r>
      <w:r>
        <w:rPr>
          <w:rFonts w:hint="eastAsia" w:ascii="宋体" w:hAnsi="宋体"/>
          <w:kern w:val="0"/>
          <w:sz w:val="36"/>
          <w:szCs w:val="36"/>
        </w:rPr>
        <w:t>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pPr>
        <w:pStyle w:val="9"/>
        <w:tabs>
          <w:tab w:val="left" w:pos="315"/>
        </w:tabs>
        <w:spacing w:before="156" w:beforeLines="50" w:line="500" w:lineRule="exact"/>
        <w:ind w:firstLine="554" w:firstLineChars="200"/>
        <w:jc w:val="center"/>
        <w:rPr>
          <w:rFonts w:ascii="宋体" w:hAnsi="宋体" w:eastAsia="宋体"/>
          <w:b/>
          <w:sz w:val="21"/>
          <w:szCs w:val="21"/>
        </w:rPr>
      </w:pPr>
      <w:r>
        <w:rPr>
          <w:rFonts w:hint="eastAsia" w:ascii="宋体" w:hAnsi="宋体"/>
          <w:w w:val="99"/>
          <w:sz w:val="28"/>
          <w:szCs w:val="28"/>
          <w:u w:val="single"/>
        </w:rPr>
        <w:t xml:space="preserve">    </w:t>
      </w:r>
      <w:r>
        <w:rPr>
          <w:rFonts w:hint="eastAsia" w:ascii="宋体" w:hAnsi="宋体"/>
          <w:w w:val="99"/>
          <w:sz w:val="28"/>
          <w:szCs w:val="28"/>
        </w:rPr>
        <w:t>年</w:t>
      </w:r>
      <w:r>
        <w:rPr>
          <w:rFonts w:hint="eastAsia" w:ascii="宋体" w:hAnsi="宋体"/>
          <w:w w:val="99"/>
          <w:sz w:val="28"/>
          <w:szCs w:val="28"/>
          <w:u w:val="single"/>
        </w:rPr>
        <w:t xml:space="preserve">    </w:t>
      </w:r>
      <w:r>
        <w:rPr>
          <w:rFonts w:hint="eastAsia" w:ascii="宋体" w:hAnsi="宋体"/>
          <w:w w:val="99"/>
          <w:sz w:val="28"/>
          <w:szCs w:val="28"/>
        </w:rPr>
        <w:t>月</w:t>
      </w:r>
      <w:r>
        <w:rPr>
          <w:rFonts w:hint="eastAsia" w:ascii="宋体" w:hAnsi="宋体"/>
          <w:w w:val="99"/>
          <w:sz w:val="28"/>
          <w:szCs w:val="28"/>
          <w:u w:val="single"/>
        </w:rPr>
        <w:t xml:space="preserve">    </w:t>
      </w:r>
      <w:r>
        <w:rPr>
          <w:rFonts w:hint="eastAsia" w:ascii="宋体" w:hAnsi="宋体"/>
          <w:w w:val="99"/>
          <w:sz w:val="28"/>
          <w:szCs w:val="28"/>
        </w:rPr>
        <w:t>日</w:t>
      </w:r>
      <w:bookmarkEnd w:id="3294"/>
    </w:p>
    <w:p>
      <w:pPr>
        <w:tabs>
          <w:tab w:val="left" w:pos="2580"/>
          <w:tab w:val="left" w:pos="5940"/>
        </w:tabs>
        <w:autoSpaceDE w:val="0"/>
        <w:autoSpaceDN w:val="0"/>
        <w:adjustRightInd w:val="0"/>
        <w:snapToGrid w:val="0"/>
        <w:spacing w:line="360" w:lineRule="auto"/>
        <w:ind w:firstLine="2940"/>
        <w:jc w:val="left"/>
        <w:rPr>
          <w:rFonts w:ascii="宋体" w:hAnsi="宋体"/>
        </w:rPr>
      </w:pPr>
      <w:bookmarkStart w:id="3295" w:name="_Toc224103500"/>
      <w:r>
        <w:rPr>
          <w:rFonts w:ascii="宋体" w:hAnsi="宋体"/>
          <w:sz w:val="32"/>
          <w:szCs w:val="32"/>
        </w:rPr>
        <w:br w:type="page"/>
      </w:r>
      <w:bookmarkStart w:id="3296" w:name="_Toc287620819"/>
      <w:bookmarkStart w:id="3297" w:name="_Toc287607872"/>
      <w:bookmarkStart w:id="3298" w:name="_Toc430530534"/>
    </w:p>
    <w:bookmarkEnd w:id="3295"/>
    <w:bookmarkEnd w:id="3296"/>
    <w:bookmarkEnd w:id="3297"/>
    <w:bookmarkEnd w:id="3298"/>
    <w:p>
      <w:pPr>
        <w:autoSpaceDE w:val="0"/>
        <w:autoSpaceDN w:val="0"/>
        <w:adjustRightInd w:val="0"/>
        <w:snapToGrid w:val="0"/>
        <w:spacing w:line="360" w:lineRule="auto"/>
        <w:jc w:val="center"/>
        <w:rPr>
          <w:rFonts w:ascii="宋体" w:hAnsi="宋体"/>
          <w:kern w:val="0"/>
          <w:szCs w:val="21"/>
        </w:rPr>
      </w:pPr>
      <w:bookmarkStart w:id="3299" w:name="_Toc430530536"/>
      <w:bookmarkStart w:id="3300" w:name="_Toc224103502"/>
      <w:bookmarkStart w:id="3301" w:name="_Toc287607874"/>
      <w:bookmarkStart w:id="3302" w:name="_Toc287620821"/>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注：</w:t>
      </w:r>
      <w:r>
        <w:rPr>
          <w:rFonts w:ascii="宋体" w:hAnsi="宋体"/>
          <w:kern w:val="0"/>
          <w:szCs w:val="21"/>
        </w:rPr>
        <w:t>目录由投标人自行编制</w:t>
      </w:r>
      <w:r>
        <w:rPr>
          <w:rFonts w:hint="eastAsia" w:ascii="宋体" w:hAnsi="宋体"/>
          <w:kern w:val="0"/>
          <w:szCs w:val="21"/>
          <w:lang w:eastAsia="zh-CN"/>
        </w:rPr>
        <w:t>）</w:t>
      </w:r>
    </w:p>
    <w:p>
      <w:pPr>
        <w:widowControl/>
        <w:jc w:val="left"/>
        <w:rPr>
          <w:rFonts w:ascii="宋体" w:hAnsi="宋体"/>
          <w:kern w:val="0"/>
          <w:sz w:val="24"/>
          <w:szCs w:val="21"/>
        </w:rPr>
      </w:pPr>
      <w:r>
        <w:rPr>
          <w:rFonts w:ascii="宋体" w:hAnsi="宋体"/>
          <w:kern w:val="0"/>
          <w:sz w:val="24"/>
          <w:szCs w:val="21"/>
        </w:rPr>
        <w:br w:type="page"/>
      </w:r>
    </w:p>
    <w:p>
      <w:pPr>
        <w:pStyle w:val="4"/>
        <w:spacing w:line="360" w:lineRule="auto"/>
        <w:jc w:val="center"/>
        <w:rPr>
          <w:rFonts w:ascii="宋体" w:hAnsi="宋体"/>
          <w:b w:val="0"/>
          <w:bCs w:val="0"/>
          <w:sz w:val="44"/>
          <w:szCs w:val="44"/>
        </w:rPr>
      </w:pPr>
      <w:bookmarkStart w:id="3303" w:name="_Toc15789"/>
      <w:bookmarkStart w:id="3304" w:name="_Toc23752"/>
      <w:bookmarkStart w:id="3305" w:name="_Toc18017"/>
      <w:r>
        <w:rPr>
          <w:rFonts w:hint="eastAsia" w:ascii="宋体" w:hAnsi="宋体"/>
          <w:b w:val="0"/>
          <w:bCs w:val="0"/>
          <w:sz w:val="44"/>
          <w:szCs w:val="44"/>
        </w:rPr>
        <w:t>三、商务部分</w:t>
      </w:r>
      <w:bookmarkEnd w:id="3303"/>
      <w:bookmarkEnd w:id="3304"/>
      <w:bookmarkEnd w:id="3305"/>
    </w:p>
    <w:p>
      <w:pPr>
        <w:jc w:val="center"/>
      </w:pPr>
      <w:r>
        <w:rPr>
          <w:rFonts w:hint="eastAsia"/>
          <w:i/>
          <w:iCs/>
        </w:rPr>
        <w:t>[提示：不设置商务评审的不设此部分。]</w:t>
      </w:r>
    </w:p>
    <w:p>
      <w:pPr>
        <w:widowControl/>
        <w:jc w:val="left"/>
        <w:rPr>
          <w:rFonts w:ascii="宋体" w:hAnsi="宋体"/>
          <w:sz w:val="32"/>
          <w:szCs w:val="32"/>
        </w:rPr>
      </w:pPr>
      <w:r>
        <w:rPr>
          <w:rFonts w:ascii="宋体" w:hAnsi="宋体"/>
          <w:sz w:val="32"/>
          <w:szCs w:val="32"/>
        </w:rPr>
        <w:br w:type="page"/>
      </w: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pPr>
        <w:autoSpaceDE w:val="0"/>
        <w:autoSpaceDN w:val="0"/>
        <w:adjustRightInd w:val="0"/>
        <w:snapToGrid w:val="0"/>
        <w:spacing w:line="360" w:lineRule="auto"/>
        <w:jc w:val="center"/>
        <w:rPr>
          <w:rFonts w:ascii="宋体" w:hAnsi="宋体"/>
          <w:sz w:val="32"/>
          <w:szCs w:val="32"/>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p>
    <w:p>
      <w:pPr>
        <w:widowControl/>
        <w:jc w:val="left"/>
        <w:rPr>
          <w:rFonts w:ascii="宋体" w:hAnsi="宋体"/>
          <w:sz w:val="32"/>
          <w:szCs w:val="32"/>
        </w:rPr>
      </w:pPr>
      <w:r>
        <w:rPr>
          <w:rFonts w:ascii="宋体" w:hAnsi="宋体"/>
          <w:sz w:val="32"/>
          <w:szCs w:val="32"/>
        </w:rPr>
        <w:br w:type="page"/>
      </w:r>
    </w:p>
    <w:p>
      <w:pPr>
        <w:autoSpaceDE w:val="0"/>
        <w:autoSpaceDN w:val="0"/>
        <w:adjustRightInd w:val="0"/>
        <w:snapToGrid w:val="0"/>
        <w:spacing w:line="360" w:lineRule="auto"/>
        <w:jc w:val="center"/>
        <w:rPr>
          <w:rFonts w:ascii="宋体" w:hAnsi="宋体"/>
          <w:sz w:val="32"/>
          <w:szCs w:val="32"/>
        </w:rPr>
      </w:pP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32"/>
          <w:szCs w:val="32"/>
        </w:rPr>
      </w:pPr>
    </w:p>
    <w:p>
      <w:pPr>
        <w:autoSpaceDE w:val="0"/>
        <w:autoSpaceDN w:val="0"/>
        <w:adjustRightInd w:val="0"/>
        <w:snapToGrid w:val="0"/>
        <w:spacing w:line="360" w:lineRule="auto"/>
        <w:jc w:val="center"/>
        <w:rPr>
          <w:rFonts w:hint="eastAsia" w:ascii="宋体" w:hAnsi="宋体"/>
          <w:kern w:val="0"/>
          <w:szCs w:val="21"/>
          <w:lang w:eastAsia="zh-CN"/>
        </w:rPr>
      </w:pPr>
      <w:r>
        <w:rPr>
          <w:rFonts w:hint="eastAsia" w:ascii="宋体" w:hAnsi="宋体"/>
          <w:kern w:val="0"/>
          <w:szCs w:val="21"/>
          <w:lang w:eastAsia="zh-CN"/>
        </w:rPr>
        <w:t>（</w:t>
      </w:r>
      <w:r>
        <w:rPr>
          <w:rFonts w:hint="eastAsia" w:ascii="宋体" w:hAnsi="宋体"/>
          <w:kern w:val="0"/>
          <w:szCs w:val="21"/>
          <w:lang w:val="en-US" w:eastAsia="zh-CN"/>
        </w:rPr>
        <w:t>注：</w:t>
      </w:r>
      <w:r>
        <w:rPr>
          <w:rFonts w:ascii="宋体" w:hAnsi="宋体"/>
          <w:kern w:val="0"/>
          <w:szCs w:val="21"/>
        </w:rPr>
        <w:t>目录由投标人自行编制</w:t>
      </w:r>
      <w:r>
        <w:rPr>
          <w:rFonts w:hint="eastAsia" w:ascii="宋体" w:hAnsi="宋体"/>
          <w:kern w:val="0"/>
          <w:szCs w:val="21"/>
          <w:lang w:eastAsia="zh-CN"/>
        </w:rPr>
        <w:t>）</w:t>
      </w:r>
    </w:p>
    <w:p>
      <w:pPr>
        <w:autoSpaceDE/>
        <w:autoSpaceDN/>
        <w:adjustRightInd/>
        <w:snapToGrid/>
        <w:spacing w:line="240" w:lineRule="auto"/>
        <w:jc w:val="left"/>
        <w:rPr>
          <w:rFonts w:hint="eastAsia" w:ascii="宋体" w:hAnsi="宋体"/>
          <w:kern w:val="0"/>
          <w:szCs w:val="21"/>
          <w:lang w:eastAsia="zh-CN"/>
        </w:rPr>
      </w:pPr>
      <w:r>
        <w:rPr>
          <w:rFonts w:hint="eastAsia" w:ascii="宋体" w:hAnsi="宋体"/>
          <w:kern w:val="0"/>
          <w:szCs w:val="21"/>
          <w:lang w:eastAsia="zh-CN"/>
        </w:rPr>
        <w:br w:type="page"/>
      </w:r>
    </w:p>
    <w:p>
      <w:pPr>
        <w:autoSpaceDE w:val="0"/>
        <w:autoSpaceDN w:val="0"/>
        <w:adjustRightInd w:val="0"/>
        <w:snapToGrid w:val="0"/>
        <w:spacing w:line="360" w:lineRule="auto"/>
        <w:ind w:firstLine="420" w:firstLineChars="200"/>
        <w:jc w:val="left"/>
        <w:rPr>
          <w:rFonts w:ascii="宋体" w:hAnsi="宋体"/>
          <w:sz w:val="32"/>
          <w:szCs w:val="32"/>
        </w:rPr>
      </w:pPr>
      <w:r>
        <w:rPr>
          <w:rFonts w:hint="eastAsia" w:ascii="宋体" w:hAnsi="宋体"/>
          <w:b w:val="0"/>
          <w:bCs w:val="0"/>
          <w:color w:val="auto"/>
          <w:sz w:val="21"/>
          <w:szCs w:val="21"/>
          <w:highlight w:val="none"/>
          <w:lang w:val="en-US" w:eastAsia="zh-CN"/>
        </w:rPr>
        <w:t>注：提供第三章评标办法前附表商务部分要求提供的证明材料。</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left"/>
        <w:rPr>
          <w:rFonts w:ascii="宋体" w:hAnsi="宋体"/>
          <w:kern w:val="0"/>
          <w:sz w:val="24"/>
          <w:szCs w:val="21"/>
        </w:rPr>
      </w:pPr>
    </w:p>
    <w:p>
      <w:pPr>
        <w:pStyle w:val="4"/>
        <w:spacing w:line="360" w:lineRule="auto"/>
        <w:jc w:val="center"/>
        <w:rPr>
          <w:rFonts w:ascii="宋体" w:hAnsi="宋体"/>
          <w:b w:val="0"/>
          <w:bCs w:val="0"/>
          <w:sz w:val="44"/>
          <w:szCs w:val="44"/>
        </w:rPr>
      </w:pPr>
      <w:bookmarkStart w:id="3306" w:name="_Toc28868"/>
      <w:bookmarkStart w:id="3307" w:name="_Toc29454"/>
      <w:bookmarkStart w:id="3308" w:name="_Toc10725"/>
      <w:r>
        <w:rPr>
          <w:rFonts w:hint="eastAsia" w:ascii="宋体" w:hAnsi="宋体"/>
          <w:b w:val="0"/>
          <w:bCs w:val="0"/>
          <w:sz w:val="44"/>
          <w:szCs w:val="44"/>
        </w:rPr>
        <w:t>四、技术部分</w:t>
      </w:r>
      <w:bookmarkEnd w:id="3299"/>
      <w:bookmarkEnd w:id="3300"/>
      <w:bookmarkEnd w:id="3306"/>
      <w:bookmarkEnd w:id="3307"/>
      <w:bookmarkEnd w:id="3308"/>
    </w:p>
    <w:p>
      <w:pPr>
        <w:jc w:val="center"/>
        <w:rPr>
          <w:rFonts w:hint="eastAsia"/>
          <w:i/>
          <w:iCs/>
        </w:rPr>
      </w:pPr>
      <w:bookmarkStart w:id="3309" w:name="_Toc430530537"/>
      <w:bookmarkStart w:id="3310" w:name="_Toc509218856"/>
      <w:bookmarkStart w:id="3311" w:name="_Toc536628352"/>
      <w:bookmarkStart w:id="3312" w:name="_Toc534185833"/>
      <w:r>
        <w:rPr>
          <w:rFonts w:hint="eastAsia"/>
          <w:i/>
          <w:iCs/>
        </w:rPr>
        <w:t>[提示：不设置技术评审的不设此部分。]</w:t>
      </w:r>
    </w:p>
    <w:p>
      <w:pPr>
        <w:jc w:val="center"/>
      </w:pPr>
      <w:r>
        <w:rPr>
          <w:rFonts w:hint="eastAsia"/>
        </w:rPr>
        <w:t>（注：电子投标文件技术明、暗标均不设封面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w:t>
      </w:r>
      <w:r>
        <w:rPr>
          <w:rFonts w:hint="eastAsia" w:ascii="宋体" w:hAnsi="宋体"/>
          <w:i w:val="0"/>
          <w:iCs w:val="0"/>
          <w:szCs w:val="21"/>
          <w:lang w:val="en-US" w:eastAsia="zh-CN"/>
        </w:rPr>
        <w:t>部分</w:t>
      </w:r>
      <w:r>
        <w:rPr>
          <w:rFonts w:hint="eastAsia" w:ascii="宋体" w:hAnsi="宋体"/>
          <w:i w:val="0"/>
          <w:iCs w:val="0"/>
          <w:szCs w:val="21"/>
          <w:lang w:eastAsia="zh-CN"/>
        </w:rPr>
        <w:t>。</w:t>
      </w:r>
      <w:r>
        <w:rPr>
          <w:rFonts w:hint="eastAsia"/>
        </w:rPr>
        <w:t>）</w:t>
      </w:r>
      <w:bookmarkEnd w:id="3301"/>
      <w:bookmarkEnd w:id="3302"/>
      <w:bookmarkEnd w:id="3309"/>
      <w:bookmarkEnd w:id="3310"/>
      <w:bookmarkEnd w:id="3311"/>
      <w:bookmarkEnd w:id="3312"/>
    </w:p>
    <w:p>
      <w:pPr>
        <w:autoSpaceDE w:val="0"/>
        <w:autoSpaceDN w:val="0"/>
        <w:adjustRightInd w:val="0"/>
        <w:snapToGrid w:val="0"/>
        <w:spacing w:line="360" w:lineRule="auto"/>
        <w:ind w:firstLine="411" w:firstLineChars="196"/>
        <w:rPr>
          <w:rFonts w:ascii="宋体" w:hAnsi="宋体"/>
          <w:b/>
          <w:snapToGrid w:val="0"/>
          <w:kern w:val="0"/>
          <w:sz w:val="24"/>
        </w:rPr>
      </w:pPr>
      <w:r>
        <mc:AlternateContent>
          <mc:Choice Requires="wps">
            <w:drawing>
              <wp:anchor distT="0" distB="0" distL="114300" distR="114300" simplePos="0" relativeHeight="251661312" behindDoc="0" locked="0" layoutInCell="1" allowOverlap="1">
                <wp:simplePos x="0" y="0"/>
                <wp:positionH relativeFrom="column">
                  <wp:posOffset>2541270</wp:posOffset>
                </wp:positionH>
                <wp:positionV relativeFrom="paragraph">
                  <wp:posOffset>8717280</wp:posOffset>
                </wp:positionV>
                <wp:extent cx="807720" cy="693420"/>
                <wp:effectExtent l="0" t="0" r="0" b="0"/>
                <wp:wrapNone/>
                <wp:docPr id="350" name="矩形 113"/>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矩形 113" o:spid="_x0000_s1026" o:spt="1" style="position:absolute;left:0pt;margin-left:200.1pt;margin-top:686.4pt;height:54.6pt;width:63.6pt;z-index:251661312;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vGtV2gAAAA0BAAAPAAAAAAAAAAEAIAAAACIA&#10;AABkcnMvZG93bnJldi54bWxQSwECFAAUAAAACACHTuJAciXvEgcCAAD0AwAADgAAAAAAAAABACAA&#10;AAApAQAAZHJzL2Uyb0RvYy54bWxQSwUGAAAAAAYABgBZAQAAogUAAAAA&#10;">
                <v:fill on="t" focussize="0,0"/>
                <v:stroke on="f"/>
                <v:imagedata o:title=""/>
                <o:lock v:ext="edit" aspectratio="f"/>
                <v:textbox>
                  <w:txbxContent>
                    <w:p>
                      <w:pPr>
                        <w:jc w:val="center"/>
                      </w:pPr>
                    </w:p>
                  </w:txbxContent>
                </v:textbox>
              </v:rect>
            </w:pict>
          </mc:Fallback>
        </mc:AlternateContent>
      </w:r>
    </w:p>
    <w:p>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32"/>
          <w:szCs w:val="32"/>
        </w:rPr>
      </w:pP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注：</w:t>
      </w:r>
      <w:r>
        <w:rPr>
          <w:rFonts w:ascii="宋体" w:hAnsi="宋体"/>
          <w:kern w:val="0"/>
          <w:szCs w:val="21"/>
        </w:rPr>
        <w:t>目录由投标人自行编制</w:t>
      </w:r>
      <w:r>
        <w:rPr>
          <w:rFonts w:hint="eastAsia" w:ascii="宋体" w:hAnsi="宋体"/>
          <w:kern w:val="0"/>
          <w:szCs w:val="21"/>
          <w:lang w:eastAsia="zh-CN"/>
        </w:rPr>
        <w:t>）</w:t>
      </w:r>
    </w:p>
    <w:p>
      <w:pPr>
        <w:widowControl/>
        <w:jc w:val="left"/>
        <w:rPr>
          <w:rFonts w:ascii="宋体" w:hAnsi="宋体"/>
          <w:kern w:val="0"/>
          <w:szCs w:val="21"/>
        </w:rPr>
      </w:pPr>
      <w:r>
        <w:rPr>
          <w:rFonts w:ascii="宋体" w:hAnsi="宋体"/>
          <w:kern w:val="0"/>
          <w:szCs w:val="21"/>
        </w:rPr>
        <w:br w:type="page"/>
      </w:r>
    </w:p>
    <w:p>
      <w:pPr>
        <w:autoSpaceDE w:val="0"/>
        <w:autoSpaceDN w:val="0"/>
        <w:adjustRightInd w:val="0"/>
        <w:snapToGrid w:val="0"/>
        <w:spacing w:line="360" w:lineRule="auto"/>
        <w:jc w:val="center"/>
        <w:rPr>
          <w:rFonts w:ascii="宋体" w:hAnsi="宋体"/>
          <w:kern w:val="0"/>
          <w:szCs w:val="21"/>
        </w:rPr>
      </w:pPr>
    </w:p>
    <w:p>
      <w:pPr>
        <w:autoSpaceDE w:val="0"/>
        <w:autoSpaceDN w:val="0"/>
        <w:adjustRightInd w:val="0"/>
        <w:snapToGrid w:val="0"/>
        <w:spacing w:line="360" w:lineRule="auto"/>
        <w:rPr>
          <w:rFonts w:ascii="宋体" w:hAnsi="宋体"/>
          <w:sz w:val="36"/>
          <w:szCs w:val="36"/>
        </w:rPr>
      </w:pPr>
    </w:p>
    <w:p>
      <w:pPr>
        <w:pStyle w:val="4"/>
        <w:spacing w:line="360" w:lineRule="auto"/>
        <w:jc w:val="center"/>
        <w:rPr>
          <w:rFonts w:ascii="宋体" w:hAnsi="宋体"/>
          <w:b w:val="0"/>
          <w:bCs w:val="0"/>
          <w:sz w:val="44"/>
          <w:szCs w:val="44"/>
        </w:rPr>
      </w:pPr>
      <w:bookmarkStart w:id="3313" w:name="_Toc224103510"/>
      <w:bookmarkStart w:id="3314" w:name="_Toc287607882"/>
      <w:bookmarkStart w:id="3315" w:name="_Toc287620829"/>
      <w:bookmarkStart w:id="3316" w:name="_Toc277082656"/>
      <w:bookmarkStart w:id="3317" w:name="_Toc430530545"/>
      <w:bookmarkStart w:id="3318" w:name="_Toc12264"/>
      <w:bookmarkStart w:id="3319" w:name="_Toc1149"/>
      <w:bookmarkStart w:id="3320" w:name="_Toc1938"/>
      <w:r>
        <w:rPr>
          <w:rFonts w:hint="eastAsia" w:ascii="宋体" w:hAnsi="宋体"/>
          <w:b w:val="0"/>
          <w:bCs w:val="0"/>
          <w:sz w:val="44"/>
          <w:szCs w:val="44"/>
        </w:rPr>
        <w:t>五、</w:t>
      </w:r>
      <w:bookmarkEnd w:id="3313"/>
      <w:bookmarkEnd w:id="3314"/>
      <w:bookmarkEnd w:id="3315"/>
      <w:bookmarkEnd w:id="3316"/>
      <w:bookmarkEnd w:id="3317"/>
      <w:r>
        <w:rPr>
          <w:rFonts w:hint="eastAsia" w:ascii="宋体" w:hAnsi="宋体"/>
          <w:b w:val="0"/>
          <w:bCs w:val="0"/>
          <w:sz w:val="44"/>
          <w:szCs w:val="44"/>
        </w:rPr>
        <w:t>资格审查部分</w:t>
      </w:r>
      <w:bookmarkEnd w:id="3318"/>
      <w:bookmarkEnd w:id="3319"/>
      <w:bookmarkEnd w:id="3320"/>
    </w:p>
    <w:p>
      <w:pPr>
        <w:adjustRightInd w:val="0"/>
        <w:snapToGrid w:val="0"/>
        <w:spacing w:line="360" w:lineRule="auto"/>
        <w:rPr>
          <w:rFonts w:ascii="宋体" w:hAnsi="宋体"/>
          <w:sz w:val="32"/>
          <w:szCs w:val="32"/>
        </w:rPr>
      </w:pPr>
    </w:p>
    <w:p>
      <w:pPr>
        <w:adjustRightInd w:val="0"/>
        <w:snapToGrid w:val="0"/>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p>
    <w:p>
      <w:pPr>
        <w:spacing w:line="360" w:lineRule="auto"/>
        <w:rPr>
          <w:rFonts w:ascii="宋体" w:hAnsi="宋体"/>
          <w:sz w:val="32"/>
          <w:szCs w:val="32"/>
        </w:rPr>
      </w:pPr>
      <w:r>
        <w:rPr>
          <w:rFonts w:ascii="宋体" w:hAnsi="宋体"/>
          <w:sz w:val="32"/>
          <w:szCs w:val="32"/>
        </w:rPr>
        <w:br w:type="page"/>
      </w: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p>
    <w:p>
      <w:pPr>
        <w:autoSpaceDE w:val="0"/>
        <w:autoSpaceDN w:val="0"/>
        <w:adjustRightInd w:val="0"/>
        <w:snapToGrid w:val="0"/>
        <w:jc w:val="center"/>
        <w:rPr>
          <w:rFonts w:ascii="宋体" w:hAnsi="宋体"/>
          <w:kern w:val="0"/>
          <w:sz w:val="36"/>
          <w:szCs w:val="36"/>
        </w:rPr>
      </w:pPr>
    </w:p>
    <w:p>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pPr>
        <w:spacing w:line="360" w:lineRule="auto"/>
        <w:jc w:val="center"/>
        <w:rPr>
          <w:rFonts w:ascii="宋体" w:hAnsi="宋体"/>
          <w:b/>
          <w:kern w:val="0"/>
          <w:sz w:val="32"/>
          <w:szCs w:val="32"/>
        </w:rPr>
      </w:pPr>
    </w:p>
    <w:p>
      <w:pPr>
        <w:spacing w:line="360" w:lineRule="auto"/>
        <w:ind w:firstLine="420" w:firstLineChars="200"/>
        <w:rPr>
          <w:rFonts w:ascii="宋体" w:hAnsi="宋体"/>
          <w:szCs w:val="21"/>
        </w:rPr>
      </w:pPr>
      <w:r>
        <w:rPr>
          <w:rFonts w:ascii="宋体" w:hAnsi="宋体"/>
          <w:szCs w:val="21"/>
        </w:rPr>
        <w:t>（一）</w:t>
      </w:r>
      <w:r>
        <w:rPr>
          <w:rFonts w:hint="eastAsia" w:ascii="宋体" w:hAnsi="宋体"/>
          <w:snapToGrid w:val="0"/>
          <w:kern w:val="0"/>
          <w:szCs w:val="21"/>
        </w:rPr>
        <w:t>法定代表人身份证明或授权委托书</w:t>
      </w:r>
    </w:p>
    <w:p>
      <w:pPr>
        <w:spacing w:line="360" w:lineRule="auto"/>
        <w:ind w:firstLine="420" w:firstLineChars="200"/>
        <w:rPr>
          <w:rFonts w:ascii="宋体" w:hAnsi="宋体"/>
          <w:szCs w:val="21"/>
        </w:rPr>
      </w:pPr>
      <w:r>
        <w:rPr>
          <w:rFonts w:ascii="宋体" w:hAnsi="宋体"/>
          <w:szCs w:val="21"/>
        </w:rPr>
        <w:t>（二）</w:t>
      </w:r>
      <w:r>
        <w:rPr>
          <w:rFonts w:hint="eastAsia" w:ascii="宋体" w:hAnsi="宋体"/>
          <w:szCs w:val="21"/>
          <w:lang w:eastAsia="zh-CN"/>
        </w:rPr>
        <w:t>共同投标协议</w:t>
      </w:r>
      <w:r>
        <w:rPr>
          <w:rFonts w:hint="eastAsia" w:ascii="宋体" w:hAnsi="宋体"/>
          <w:szCs w:val="21"/>
        </w:rPr>
        <w:t>（如有）</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lang w:val="en-US" w:eastAsia="zh-CN"/>
        </w:rPr>
        <w:t>三</w:t>
      </w:r>
      <w:r>
        <w:rPr>
          <w:rFonts w:ascii="宋体" w:hAnsi="宋体"/>
          <w:szCs w:val="21"/>
        </w:rPr>
        <w:t>）</w:t>
      </w:r>
      <w:r>
        <w:rPr>
          <w:rFonts w:hint="eastAsia" w:ascii="宋体" w:hAnsi="宋体"/>
          <w:szCs w:val="21"/>
        </w:rPr>
        <w:t>承诺</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lang w:val="en-US" w:eastAsia="zh-CN"/>
        </w:rPr>
        <w:t>四</w:t>
      </w:r>
      <w:r>
        <w:rPr>
          <w:rFonts w:ascii="宋体" w:hAnsi="宋体"/>
          <w:szCs w:val="21"/>
        </w:rPr>
        <w:t>）其他资料</w:t>
      </w:r>
    </w:p>
    <w:p>
      <w:pPr>
        <w:spacing w:line="360" w:lineRule="auto"/>
        <w:jc w:val="center"/>
        <w:rPr>
          <w:rFonts w:ascii="宋体" w:hAnsi="宋体"/>
          <w:b/>
          <w:kern w:val="0"/>
          <w:sz w:val="32"/>
          <w:szCs w:val="32"/>
        </w:rPr>
      </w:pPr>
    </w:p>
    <w:p>
      <w:pPr>
        <w:spacing w:line="360" w:lineRule="auto"/>
        <w:jc w:val="center"/>
        <w:rPr>
          <w:rFonts w:ascii="宋体" w:hAnsi="宋体"/>
          <w:b/>
          <w:kern w:val="0"/>
          <w:sz w:val="32"/>
          <w:szCs w:val="32"/>
        </w:rPr>
      </w:pPr>
    </w:p>
    <w:p>
      <w:pPr>
        <w:pStyle w:val="5"/>
        <w:spacing w:before="0" w:after="0" w:line="240" w:lineRule="auto"/>
        <w:jc w:val="center"/>
        <w:rPr>
          <w:rFonts w:ascii="宋体" w:hAnsi="宋体"/>
          <w:sz w:val="36"/>
          <w:szCs w:val="36"/>
        </w:rPr>
      </w:pPr>
      <w:r>
        <w:rPr>
          <w:rFonts w:ascii="宋体" w:hAnsi="宋体"/>
        </w:rPr>
        <w:br w:type="page"/>
      </w:r>
      <w:bookmarkStart w:id="3321" w:name="_Toc287607883"/>
      <w:bookmarkStart w:id="3322" w:name="_Toc277082657"/>
      <w:bookmarkStart w:id="3323" w:name="_Toc224103511"/>
      <w:bookmarkStart w:id="3324" w:name="_Toc430530546"/>
      <w:bookmarkStart w:id="3325" w:name="_Toc287620830"/>
      <w:bookmarkStart w:id="3326" w:name="_Toc30894"/>
      <w:bookmarkStart w:id="3327" w:name="_Toc11770"/>
      <w:bookmarkStart w:id="3328" w:name="_Toc492"/>
      <w:r>
        <w:rPr>
          <w:rFonts w:hint="eastAsia" w:ascii="宋体" w:hAnsi="宋体"/>
          <w:b w:val="0"/>
          <w:bCs w:val="0"/>
        </w:rPr>
        <w:t>（一）</w:t>
      </w:r>
      <w:bookmarkEnd w:id="3321"/>
      <w:bookmarkEnd w:id="3322"/>
      <w:bookmarkEnd w:id="3323"/>
      <w:bookmarkEnd w:id="3324"/>
      <w:bookmarkEnd w:id="3325"/>
      <w:r>
        <w:rPr>
          <w:rFonts w:hint="eastAsia" w:ascii="宋体" w:hAnsi="宋体"/>
          <w:snapToGrid w:val="0"/>
          <w:kern w:val="0"/>
          <w:sz w:val="30"/>
          <w:szCs w:val="30"/>
        </w:rPr>
        <w:t>法定代表人身份证明或授权委托书</w:t>
      </w:r>
      <w:bookmarkEnd w:id="3326"/>
      <w:bookmarkEnd w:id="3327"/>
      <w:bookmarkEnd w:id="3328"/>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autoSpaceDE w:val="0"/>
        <w:autoSpaceDN w:val="0"/>
        <w:adjustRightInd w:val="0"/>
        <w:snapToGrid w:val="0"/>
        <w:spacing w:line="480" w:lineRule="auto"/>
        <w:ind w:firstLine="186" w:firstLineChars="186"/>
        <w:jc w:val="left"/>
        <w:rPr>
          <w:rFonts w:ascii="宋体" w:hAnsi="宋体"/>
          <w:kern w:val="0"/>
          <w:sz w:val="10"/>
          <w:szCs w:val="10"/>
        </w:rPr>
      </w:pPr>
    </w:p>
    <w:p>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480" w:lineRule="auto"/>
        <w:ind w:firstLine="810" w:firstLineChars="386"/>
        <w:jc w:val="left"/>
        <w:rPr>
          <w:rFonts w:ascii="宋体" w:hAnsi="宋体"/>
          <w:kern w:val="0"/>
          <w:szCs w:val="21"/>
        </w:rPr>
      </w:pPr>
    </w:p>
    <w:p>
      <w:pPr>
        <w:autoSpaceDE w:val="0"/>
        <w:autoSpaceDN w:val="0"/>
        <w:adjustRightInd w:val="0"/>
        <w:snapToGrid w:val="0"/>
        <w:spacing w:line="480" w:lineRule="auto"/>
        <w:ind w:firstLine="772" w:firstLineChars="386"/>
        <w:jc w:val="left"/>
        <w:rPr>
          <w:rFonts w:ascii="宋体" w:hAnsi="宋体"/>
          <w:kern w:val="0"/>
          <w:sz w:val="20"/>
          <w:szCs w:val="20"/>
        </w:rPr>
      </w:pPr>
    </w:p>
    <w:p>
      <w:pPr>
        <w:autoSpaceDE w:val="0"/>
        <w:autoSpaceDN w:val="0"/>
        <w:adjustRightInd w:val="0"/>
        <w:snapToGrid w:val="0"/>
        <w:spacing w:line="480" w:lineRule="auto"/>
        <w:jc w:val="left"/>
        <w:rPr>
          <w:rFonts w:ascii="宋体" w:hAnsi="宋体"/>
          <w:kern w:val="0"/>
          <w:sz w:val="20"/>
          <w:szCs w:val="20"/>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（签名或盖章）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（签名）</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r>
        <w:rPr>
          <w:rFonts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委托代理人电话（手机）：</w:t>
      </w:r>
      <w:r>
        <w:rPr>
          <w:rFonts w:hint="eastAsia" w:ascii="宋体" w:hAnsi="宋体"/>
          <w:kern w:val="0"/>
          <w:szCs w:val="21"/>
          <w:u w:val="single"/>
        </w:rPr>
        <w:t xml:space="preserve"> </w:t>
      </w:r>
      <w:r>
        <w:rPr>
          <w:rFonts w:ascii="宋体" w:hAnsi="宋体"/>
          <w:kern w:val="0"/>
          <w:szCs w:val="21"/>
          <w:u w:val="single"/>
        </w:rPr>
        <w:t xml:space="preserve">                                         </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tabs>
          <w:tab w:val="left" w:pos="5760"/>
        </w:tabs>
        <w:autoSpaceDE w:val="0"/>
        <w:autoSpaceDN w:val="0"/>
        <w:adjustRightInd w:val="0"/>
        <w:spacing w:line="360" w:lineRule="auto"/>
        <w:ind w:firstLine="420" w:firstLineChars="200"/>
        <w:rPr>
          <w:rFonts w:ascii="宋体" w:hAnsi="宋体"/>
          <w:kern w:val="0"/>
        </w:rPr>
      </w:pPr>
      <w:r>
        <w:rPr>
          <w:rFonts w:hint="eastAsia" w:ascii="宋体" w:hAnsi="宋体"/>
          <w:kern w:val="0"/>
          <w:szCs w:val="21"/>
        </w:rPr>
        <w:t>附：法定代表人及委托代理人身份证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5760"/>
        </w:tabs>
        <w:autoSpaceDE w:val="0"/>
        <w:autoSpaceDN w:val="0"/>
        <w:adjustRightInd w:val="0"/>
        <w:spacing w:line="360" w:lineRule="auto"/>
        <w:ind w:firstLine="420" w:firstLineChars="200"/>
        <w:rPr>
          <w:rFonts w:ascii="宋体" w:hAnsi="宋体"/>
          <w:kern w:val="0"/>
        </w:rPr>
      </w:pP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autoSpaceDE w:val="0"/>
        <w:autoSpaceDN w:val="0"/>
        <w:adjustRightInd w:val="0"/>
        <w:snapToGrid w:val="0"/>
        <w:jc w:val="center"/>
        <w:rPr>
          <w:rFonts w:ascii="宋体" w:hAnsi="宋体"/>
        </w:rPr>
      </w:pPr>
      <w:r>
        <w:rPr>
          <w:rFonts w:ascii="宋体" w:hAnsi="宋体"/>
        </w:rPr>
        <w:br w:type="page"/>
      </w:r>
    </w:p>
    <w:p>
      <w:pPr>
        <w:pStyle w:val="5"/>
        <w:spacing w:before="0" w:after="0" w:line="240" w:lineRule="auto"/>
        <w:jc w:val="center"/>
        <w:rPr>
          <w:rFonts w:ascii="宋体" w:hAnsi="宋体"/>
          <w:b w:val="0"/>
          <w:bCs w:val="0"/>
        </w:rPr>
      </w:pPr>
      <w:bookmarkStart w:id="3329" w:name="_Toc430530547"/>
      <w:bookmarkStart w:id="3330" w:name="_Toc23828"/>
      <w:bookmarkStart w:id="3331" w:name="_Toc19536"/>
      <w:bookmarkStart w:id="3332" w:name="_Toc25601"/>
      <w:bookmarkStart w:id="3333" w:name="_Toc224103512"/>
      <w:bookmarkStart w:id="3334" w:name="_Toc287607884"/>
      <w:bookmarkStart w:id="3335" w:name="_Toc277082658"/>
      <w:bookmarkStart w:id="3336" w:name="_Toc287620831"/>
      <w:r>
        <w:rPr>
          <w:rFonts w:hint="eastAsia" w:ascii="宋体" w:hAnsi="宋体"/>
          <w:b w:val="0"/>
          <w:bCs w:val="0"/>
        </w:rPr>
        <w:t>（二）</w:t>
      </w:r>
      <w:bookmarkEnd w:id="3329"/>
      <w:r>
        <w:rPr>
          <w:rFonts w:hint="eastAsia" w:ascii="宋体" w:hAnsi="宋体"/>
          <w:b w:val="0"/>
          <w:bCs w:val="0"/>
          <w:lang w:eastAsia="zh-CN"/>
        </w:rPr>
        <w:t>共同投标协议</w:t>
      </w:r>
      <w:r>
        <w:rPr>
          <w:rFonts w:hint="eastAsia" w:ascii="宋体" w:hAnsi="宋体"/>
          <w:b w:val="0"/>
          <w:bCs w:val="0"/>
        </w:rPr>
        <w:t>（如有）</w:t>
      </w:r>
      <w:bookmarkEnd w:id="3330"/>
      <w:bookmarkEnd w:id="3331"/>
      <w:bookmarkEnd w:id="3332"/>
    </w:p>
    <w:p>
      <w:pPr>
        <w:autoSpaceDE w:val="0"/>
        <w:autoSpaceDN w:val="0"/>
        <w:adjustRightInd w:val="0"/>
        <w:snapToGrid w:val="0"/>
        <w:spacing w:line="466" w:lineRule="exact"/>
        <w:ind w:firstLine="432" w:firstLineChars="103"/>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 xml:space="preserve">                       （项目名称）</w:t>
      </w:r>
      <w:r>
        <w:rPr>
          <w:rFonts w:ascii="宋体" w:hAnsi="宋体"/>
          <w:snapToGrid w:val="0"/>
          <w:kern w:val="0"/>
          <w:szCs w:val="21"/>
        </w:rPr>
        <w:t>投标。现就联合体投标事宜订立如下协议。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（某成员单位名称）</w:t>
      </w:r>
      <w:r>
        <w:rPr>
          <w:rFonts w:hint="eastAsia" w:ascii="宋体" w:hAnsi="宋体"/>
          <w:snapToGrid w:val="0"/>
          <w:kern w:val="0"/>
          <w:szCs w:val="21"/>
        </w:rPr>
        <w:t>为</w:t>
      </w:r>
      <w:r>
        <w:rPr>
          <w:rFonts w:ascii="宋体" w:hAnsi="宋体"/>
          <w:snapToGrid w:val="0"/>
          <w:kern w:val="0"/>
          <w:szCs w:val="21"/>
          <w:u w:val="single"/>
        </w:rPr>
        <w:tab/>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联合体牵头人。由联合体牵头人单位递交投标保证金。</w:t>
      </w:r>
    </w:p>
    <w:p>
      <w:pPr>
        <w:autoSpaceDE w:val="0"/>
        <w:autoSpaceDN w:val="0"/>
        <w:adjustRightInd w:val="0"/>
        <w:snapToGrid w:val="0"/>
        <w:spacing w:line="466" w:lineRule="exact"/>
        <w:ind w:firstLine="42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联合体将严格按照招标文件的各项要求，递交投标文件，履行合同，并对外承担连带责任。</w:t>
      </w:r>
    </w:p>
    <w:p>
      <w:pPr>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 xml:space="preserve"> </w:t>
      </w:r>
      <w:r>
        <w:rPr>
          <w:rFonts w:ascii="宋体" w:hAnsi="宋体"/>
          <w:kern w:val="0"/>
          <w:szCs w:val="21"/>
        </w:rPr>
        <w:t>联合体牵头人代表联合体签署投标文件</w:t>
      </w:r>
      <w:r>
        <w:rPr>
          <w:rFonts w:ascii="宋体" w:hAnsi="宋体"/>
          <w:spacing w:val="-19"/>
          <w:kern w:val="0"/>
          <w:szCs w:val="21"/>
        </w:rPr>
        <w:t>，</w:t>
      </w:r>
      <w:r>
        <w:rPr>
          <w:rFonts w:ascii="宋体" w:hAnsi="宋体"/>
          <w:kern w:val="0"/>
          <w:szCs w:val="21"/>
        </w:rPr>
        <w:t>联合体牵头人的所有承诺均认为代 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bl>
    <w:p>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6.由联合体牵头人委派本</w:t>
      </w:r>
      <w:r>
        <w:rPr>
          <w:rFonts w:hint="eastAsia" w:ascii="宋体" w:hAnsi="宋体"/>
          <w:spacing w:val="-1"/>
          <w:kern w:val="0"/>
          <w:szCs w:val="21"/>
          <w:lang w:val="en-US" w:eastAsia="zh-CN"/>
        </w:rPr>
        <w:t>单位人员作为</w:t>
      </w:r>
      <w:r>
        <w:rPr>
          <w:rFonts w:hint="eastAsia" w:ascii="宋体" w:hAnsi="宋体"/>
          <w:spacing w:val="-1"/>
          <w:kern w:val="0"/>
          <w:szCs w:val="21"/>
        </w:rPr>
        <w:t>委托代理人。</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8.本协议书自签署之日起生效，合同履行完毕后自动失效。</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9.本协议书一式</w:t>
      </w:r>
      <w:r>
        <w:rPr>
          <w:rFonts w:hint="eastAsia" w:ascii="宋体" w:hAnsi="宋体"/>
          <w:spacing w:val="-1"/>
          <w:kern w:val="0"/>
          <w:szCs w:val="21"/>
          <w:u w:val="single"/>
        </w:rPr>
        <w:t xml:space="preserve">    </w:t>
      </w:r>
      <w:r>
        <w:rPr>
          <w:rFonts w:hint="eastAsia" w:ascii="宋体" w:hAnsi="宋体"/>
          <w:spacing w:val="-1"/>
          <w:kern w:val="0"/>
          <w:szCs w:val="21"/>
        </w:rPr>
        <w:t>份，联合体成员和招标人各执</w:t>
      </w:r>
      <w:r>
        <w:rPr>
          <w:rFonts w:hint="eastAsia" w:ascii="宋体" w:hAnsi="宋体"/>
          <w:spacing w:val="-1"/>
          <w:kern w:val="0"/>
          <w:szCs w:val="21"/>
          <w:u w:val="single"/>
        </w:rPr>
        <w:t xml:space="preserve">    </w:t>
      </w:r>
      <w:r>
        <w:rPr>
          <w:rFonts w:hint="eastAsia" w:ascii="宋体" w:hAnsi="宋体"/>
          <w:spacing w:val="-1"/>
          <w:kern w:val="0"/>
          <w:szCs w:val="21"/>
        </w:rPr>
        <w:t>份。</w:t>
      </w:r>
    </w:p>
    <w:p>
      <w:pPr>
        <w:widowControl/>
        <w:jc w:val="left"/>
        <w:rPr>
          <w:rFonts w:ascii="宋体" w:hAnsi="宋体"/>
          <w:spacing w:val="-1"/>
          <w:kern w:val="0"/>
          <w:szCs w:val="21"/>
          <w:u w:val="single"/>
        </w:rPr>
      </w:pP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牵头人名称：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联合体其他成员单位一名称：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联合体其他成员单位二名称：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autoSpaceDE w:val="0"/>
        <w:autoSpaceDN w:val="0"/>
        <w:adjustRightInd w:val="0"/>
        <w:snapToGrid w:val="0"/>
        <w:spacing w:line="466" w:lineRule="exact"/>
        <w:ind w:firstLine="386" w:firstLineChars="186"/>
        <w:jc w:val="left"/>
        <w:rPr>
          <w:rFonts w:ascii="宋体" w:hAnsi="宋体"/>
          <w:snapToGrid w:val="0"/>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w:t>
      </w:r>
    </w:p>
    <w:p>
      <w:pPr>
        <w:tabs>
          <w:tab w:val="left" w:pos="3840"/>
          <w:tab w:val="left" w:pos="4780"/>
          <w:tab w:val="left" w:pos="5720"/>
        </w:tabs>
        <w:wordWrap w:val="0"/>
        <w:autoSpaceDE w:val="0"/>
        <w:autoSpaceDN w:val="0"/>
        <w:adjustRightInd w:val="0"/>
        <w:snapToGrid w:val="0"/>
        <w:spacing w:line="466" w:lineRule="exact"/>
        <w:jc w:val="right"/>
        <w:rPr>
          <w:rFonts w:ascii="宋体" w:hAnsi="宋体"/>
          <w:kern w:val="0"/>
          <w:szCs w:val="21"/>
        </w:rPr>
      </w:pPr>
      <w:r>
        <w:rPr>
          <w:rFonts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pStyle w:val="9"/>
        <w:tabs>
          <w:tab w:val="left" w:pos="315"/>
        </w:tabs>
        <w:spacing w:line="466" w:lineRule="exact"/>
        <w:ind w:firstLine="0"/>
        <w:jc w:val="right"/>
        <w:rPr>
          <w:rFonts w:ascii="宋体" w:hAnsi="宋体" w:eastAsia="宋体"/>
          <w:sz w:val="21"/>
          <w:szCs w:val="21"/>
        </w:rPr>
      </w:pPr>
      <w: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240030</wp:posOffset>
                </wp:positionV>
                <wp:extent cx="5470525" cy="0"/>
                <wp:effectExtent l="0" t="0" r="0" b="0"/>
                <wp:wrapNone/>
                <wp:docPr id="241"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470525" cy="0"/>
                        </a:xfrm>
                        <a:prstGeom prst="line">
                          <a:avLst/>
                        </a:prstGeom>
                        <a:noFill/>
                        <a:ln w="3175">
                          <a:solidFill>
                            <a:srgbClr val="000000"/>
                          </a:solidFill>
                          <a:round/>
                        </a:ln>
                        <a:effectLst/>
                      </wps:spPr>
                      <wps:bodyPr/>
                    </wps:wsp>
                  </a:graphicData>
                </a:graphic>
              </wp:anchor>
            </w:drawing>
          </mc:Choice>
          <mc:Fallback>
            <w:pict>
              <v:line id="直接连接符 4" o:spid="_x0000_s1026" o:spt="20" style="position:absolute;left:0pt;margin-left:3.75pt;margin-top:18.9pt;height:0pt;width:430.75pt;z-index:251659264;mso-width-relative:page;mso-height-relative:page;" filled="f" stroked="t" coordsize="21600,21600" o:gfxdata="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&#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kcgyl9YAAAAHAQAADwAAAAAAAAABACAAAAAiAAAA&#10;ZHJzL2Rvd25yZXYueG1sUEsBAhQAFAAAAAgAh07iQAQ0c+3QAQAAbAMAAA4AAAAAAAAAAQAgAAAA&#10;JQEAAGRycy9lMm9Eb2MueG1sUEsFBgAAAAAGAAYAWQEAAGcFAAAAAA==&#10;">
                <v:fill on="f" focussize="0,0"/>
                <v:stroke weight="0.25pt" color="#000000" joinstyle="round"/>
                <v:imagedata o:title=""/>
                <o:lock v:ext="edit" aspectratio="f"/>
              </v:line>
            </w:pict>
          </mc:Fallback>
        </mc:AlternateContent>
      </w:r>
    </w:p>
    <w:p>
      <w:pPr>
        <w:spacing w:line="360" w:lineRule="auto"/>
        <w:ind w:firstLine="420" w:firstLineChars="200"/>
        <w:rPr>
          <w:rFonts w:ascii="宋体" w:hAnsi="宋体"/>
          <w:szCs w:val="21"/>
        </w:rPr>
      </w:pPr>
      <w:r>
        <w:rPr>
          <w:rFonts w:ascii="宋体" w:hAnsi="宋体"/>
          <w:szCs w:val="21"/>
        </w:rPr>
        <w:t>注：</w:t>
      </w:r>
      <w:r>
        <w:rPr>
          <w:rFonts w:hint="eastAsia" w:ascii="宋体" w:hAnsi="宋体"/>
          <w:szCs w:val="21"/>
        </w:rPr>
        <w:t>1.在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第5条联合体各成员单位内部的职责分工中填写的联合体所有成员单位名称应与其营业执照、资质证书、安全生产许可证一致，否则由评标委员会作否决投标处理。</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本协议书由委托代理人签名或盖章的，应附法定代表人签名或盖章的授权委托书。</w:t>
      </w:r>
      <w:bookmarkEnd w:id="3333"/>
      <w:bookmarkEnd w:id="3334"/>
      <w:bookmarkEnd w:id="3335"/>
      <w:bookmarkEnd w:id="3336"/>
      <w:bookmarkStart w:id="3337" w:name="_Toc287607887"/>
      <w:bookmarkStart w:id="3338" w:name="_Toc277082659"/>
    </w:p>
    <w:p>
      <w:pPr>
        <w:spacing w:line="20" w:lineRule="exact"/>
        <w:jc w:val="center"/>
        <w:rPr>
          <w:rFonts w:ascii="宋体" w:hAnsi="宋体"/>
          <w:szCs w:val="21"/>
        </w:rPr>
      </w:pPr>
    </w:p>
    <w:p>
      <w:pPr>
        <w:pStyle w:val="5"/>
        <w:spacing w:before="0" w:line="360" w:lineRule="auto"/>
        <w:jc w:val="center"/>
        <w:rPr>
          <w:rFonts w:ascii="宋体" w:hAnsi="宋体"/>
          <w:b w:val="0"/>
        </w:rPr>
      </w:pPr>
      <w:r>
        <w:rPr>
          <w:rFonts w:ascii="宋体" w:hAnsi="宋体"/>
          <w:szCs w:val="21"/>
        </w:rPr>
        <w:br w:type="page"/>
      </w:r>
      <w:bookmarkEnd w:id="3337"/>
      <w:bookmarkEnd w:id="3338"/>
      <w:bookmarkStart w:id="3339" w:name="_Toc430530552"/>
      <w:bookmarkStart w:id="3340" w:name="_Toc277082663"/>
      <w:bookmarkStart w:id="3341" w:name="_Toc509218866"/>
      <w:bookmarkStart w:id="3342" w:name="_Toc287620839"/>
      <w:bookmarkStart w:id="3343" w:name="_Toc287607893"/>
      <w:bookmarkStart w:id="3344" w:name="_Toc224103520"/>
      <w:bookmarkStart w:id="3345" w:name="_Toc534185843"/>
      <w:bookmarkStart w:id="3346" w:name="_Toc23245"/>
      <w:bookmarkStart w:id="3347" w:name="_Toc7297"/>
      <w:bookmarkStart w:id="3348" w:name="_Toc25099"/>
      <w:r>
        <w:rPr>
          <w:rFonts w:ascii="宋体" w:hAnsi="宋体"/>
          <w:b w:val="0"/>
        </w:rPr>
        <w:t>（</w:t>
      </w:r>
      <w:r>
        <w:rPr>
          <w:rFonts w:hint="eastAsia" w:ascii="宋体" w:hAnsi="宋体"/>
          <w:b w:val="0"/>
          <w:lang w:val="en-US" w:eastAsia="zh-CN"/>
        </w:rPr>
        <w:t>三</w:t>
      </w:r>
      <w:r>
        <w:rPr>
          <w:rFonts w:ascii="宋体" w:hAnsi="宋体"/>
          <w:b w:val="0"/>
        </w:rPr>
        <w:t>）</w:t>
      </w:r>
      <w:bookmarkEnd w:id="3339"/>
      <w:bookmarkEnd w:id="3340"/>
      <w:bookmarkEnd w:id="3341"/>
      <w:bookmarkEnd w:id="3342"/>
      <w:bookmarkEnd w:id="3343"/>
      <w:bookmarkEnd w:id="3344"/>
      <w:bookmarkEnd w:id="3345"/>
      <w:r>
        <w:rPr>
          <w:rFonts w:hint="eastAsia" w:ascii="宋体" w:hAnsi="宋体"/>
          <w:b w:val="0"/>
        </w:rPr>
        <w:t>承诺</w:t>
      </w:r>
      <w:bookmarkEnd w:id="3346"/>
      <w:bookmarkEnd w:id="3347"/>
      <w:bookmarkEnd w:id="3348"/>
    </w:p>
    <w:p/>
    <w:p>
      <w:pPr>
        <w:spacing w:line="360" w:lineRule="auto"/>
        <w:ind w:firstLine="480" w:firstLineChars="200"/>
        <w:jc w:val="center"/>
        <w:rPr>
          <w:rFonts w:ascii="宋体" w:hAnsi="宋体"/>
          <w:sz w:val="24"/>
        </w:rPr>
      </w:pPr>
      <w:r>
        <w:rPr>
          <w:rFonts w:hint="eastAsia" w:ascii="宋体" w:hAnsi="宋体"/>
          <w:sz w:val="24"/>
        </w:rPr>
        <w:t>承诺书</w:t>
      </w:r>
    </w:p>
    <w:p>
      <w:pPr>
        <w:spacing w:line="360" w:lineRule="auto"/>
        <w:rPr>
          <w:rFonts w:ascii="宋体" w:hAnsi="宋体"/>
          <w:szCs w:val="21"/>
        </w:rPr>
      </w:pPr>
    </w:p>
    <w:p>
      <w:pPr>
        <w:spacing w:line="360" w:lineRule="auto"/>
        <w:rPr>
          <w:rFonts w:ascii="宋体" w:hAnsi="宋体"/>
          <w:szCs w:val="21"/>
        </w:rPr>
      </w:pPr>
      <w:r>
        <w:rPr>
          <w:rFonts w:ascii="宋体" w:hAnsi="宋体"/>
          <w:szCs w:val="21"/>
          <w:u w:val="single"/>
        </w:rPr>
        <w:tab/>
      </w:r>
      <w:r>
        <w:rPr>
          <w:rFonts w:ascii="宋体" w:hAnsi="宋体"/>
          <w:szCs w:val="21"/>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ascii="宋体" w:hAnsi="宋体"/>
          <w:szCs w:val="21"/>
          <w:u w:val="single"/>
        </w:rPr>
        <w:t>）</w:t>
      </w:r>
      <w:r>
        <w:rPr>
          <w:rFonts w:ascii="宋体" w:hAnsi="宋体"/>
          <w:szCs w:val="21"/>
        </w:rPr>
        <w:t>：</w:t>
      </w:r>
    </w:p>
    <w:p>
      <w:pPr>
        <w:spacing w:line="360" w:lineRule="auto"/>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（投标人名称）</w:t>
      </w:r>
      <w:r>
        <w:rPr>
          <w:rFonts w:hint="eastAsia" w:ascii="宋体" w:hAnsi="宋体"/>
          <w:szCs w:val="21"/>
        </w:rPr>
        <w:t>参加了贵单位</w:t>
      </w:r>
      <w:r>
        <w:rPr>
          <w:rFonts w:hint="eastAsia" w:ascii="宋体" w:hAnsi="宋体"/>
          <w:szCs w:val="21"/>
          <w:u w:val="single"/>
        </w:rPr>
        <w:t>（招标项目名称）</w:t>
      </w:r>
      <w:r>
        <w:rPr>
          <w:rFonts w:hint="eastAsia" w:ascii="宋体" w:hAnsi="宋体"/>
          <w:szCs w:val="21"/>
        </w:rPr>
        <w:t>的投标，自愿作出以下承诺：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投标截止日投标资格情况</w:t>
      </w:r>
      <w:r>
        <w:rPr>
          <w:rFonts w:hint="eastAsia" w:ascii="宋体" w:hAnsi="宋体"/>
          <w:szCs w:val="21"/>
        </w:rPr>
        <w:t>不存在下列情形之一：</w:t>
      </w:r>
    </w:p>
    <w:p>
      <w:pPr>
        <w:spacing w:line="360" w:lineRule="auto"/>
        <w:ind w:firstLine="420" w:firstLineChars="200"/>
        <w:rPr>
          <w:rFonts w:ascii="宋体" w:hAnsi="宋体"/>
          <w:szCs w:val="21"/>
        </w:rPr>
      </w:pPr>
      <w:r>
        <w:rPr>
          <w:rFonts w:hint="eastAsia" w:ascii="宋体" w:hAnsi="宋体"/>
          <w:szCs w:val="21"/>
        </w:rPr>
        <w:t>（1）被人民法院列入失信被执行人名单且在被执行期内；</w:t>
      </w:r>
    </w:p>
    <w:p>
      <w:pPr>
        <w:spacing w:line="360" w:lineRule="auto"/>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pacing w:line="360" w:lineRule="auto"/>
        <w:ind w:firstLine="420" w:firstLineChars="200"/>
        <w:rPr>
          <w:rFonts w:ascii="宋体" w:hAnsi="宋体"/>
          <w:szCs w:val="21"/>
        </w:rPr>
      </w:pPr>
      <w:r>
        <w:rPr>
          <w:rFonts w:hint="eastAsia" w:ascii="宋体" w:hAnsi="宋体"/>
          <w:szCs w:val="21"/>
        </w:rPr>
        <w:t>（3）被列入《重庆市工程建设领域招标投标信用管理暂行办法》规定的黑名单且在有效期内；</w:t>
      </w:r>
    </w:p>
    <w:p>
      <w:pPr>
        <w:spacing w:line="360" w:lineRule="auto"/>
        <w:ind w:firstLine="420" w:firstLineChars="200"/>
        <w:rPr>
          <w:rFonts w:ascii="宋体" w:hAnsi="宋体"/>
          <w:szCs w:val="21"/>
        </w:rPr>
      </w:pPr>
      <w:r>
        <w:rPr>
          <w:rFonts w:hint="eastAsia" w:ascii="宋体" w:hAnsi="宋体"/>
          <w:szCs w:val="21"/>
        </w:rPr>
        <w:t>（4）被国家、重庆市（含市或任意区县）有关行政部门处以暂停投标资格行政处罚</w:t>
      </w:r>
      <w:r>
        <w:rPr>
          <w:rFonts w:hint="eastAsia" w:ascii="宋体" w:hAnsi="宋体"/>
          <w:szCs w:val="21"/>
          <w:lang w:val="en-US" w:eastAsia="zh-CN"/>
        </w:rPr>
        <w:t>或</w:t>
      </w:r>
      <w:r>
        <w:rPr>
          <w:rFonts w:hint="eastAsia" w:ascii="宋体" w:hAnsi="宋体"/>
          <w:szCs w:val="21"/>
        </w:rPr>
        <w:t>暂停在渝承揽新业务，且在</w:t>
      </w:r>
      <w:r>
        <w:rPr>
          <w:rFonts w:hint="eastAsia" w:ascii="宋体" w:hAnsi="宋体"/>
          <w:szCs w:val="21"/>
          <w:lang w:val="en-US" w:eastAsia="zh-CN"/>
        </w:rPr>
        <w:t>暂停</w:t>
      </w:r>
      <w:r>
        <w:rPr>
          <w:rFonts w:hint="eastAsia" w:ascii="宋体" w:hAnsi="宋体"/>
          <w:szCs w:val="21"/>
        </w:rPr>
        <w:t>期限内；</w:t>
      </w:r>
    </w:p>
    <w:p>
      <w:pPr>
        <w:spacing w:line="360" w:lineRule="auto"/>
        <w:ind w:firstLine="420" w:firstLineChars="200"/>
        <w:rPr>
          <w:rFonts w:ascii="宋体" w:hAnsi="宋体"/>
          <w:szCs w:val="21"/>
        </w:rPr>
      </w:pPr>
      <w:r>
        <w:rPr>
          <w:rFonts w:hint="eastAsia" w:ascii="宋体" w:hAnsi="宋体"/>
          <w:szCs w:val="21"/>
        </w:rPr>
        <w:t>2、我</w:t>
      </w:r>
      <w:r>
        <w:rPr>
          <w:rFonts w:hint="eastAsia" w:ascii="宋体" w:hAnsi="宋体"/>
          <w:szCs w:val="21"/>
          <w:lang w:val="en-US" w:eastAsia="zh-CN"/>
        </w:rPr>
        <w:t>公司</w:t>
      </w:r>
      <w:r>
        <w:rPr>
          <w:rFonts w:hint="eastAsia" w:ascii="宋体" w:hAnsi="宋体"/>
          <w:szCs w:val="21"/>
        </w:rPr>
        <w:t>拟派工程总承包项目经理到岗履职和未被禁止参与投标。</w:t>
      </w:r>
    </w:p>
    <w:p>
      <w:pPr>
        <w:spacing w:line="360" w:lineRule="auto"/>
        <w:ind w:firstLine="420" w:firstLineChars="200"/>
        <w:rPr>
          <w:rFonts w:ascii="宋体" w:hAnsi="宋体"/>
          <w:szCs w:val="21"/>
        </w:rPr>
      </w:pPr>
      <w:r>
        <w:rPr>
          <w:rFonts w:hint="eastAsia" w:ascii="宋体" w:hAnsi="宋体"/>
          <w:szCs w:val="21"/>
        </w:rPr>
        <w:t>（1）拟派工程总承包项目经理中标后在本项目任职，到岗后不在两个或者两个以上工程项目担任工程总承包项目经理、施工项目负责人，签订合同时拟派的工程总承包项目经理与投标文件中的工程总承包项目经理一致，并满足办理相关手续的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贵单位</w:t>
      </w:r>
      <w:r>
        <w:rPr>
          <w:rFonts w:hint="eastAsia" w:ascii="宋体" w:hAnsi="宋体"/>
          <w:szCs w:val="21"/>
        </w:rPr>
        <w:t>按合同相关条款</w:t>
      </w:r>
      <w:r>
        <w:rPr>
          <w:rFonts w:hint="eastAsia" w:ascii="宋体" w:hAnsi="宋体"/>
          <w:szCs w:val="21"/>
          <w:lang w:val="en-US" w:eastAsia="zh-CN"/>
        </w:rPr>
        <w:t>要求我公司承担责任</w:t>
      </w:r>
      <w:r>
        <w:rPr>
          <w:rFonts w:hint="eastAsia" w:ascii="宋体" w:hAnsi="宋体"/>
          <w:szCs w:val="21"/>
        </w:rPr>
        <w:t>并上报行政主管部门，给贵单位造成损失的，我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违约责任。拟派工程总承包项目经理中标后不得随意更换。</w:t>
      </w:r>
    </w:p>
    <w:p>
      <w:pPr>
        <w:spacing w:line="360" w:lineRule="auto"/>
        <w:ind w:firstLine="420" w:firstLineChars="200"/>
        <w:rPr>
          <w:rFonts w:ascii="宋体" w:hAnsi="宋体"/>
          <w:szCs w:val="21"/>
        </w:rPr>
      </w:pPr>
      <w:r>
        <w:rPr>
          <w:rFonts w:hint="eastAsia" w:ascii="宋体" w:hAnsi="宋体"/>
          <w:szCs w:val="21"/>
        </w:rPr>
        <w:t>（2）拟派工程总承包项目经理未被</w:t>
      </w:r>
      <w:r>
        <w:rPr>
          <w:rFonts w:hint="eastAsia" w:ascii="宋体" w:hAnsi="宋体"/>
          <w:szCs w:val="21"/>
          <w:lang w:eastAsia="zh-CN"/>
        </w:rPr>
        <w:t>有关</w:t>
      </w:r>
      <w:r>
        <w:rPr>
          <w:rFonts w:hint="eastAsia" w:ascii="宋体" w:hAnsi="宋体"/>
          <w:szCs w:val="21"/>
        </w:rPr>
        <w:t>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但仍参加投标，将被否决投标；已取得中标候选人资格或中标资格的，贵单位有权取消</w:t>
      </w:r>
      <w:r>
        <w:rPr>
          <w:rFonts w:hint="eastAsia" w:ascii="宋体" w:hAnsi="宋体"/>
          <w:szCs w:val="21"/>
          <w:lang w:val="en-US" w:eastAsia="zh-CN"/>
        </w:rPr>
        <w:t>我公司</w:t>
      </w:r>
      <w:r>
        <w:rPr>
          <w:rFonts w:hint="eastAsia" w:ascii="宋体" w:hAnsi="宋体"/>
          <w:szCs w:val="21"/>
        </w:rPr>
        <w:t>中标候选人资格或中标资格；给贵单位造成损失的，我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w:t>
      </w:r>
    </w:p>
    <w:p>
      <w:pPr>
        <w:snapToGrid/>
        <w:spacing w:line="360" w:lineRule="auto"/>
        <w:ind w:firstLine="420" w:firstLineChars="200"/>
        <w:rPr>
          <w:rFonts w:ascii="宋体" w:hAnsi="宋体"/>
          <w:szCs w:val="21"/>
        </w:rPr>
      </w:pP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为保证我公司拟派的</w:t>
      </w:r>
      <w:r>
        <w:rPr>
          <w:rFonts w:hint="eastAsia" w:ascii="宋体" w:hAnsi="宋体"/>
          <w:szCs w:val="21"/>
          <w:lang w:eastAsia="zh-CN"/>
        </w:rPr>
        <w:t>工程总承包项目经理</w:t>
      </w:r>
      <w:r>
        <w:rPr>
          <w:rFonts w:hint="eastAsia" w:ascii="宋体" w:hAnsi="宋体"/>
          <w:szCs w:val="21"/>
        </w:rPr>
        <w:t>到本项目到岗履职，我公司还承诺：</w:t>
      </w:r>
      <w:r>
        <w:rPr>
          <w:rFonts w:hint="eastAsia"/>
          <w:i/>
          <w:szCs w:val="21"/>
          <w:u w:val="single"/>
        </w:rPr>
        <w:t>[提示：</w:t>
      </w:r>
      <w:r>
        <w:rPr>
          <w:rFonts w:hint="eastAsia"/>
          <w:i/>
          <w:szCs w:val="21"/>
          <w:u w:val="single"/>
          <w:lang w:val="en-US" w:eastAsia="zh-CN"/>
        </w:rPr>
        <w:t>拟派工程总承包项目经理兼任施工负责人，不再设置施工负责人时适用</w:t>
      </w:r>
      <w:r>
        <w:rPr>
          <w:rFonts w:hint="eastAsia"/>
          <w:i/>
          <w:szCs w:val="21"/>
          <w:u w:val="single"/>
        </w:rPr>
        <w:t>。]</w:t>
      </w:r>
    </w:p>
    <w:p>
      <w:pPr>
        <w:snapToGrid/>
        <w:spacing w:line="360" w:lineRule="auto"/>
        <w:ind w:firstLine="420" w:firstLineChars="200"/>
        <w:rPr>
          <w:rFonts w:ascii="宋体" w:hAnsi="宋体"/>
          <w:szCs w:val="21"/>
        </w:rPr>
      </w:pPr>
      <w:r>
        <w:rPr>
          <w:rFonts w:hint="eastAsia" w:ascii="宋体" w:hAnsi="宋体"/>
          <w:szCs w:val="21"/>
        </w:rPr>
        <w:t>若我公司拟派本项目的</w:t>
      </w:r>
      <w:r>
        <w:rPr>
          <w:rFonts w:hint="eastAsia" w:ascii="宋体" w:hAnsi="宋体"/>
          <w:szCs w:val="21"/>
          <w:lang w:eastAsia="zh-CN"/>
        </w:rPr>
        <w:t>工程总承包项目经理</w:t>
      </w:r>
      <w:r>
        <w:rPr>
          <w:rFonts w:hint="eastAsia" w:ascii="宋体" w:hAnsi="宋体"/>
          <w:szCs w:val="21"/>
        </w:rPr>
        <w:t>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w:t>
      </w:r>
      <w:r>
        <w:rPr>
          <w:rFonts w:hint="eastAsia" w:ascii="宋体" w:hAnsi="宋体"/>
          <w:szCs w:val="21"/>
          <w:lang w:eastAsia="zh-CN"/>
        </w:rPr>
        <w:t>工程总承包项目经理</w:t>
      </w:r>
      <w:r>
        <w:rPr>
          <w:rFonts w:hint="eastAsia" w:ascii="宋体" w:hAnsi="宋体"/>
          <w:szCs w:val="21"/>
        </w:rPr>
        <w:t>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w:t>
      </w:r>
      <w:r>
        <w:rPr>
          <w:rFonts w:hint="eastAsia" w:ascii="宋体" w:hAnsi="宋体"/>
          <w:szCs w:val="21"/>
          <w:lang w:eastAsia="zh-CN"/>
        </w:rPr>
        <w:t>工程总承包项目经理</w:t>
      </w:r>
      <w:r>
        <w:rPr>
          <w:rFonts w:hint="eastAsia" w:ascii="宋体" w:hAnsi="宋体"/>
          <w:szCs w:val="21"/>
        </w:rPr>
        <w:t>符合《建筑施工企业项目经理资质管理办法》规定的项目经理任职条件，否则我公司自愿放弃中标资格，贵单位不退还我公司的投标保证金。</w:t>
      </w:r>
    </w:p>
    <w:p>
      <w:pPr>
        <w:snapToGrid/>
        <w:spacing w:line="360" w:lineRule="auto"/>
        <w:ind w:firstLine="420" w:firstLineChars="200"/>
        <w:rPr>
          <w:rFonts w:ascii="宋体" w:hAnsi="宋体"/>
          <w:szCs w:val="21"/>
        </w:rPr>
      </w:pPr>
      <w:r>
        <w:rPr>
          <w:rFonts w:hint="eastAsia" w:ascii="宋体" w:hAnsi="宋体"/>
          <w:szCs w:val="21"/>
        </w:rPr>
        <w:t>若我公司拟派</w:t>
      </w:r>
      <w:r>
        <w:rPr>
          <w:rFonts w:hint="eastAsia" w:ascii="宋体" w:hAnsi="宋体"/>
          <w:szCs w:val="21"/>
          <w:lang w:eastAsia="zh-CN"/>
        </w:rPr>
        <w:t>工程总承包项目经理</w:t>
      </w:r>
      <w:r>
        <w:rPr>
          <w:rFonts w:hint="eastAsia" w:ascii="宋体" w:hAnsi="宋体"/>
          <w:szCs w:val="21"/>
        </w:rPr>
        <w:t>放弃在其他项目任职的将提供：①经业主或建设单位同意任职变更的文件；②负责项目监管的行业行政主管部门出具同意任职变更的证明材料。</w:t>
      </w:r>
    </w:p>
    <w:p>
      <w:pPr>
        <w:snapToGrid/>
        <w:spacing w:line="360" w:lineRule="auto"/>
        <w:ind w:firstLine="420" w:firstLineChars="200"/>
        <w:rPr>
          <w:rFonts w:hint="default" w:ascii="宋体" w:hAnsi="宋体"/>
          <w:szCs w:val="21"/>
          <w:lang w:val="en-US"/>
        </w:rPr>
      </w:pPr>
      <w:r>
        <w:rPr>
          <w:rFonts w:hint="eastAsia" w:ascii="宋体" w:hAnsi="宋体"/>
          <w:szCs w:val="21"/>
        </w:rPr>
        <w:t>若我公司拟派</w:t>
      </w:r>
      <w:r>
        <w:rPr>
          <w:rFonts w:hint="eastAsia" w:ascii="宋体" w:hAnsi="宋体"/>
          <w:szCs w:val="21"/>
          <w:lang w:eastAsia="zh-CN"/>
        </w:rPr>
        <w:t>工程总承包项目经理</w:t>
      </w:r>
      <w:r>
        <w:rPr>
          <w:rFonts w:hint="eastAsia" w:ascii="宋体" w:hAnsi="宋体"/>
          <w:szCs w:val="21"/>
        </w:rPr>
        <w:t>放弃在其他项目中标或拟中标的将提供：①经中标或拟中标的其他项目建设单位同意的放弃中标函。</w:t>
      </w:r>
    </w:p>
    <w:p>
      <w:pPr>
        <w:spacing w:line="360" w:lineRule="auto"/>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我</w:t>
      </w:r>
      <w:r>
        <w:rPr>
          <w:rFonts w:hint="eastAsia" w:ascii="宋体" w:hAnsi="宋体"/>
          <w:szCs w:val="21"/>
          <w:lang w:val="en-US" w:eastAsia="zh-CN"/>
        </w:rPr>
        <w:t>公司</w:t>
      </w:r>
      <w:r>
        <w:rPr>
          <w:rFonts w:hint="eastAsia" w:ascii="宋体" w:hAnsi="宋体"/>
          <w:szCs w:val="21"/>
        </w:rPr>
        <w:t>拟派设计负责人到岗履职和未被禁止参与投标。</w:t>
      </w:r>
    </w:p>
    <w:p>
      <w:pPr>
        <w:spacing w:line="360" w:lineRule="auto"/>
        <w:ind w:firstLine="420" w:firstLineChars="200"/>
        <w:rPr>
          <w:rFonts w:ascii="宋体" w:hAnsi="宋体"/>
          <w:szCs w:val="21"/>
        </w:rPr>
      </w:pPr>
      <w:r>
        <w:rPr>
          <w:rFonts w:hint="eastAsia" w:ascii="宋体" w:hAnsi="宋体"/>
          <w:szCs w:val="21"/>
        </w:rPr>
        <w:t>（1）拟派设计负责人中标后在本项目任职，签订合同时拟派的设计负责人与投标文件中的设计负责人一致，并满足办理相关手续的要求。不能按承诺到岗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贵单位</w:t>
      </w:r>
      <w:r>
        <w:rPr>
          <w:rFonts w:hint="eastAsia" w:ascii="宋体" w:hAnsi="宋体"/>
          <w:szCs w:val="21"/>
        </w:rPr>
        <w:t>按合同相关条款</w:t>
      </w:r>
      <w:r>
        <w:rPr>
          <w:rFonts w:hint="eastAsia" w:ascii="宋体" w:hAnsi="宋体"/>
          <w:szCs w:val="21"/>
          <w:lang w:val="en-US" w:eastAsia="zh-CN"/>
        </w:rPr>
        <w:t>要求我公司承担责任</w:t>
      </w:r>
      <w:r>
        <w:rPr>
          <w:rFonts w:hint="eastAsia" w:ascii="宋体" w:hAnsi="宋体"/>
          <w:szCs w:val="21"/>
        </w:rPr>
        <w:t>并上报行政主管部门，给贵单位造成损失的，我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违约责任。拟派设计负责人中标后不得随意更换。</w:t>
      </w:r>
    </w:p>
    <w:p>
      <w:pPr>
        <w:spacing w:line="360" w:lineRule="auto"/>
        <w:ind w:firstLine="420" w:firstLineChars="200"/>
        <w:rPr>
          <w:rFonts w:ascii="宋体" w:hAnsi="宋体"/>
          <w:szCs w:val="21"/>
        </w:rPr>
      </w:pPr>
      <w:r>
        <w:rPr>
          <w:rFonts w:hint="eastAsia" w:ascii="宋体" w:hAnsi="宋体"/>
          <w:szCs w:val="21"/>
        </w:rPr>
        <w:t>（2）拟派设计负责人未被</w:t>
      </w:r>
      <w:r>
        <w:rPr>
          <w:rFonts w:hint="eastAsia" w:ascii="宋体" w:hAnsi="宋体"/>
          <w:szCs w:val="21"/>
          <w:lang w:eastAsia="zh-CN"/>
        </w:rPr>
        <w:t>有关</w:t>
      </w:r>
      <w:r>
        <w:rPr>
          <w:rFonts w:hint="eastAsia" w:ascii="宋体" w:hAnsi="宋体"/>
          <w:szCs w:val="21"/>
        </w:rPr>
        <w:t>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但仍参加投标，将被否决投标；已取得中标候选人资格或中标资格的，贵单位有权取消</w:t>
      </w:r>
      <w:r>
        <w:rPr>
          <w:rFonts w:hint="eastAsia" w:ascii="宋体" w:hAnsi="宋体"/>
          <w:szCs w:val="21"/>
          <w:lang w:val="en-US" w:eastAsia="zh-CN"/>
        </w:rPr>
        <w:t>我公司</w:t>
      </w:r>
      <w:r>
        <w:rPr>
          <w:rFonts w:hint="eastAsia" w:ascii="宋体" w:hAnsi="宋体"/>
          <w:szCs w:val="21"/>
        </w:rPr>
        <w:t>中标候选人资格或中标资格；给贵单位造成损失的，我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w:t>
      </w:r>
    </w:p>
    <w:p>
      <w:pPr>
        <w:spacing w:line="360" w:lineRule="auto"/>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我</w:t>
      </w:r>
      <w:r>
        <w:rPr>
          <w:rFonts w:hint="eastAsia" w:ascii="宋体" w:hAnsi="宋体"/>
          <w:szCs w:val="21"/>
          <w:lang w:val="en-US" w:eastAsia="zh-CN"/>
        </w:rPr>
        <w:t>公</w:t>
      </w:r>
      <w:r>
        <w:rPr>
          <w:rFonts w:hint="eastAsia" w:ascii="宋体" w:hAnsi="宋体"/>
          <w:szCs w:val="21"/>
        </w:rPr>
        <w:t>司拟派施工负责人按注册建造师的相关规定到岗履职和未被禁止参与投标。</w:t>
      </w:r>
    </w:p>
    <w:p>
      <w:pPr>
        <w:spacing w:line="360" w:lineRule="auto"/>
        <w:ind w:firstLine="420" w:firstLineChars="200"/>
        <w:rPr>
          <w:rFonts w:ascii="宋体" w:hAnsi="宋体"/>
          <w:szCs w:val="21"/>
        </w:rPr>
      </w:pPr>
      <w:r>
        <w:rPr>
          <w:rFonts w:hint="eastAsia" w:ascii="宋体" w:hAnsi="宋体"/>
          <w:szCs w:val="21"/>
        </w:rPr>
        <w:t>（1）拟派施工负责人中标后在本项目任职，签订合同时拟派的施工负责人与投标文件中的施工负责人一致，并满足办理相关手续的要求。不能按承诺到岗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贵单位</w:t>
      </w:r>
      <w:r>
        <w:rPr>
          <w:rFonts w:hint="eastAsia" w:ascii="宋体" w:hAnsi="宋体"/>
          <w:szCs w:val="21"/>
        </w:rPr>
        <w:t>按合同相关条款</w:t>
      </w:r>
      <w:r>
        <w:rPr>
          <w:rFonts w:hint="eastAsia" w:ascii="宋体" w:hAnsi="宋体"/>
          <w:szCs w:val="21"/>
          <w:lang w:val="en-US" w:eastAsia="zh-CN"/>
        </w:rPr>
        <w:t>要求我公司承担责任</w:t>
      </w:r>
      <w:r>
        <w:rPr>
          <w:rFonts w:hint="eastAsia" w:ascii="宋体" w:hAnsi="宋体"/>
          <w:szCs w:val="21"/>
        </w:rPr>
        <w:t>并上报行政主管部门，给贵单位造成损失的，我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违约责任。拟派施工负责人中标后不得随意更换。</w:t>
      </w:r>
    </w:p>
    <w:p>
      <w:pPr>
        <w:spacing w:line="360" w:lineRule="auto"/>
        <w:ind w:firstLine="420" w:firstLineChars="200"/>
        <w:rPr>
          <w:rFonts w:ascii="宋体" w:hAnsi="宋体"/>
          <w:szCs w:val="21"/>
        </w:rPr>
      </w:pPr>
      <w:r>
        <w:rPr>
          <w:rFonts w:hint="eastAsia" w:ascii="宋体" w:hAnsi="宋体"/>
          <w:szCs w:val="21"/>
        </w:rPr>
        <w:t>（2）拟派施工负责人未被</w:t>
      </w:r>
      <w:r>
        <w:rPr>
          <w:rFonts w:hint="eastAsia" w:ascii="宋体" w:hAnsi="宋体"/>
          <w:szCs w:val="21"/>
          <w:lang w:eastAsia="zh-CN"/>
        </w:rPr>
        <w:t>有关</w:t>
      </w:r>
      <w:r>
        <w:rPr>
          <w:rFonts w:hint="eastAsia" w:ascii="宋体" w:hAnsi="宋体"/>
          <w:szCs w:val="21"/>
        </w:rPr>
        <w:t>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但仍参加投标，将被否决投标；已取得中标候选人资格或中标资格的，贵单位有权取消</w:t>
      </w:r>
      <w:r>
        <w:rPr>
          <w:rFonts w:hint="eastAsia" w:ascii="宋体" w:hAnsi="宋体"/>
          <w:szCs w:val="21"/>
          <w:lang w:val="en-US" w:eastAsia="zh-CN"/>
        </w:rPr>
        <w:t>我公司</w:t>
      </w:r>
      <w:r>
        <w:rPr>
          <w:rFonts w:hint="eastAsia" w:ascii="宋体" w:hAnsi="宋体"/>
          <w:szCs w:val="21"/>
        </w:rPr>
        <w:t>中标候选人资格或中标资格；给贵单位造成损失的，我</w:t>
      </w:r>
      <w:r>
        <w:rPr>
          <w:rFonts w:hint="eastAsia" w:ascii="宋体" w:hAnsi="宋体"/>
          <w:szCs w:val="21"/>
          <w:lang w:val="en-US" w:eastAsia="zh-CN"/>
        </w:rPr>
        <w:t>公</w:t>
      </w:r>
      <w:r>
        <w:rPr>
          <w:rFonts w:hint="eastAsia" w:ascii="宋体" w:hAnsi="宋体"/>
          <w:szCs w:val="21"/>
        </w:rPr>
        <w:t>司依法承担赔偿</w:t>
      </w:r>
      <w:r>
        <w:rPr>
          <w:rFonts w:hint="eastAsia" w:ascii="宋体" w:hAnsi="宋体"/>
          <w:szCs w:val="21"/>
          <w:lang w:val="en-US" w:eastAsia="zh-CN"/>
        </w:rPr>
        <w:t>责任或</w:t>
      </w:r>
      <w:r>
        <w:rPr>
          <w:rFonts w:hint="eastAsia" w:ascii="宋体" w:hAnsi="宋体"/>
          <w:szCs w:val="21"/>
        </w:rPr>
        <w:t>违约责任。</w:t>
      </w:r>
    </w:p>
    <w:p>
      <w:pPr>
        <w:spacing w:line="360" w:lineRule="auto"/>
        <w:ind w:firstLine="420" w:firstLineChars="200"/>
        <w:rPr>
          <w:rFonts w:ascii="宋体" w:hAnsi="宋体"/>
          <w:szCs w:val="21"/>
        </w:rPr>
      </w:pPr>
      <w:r>
        <w:rPr>
          <w:rFonts w:hint="eastAsia" w:ascii="宋体" w:hAnsi="宋体"/>
          <w:szCs w:val="21"/>
        </w:rPr>
        <w:t>（3）为保证拟派的施工负责人到本项目到岗履职，我公司还承诺：</w:t>
      </w:r>
    </w:p>
    <w:p>
      <w:pPr>
        <w:spacing w:line="360" w:lineRule="auto"/>
        <w:ind w:firstLine="420" w:firstLineChars="200"/>
        <w:rPr>
          <w:rFonts w:ascii="宋体" w:hAnsi="宋体"/>
          <w:szCs w:val="21"/>
        </w:rPr>
      </w:pPr>
      <w:r>
        <w:rPr>
          <w:rFonts w:hint="eastAsia" w:ascii="宋体" w:hAnsi="宋体"/>
          <w:szCs w:val="21"/>
        </w:rPr>
        <w:t xml:space="preserve">若我公司拟派本项目的施工负责人有在其他项目任职的情形的（或有在其他项目中标或拟中标的情形的），在收到中标通知书后 </w:t>
      </w:r>
      <w:r>
        <w:rPr>
          <w:rFonts w:ascii="宋体" w:hAnsi="宋体"/>
          <w:szCs w:val="21"/>
          <w:u w:val="single"/>
        </w:rPr>
        <w:t>14</w:t>
      </w:r>
      <w:r>
        <w:rPr>
          <w:rFonts w:hint="eastAsia" w:ascii="宋体" w:hAnsi="宋体"/>
          <w:szCs w:val="21"/>
        </w:rPr>
        <w:t xml:space="preserve"> 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施工负责人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投标保证金。在合同签订时，我公司确保拟派施工负责人符合《建筑施工企业项目经理资质管理办法》规定的任职条件，否则我公司自愿放弃中标资格，贵单位不退还我公司投标保证金。</w:t>
      </w:r>
    </w:p>
    <w:p>
      <w:pPr>
        <w:spacing w:line="360" w:lineRule="auto"/>
        <w:ind w:firstLine="420" w:firstLineChars="200"/>
        <w:rPr>
          <w:rFonts w:ascii="宋体" w:hAnsi="宋体"/>
          <w:szCs w:val="21"/>
        </w:rPr>
      </w:pPr>
      <w:r>
        <w:rPr>
          <w:rFonts w:hint="eastAsia" w:ascii="宋体" w:hAnsi="宋体"/>
          <w:szCs w:val="21"/>
        </w:rPr>
        <w:t>若我公司拟派施工负责人放弃在其他项目任职的将提供：①经业主或建设单位同意任职变更的文件；②负责项目监管的行业行政主管部门出具同意任职变更的证明材料。</w:t>
      </w:r>
    </w:p>
    <w:p>
      <w:pPr>
        <w:spacing w:line="360" w:lineRule="auto"/>
        <w:ind w:firstLine="420" w:firstLineChars="200"/>
        <w:rPr>
          <w:rFonts w:ascii="宋体" w:hAnsi="宋体"/>
          <w:szCs w:val="21"/>
        </w:rPr>
      </w:pPr>
      <w:r>
        <w:rPr>
          <w:rFonts w:hint="eastAsia" w:ascii="宋体" w:hAnsi="宋体"/>
          <w:szCs w:val="21"/>
        </w:rPr>
        <w:t>若我公司拟派施工负责人放弃在其他项目中标或拟中标的将提供：①经中标或拟中标的其他项目建设单位同意的放弃中标函。</w:t>
      </w:r>
    </w:p>
    <w:p>
      <w:pPr>
        <w:spacing w:line="360" w:lineRule="auto"/>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w:t>
      </w:r>
      <w:r>
        <w:rPr>
          <w:rFonts w:hint="eastAsia" w:ascii="宋体" w:hAnsi="宋体"/>
          <w:szCs w:val="21"/>
          <w:lang w:val="en-US" w:eastAsia="zh-CN"/>
        </w:rPr>
        <w:t>公司若中标</w:t>
      </w:r>
      <w:r>
        <w:rPr>
          <w:rFonts w:hint="eastAsia" w:ascii="宋体" w:hAnsi="宋体"/>
          <w:szCs w:val="21"/>
          <w:lang w:eastAsia="zh-CN"/>
        </w:rPr>
        <w:t>，</w:t>
      </w:r>
      <w:r>
        <w:rPr>
          <w:rFonts w:hint="eastAsia" w:ascii="宋体" w:hAnsi="宋体"/>
          <w:szCs w:val="21"/>
        </w:rPr>
        <w:t>在签订合同之前，</w:t>
      </w:r>
      <w:r>
        <w:rPr>
          <w:rFonts w:hint="eastAsia" w:ascii="宋体" w:hAnsi="宋体"/>
          <w:szCs w:val="21"/>
          <w:lang w:val="en-US" w:eastAsia="zh-CN"/>
        </w:rPr>
        <w:t>将</w:t>
      </w:r>
      <w:r>
        <w:rPr>
          <w:rFonts w:hint="eastAsia" w:ascii="宋体" w:hAnsi="宋体"/>
          <w:szCs w:val="21"/>
        </w:rPr>
        <w:t>按照实际工作需要和建设行政主管部门的要求组建项目部，配置项目管理班子，出具任命文件。任命文件应当明确项目部的职责、岗位设置、人员配备，并书面通知贵单位。主要管理人员</w:t>
      </w:r>
      <w:r>
        <w:rPr>
          <w:rFonts w:hint="eastAsia" w:ascii="宋体" w:hAnsi="宋体"/>
          <w:szCs w:val="21"/>
          <w:lang w:val="en-US" w:eastAsia="zh-CN"/>
        </w:rPr>
        <w:t>应</w:t>
      </w:r>
      <w:r>
        <w:rPr>
          <w:rFonts w:hint="eastAsia" w:ascii="宋体" w:hAnsi="宋体"/>
          <w:szCs w:val="21"/>
        </w:rPr>
        <w:t>持有建设行政主管部门要求的岗位证书或注册证书或职称证书，并提供我</w:t>
      </w:r>
      <w:r>
        <w:rPr>
          <w:rFonts w:hint="eastAsia" w:ascii="宋体" w:hAnsi="宋体"/>
          <w:szCs w:val="21"/>
          <w:lang w:val="en-US" w:eastAsia="zh-CN"/>
        </w:rPr>
        <w:t>公</w:t>
      </w:r>
      <w:r>
        <w:rPr>
          <w:rFonts w:hint="eastAsia" w:ascii="宋体" w:hAnsi="宋体"/>
          <w:szCs w:val="21"/>
        </w:rPr>
        <w:t>司为其缴纳的养老保险证明材料。中标后不能满足该要求的，</w:t>
      </w:r>
      <w:r>
        <w:rPr>
          <w:rFonts w:hint="eastAsia" w:ascii="宋体" w:hAnsi="宋体"/>
          <w:szCs w:val="21"/>
          <w:lang w:val="en-US" w:eastAsia="zh-CN"/>
        </w:rPr>
        <w:t>贵单位可</w:t>
      </w:r>
      <w:r>
        <w:rPr>
          <w:rFonts w:hint="eastAsia" w:ascii="宋体" w:hAnsi="宋体"/>
          <w:szCs w:val="21"/>
        </w:rPr>
        <w:t>取消我司中标资格</w:t>
      </w:r>
      <w:r>
        <w:rPr>
          <w:rFonts w:hint="eastAsia" w:ascii="宋体" w:hAnsi="宋体"/>
          <w:szCs w:val="21"/>
          <w:lang w:eastAsia="zh-CN"/>
        </w:rPr>
        <w:t>；</w:t>
      </w:r>
      <w:r>
        <w:rPr>
          <w:rFonts w:hint="eastAsia" w:ascii="宋体" w:hAnsi="宋体" w:eastAsia="宋体" w:cs="Times New Roman"/>
          <w:szCs w:val="21"/>
        </w:rPr>
        <w:t>签订合同后不满足该要求的，</w:t>
      </w:r>
      <w:r>
        <w:rPr>
          <w:rFonts w:hint="eastAsia" w:ascii="宋体" w:hAnsi="宋体" w:cs="Times New Roman"/>
          <w:szCs w:val="21"/>
          <w:lang w:val="en-US" w:eastAsia="zh-CN"/>
        </w:rPr>
        <w:t>贵单位</w:t>
      </w:r>
      <w:r>
        <w:rPr>
          <w:rFonts w:hint="eastAsia" w:ascii="宋体" w:hAnsi="宋体" w:eastAsia="宋体" w:cs="Times New Roman"/>
          <w:szCs w:val="21"/>
        </w:rPr>
        <w:t>按合同相关条款</w:t>
      </w:r>
      <w:r>
        <w:rPr>
          <w:rFonts w:hint="eastAsia" w:ascii="宋体" w:hAnsi="宋体" w:eastAsia="宋体" w:cs="Times New Roman"/>
          <w:szCs w:val="21"/>
          <w:lang w:val="en-US" w:eastAsia="zh-CN"/>
        </w:rPr>
        <w:t>要求</w:t>
      </w:r>
      <w:r>
        <w:rPr>
          <w:rFonts w:hint="eastAsia" w:ascii="宋体" w:hAnsi="宋体" w:cs="Times New Roman"/>
          <w:szCs w:val="21"/>
          <w:lang w:val="en-US" w:eastAsia="zh-CN"/>
        </w:rPr>
        <w:t>我公司</w:t>
      </w:r>
      <w:r>
        <w:rPr>
          <w:rFonts w:hint="eastAsia" w:ascii="宋体" w:hAnsi="宋体" w:eastAsia="宋体" w:cs="Times New Roman"/>
          <w:szCs w:val="21"/>
          <w:lang w:val="en-US" w:eastAsia="zh-CN"/>
        </w:rPr>
        <w:t>承担责任</w:t>
      </w:r>
      <w:r>
        <w:rPr>
          <w:rFonts w:hint="eastAsia" w:ascii="宋体" w:hAnsi="宋体" w:eastAsia="宋体" w:cs="Times New Roman"/>
          <w:szCs w:val="21"/>
        </w:rPr>
        <w:t>并上报行政主管部门；</w:t>
      </w:r>
      <w:r>
        <w:rPr>
          <w:rFonts w:hint="eastAsia" w:ascii="宋体" w:hAnsi="宋体"/>
          <w:szCs w:val="21"/>
        </w:rPr>
        <w:t>给贵单位造成损失的，我司依法承担赔偿</w:t>
      </w:r>
      <w:r>
        <w:rPr>
          <w:rFonts w:hint="eastAsia" w:ascii="宋体" w:hAnsi="宋体"/>
          <w:szCs w:val="21"/>
          <w:lang w:val="en-US" w:eastAsia="zh-CN"/>
        </w:rPr>
        <w:t>责任或</w:t>
      </w:r>
      <w:r>
        <w:rPr>
          <w:rFonts w:hint="eastAsia" w:ascii="宋体" w:hAnsi="宋体"/>
          <w:szCs w:val="21"/>
        </w:rPr>
        <w:t>违约责任。</w:t>
      </w:r>
    </w:p>
    <w:p>
      <w:pPr>
        <w:spacing w:line="360" w:lineRule="auto"/>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zh-CN"/>
        </w:rPr>
        <w:t>本投标文件</w:t>
      </w:r>
      <w:r>
        <w:rPr>
          <w:rFonts w:hint="eastAsia" w:ascii="宋体" w:hAnsi="宋体"/>
          <w:szCs w:val="21"/>
        </w:rPr>
        <w:t>中的</w:t>
      </w:r>
      <w:r>
        <w:rPr>
          <w:rFonts w:hint="eastAsia" w:ascii="宋体" w:hAnsi="宋体"/>
          <w:szCs w:val="21"/>
          <w:lang w:val="en-US" w:eastAsia="zh-CN"/>
        </w:rPr>
        <w:t>所有内容</w:t>
      </w:r>
      <w:r>
        <w:rPr>
          <w:rFonts w:hint="eastAsia" w:ascii="宋体" w:hAnsi="宋体"/>
          <w:szCs w:val="21"/>
        </w:rPr>
        <w:t>真实有效，不存在弄虚作假情形。</w:t>
      </w:r>
      <w:r>
        <w:rPr>
          <w:rFonts w:hint="eastAsia" w:ascii="宋体" w:hAnsi="宋体"/>
          <w:szCs w:val="21"/>
          <w:u w:val="none"/>
        </w:rPr>
        <w:t>贵单位有权对我</w:t>
      </w:r>
      <w:r>
        <w:rPr>
          <w:rFonts w:hint="eastAsia" w:ascii="宋体" w:hAnsi="宋体"/>
          <w:szCs w:val="21"/>
          <w:u w:val="none"/>
          <w:lang w:val="en-US" w:eastAsia="zh-CN"/>
        </w:rPr>
        <w:t>公</w:t>
      </w:r>
      <w:r>
        <w:rPr>
          <w:rFonts w:hint="eastAsia" w:ascii="宋体" w:hAnsi="宋体"/>
          <w:szCs w:val="21"/>
          <w:u w:val="none"/>
        </w:rPr>
        <w:t>司提供的资料进行核实，若发现弄虚作假，</w:t>
      </w:r>
      <w:r>
        <w:rPr>
          <w:rFonts w:hint="eastAsia" w:ascii="宋体" w:hAnsi="宋体"/>
          <w:szCs w:val="21"/>
          <w:u w:val="none"/>
          <w:lang w:eastAsia="zh-CN"/>
        </w:rPr>
        <w:t>按相关规定</w:t>
      </w:r>
      <w:r>
        <w:rPr>
          <w:rFonts w:hint="eastAsia" w:ascii="宋体" w:hAnsi="宋体"/>
          <w:szCs w:val="21"/>
          <w:u w:val="none"/>
        </w:rPr>
        <w:t>取消</w:t>
      </w:r>
      <w:r>
        <w:rPr>
          <w:rFonts w:hint="eastAsia" w:ascii="宋体" w:hAnsi="宋体"/>
          <w:szCs w:val="21"/>
          <w:u w:val="none"/>
          <w:lang w:eastAsia="zh-CN"/>
        </w:rPr>
        <w:t>我</w:t>
      </w:r>
      <w:r>
        <w:rPr>
          <w:rFonts w:hint="eastAsia" w:ascii="宋体" w:hAnsi="宋体"/>
          <w:szCs w:val="21"/>
          <w:u w:val="none"/>
          <w:lang w:val="en-US" w:eastAsia="zh-CN"/>
        </w:rPr>
        <w:t>公</w:t>
      </w:r>
      <w:r>
        <w:rPr>
          <w:rFonts w:hint="eastAsia" w:ascii="宋体" w:hAnsi="宋体"/>
          <w:szCs w:val="21"/>
          <w:u w:val="none"/>
          <w:lang w:eastAsia="zh-CN"/>
        </w:rPr>
        <w:t>司</w:t>
      </w:r>
      <w:r>
        <w:rPr>
          <w:rFonts w:hint="eastAsia" w:ascii="宋体" w:hAnsi="宋体"/>
          <w:szCs w:val="21"/>
          <w:u w:val="none"/>
        </w:rPr>
        <w:t>中标资格，并按相关法律法规报招标投标监督部门，投标保证金</w:t>
      </w:r>
      <w:r>
        <w:rPr>
          <w:rFonts w:hint="eastAsia" w:ascii="宋体" w:hAnsi="宋体" w:eastAsia="宋体" w:cs="宋体"/>
          <w:szCs w:val="21"/>
          <w:u w:val="none"/>
          <w:lang w:val="en-US" w:eastAsia="zh-CN"/>
        </w:rPr>
        <w:t>以现金形式交纳的</w:t>
      </w:r>
      <w:r>
        <w:rPr>
          <w:rFonts w:hint="eastAsia" w:ascii="宋体" w:hAnsi="宋体"/>
          <w:szCs w:val="21"/>
          <w:u w:val="none"/>
        </w:rPr>
        <w:t>不予退还，</w:t>
      </w:r>
      <w:r>
        <w:rPr>
          <w:rFonts w:hint="eastAsia" w:ascii="宋体" w:hAnsi="宋体" w:eastAsia="宋体" w:cs="宋体"/>
          <w:szCs w:val="21"/>
          <w:u w:val="none"/>
        </w:rPr>
        <w:t>以保函形式交纳的由保函开立人支付保函担保的与投标保证金等额的款项</w:t>
      </w:r>
      <w:r>
        <w:rPr>
          <w:rFonts w:hint="eastAsia" w:ascii="宋体" w:hAnsi="宋体" w:cs="宋体"/>
          <w:szCs w:val="21"/>
          <w:u w:val="none"/>
        </w:rPr>
        <w:t>，</w:t>
      </w:r>
      <w:r>
        <w:rPr>
          <w:rFonts w:hint="eastAsia" w:ascii="宋体" w:hAnsi="宋体"/>
          <w:szCs w:val="21"/>
          <w:u w:val="none"/>
        </w:rPr>
        <w:t>我</w:t>
      </w:r>
      <w:r>
        <w:rPr>
          <w:rFonts w:hint="eastAsia" w:ascii="宋体" w:hAnsi="宋体"/>
          <w:szCs w:val="21"/>
          <w:u w:val="none"/>
          <w:lang w:val="en-US" w:eastAsia="zh-CN"/>
        </w:rPr>
        <w:t>公</w:t>
      </w:r>
      <w:r>
        <w:rPr>
          <w:rFonts w:hint="eastAsia" w:ascii="宋体" w:hAnsi="宋体"/>
          <w:szCs w:val="21"/>
          <w:u w:val="none"/>
        </w:rPr>
        <w:t>司自愿承担因此造成的相关责任并赔偿相应损失。</w:t>
      </w:r>
    </w:p>
    <w:p>
      <w:pPr>
        <w:spacing w:line="360" w:lineRule="auto"/>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、我公司不存在第二章“投标人须知”第 1.4.3 项规定的任何一种情形。</w:t>
      </w:r>
    </w:p>
    <w:p>
      <w:pPr>
        <w:spacing w:line="360" w:lineRule="auto"/>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、我公司的投标文件符合第二章“投标人须知”第 1.3.1 项的规定。</w:t>
      </w:r>
    </w:p>
    <w:p>
      <w:pPr>
        <w:spacing w:line="360" w:lineRule="auto"/>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、我公司的投标文件符合招标文件第四章“合同条款及格式”规定，投标文件中没有贵单位不能接受的条件。</w:t>
      </w:r>
    </w:p>
    <w:p>
      <w:pPr>
        <w:spacing w:line="360" w:lineRule="auto"/>
        <w:ind w:firstLine="420" w:firstLineChars="200"/>
      </w:pPr>
      <w:r>
        <w:rPr>
          <w:rFonts w:hint="eastAsia" w:ascii="宋体" w:hAnsi="宋体"/>
          <w:szCs w:val="21"/>
          <w:lang w:val="en-US" w:eastAsia="zh-CN"/>
        </w:rPr>
        <w:t>10</w:t>
      </w:r>
      <w:r>
        <w:rPr>
          <w:rFonts w:hint="eastAsia" w:ascii="宋体" w:hAnsi="宋体"/>
          <w:szCs w:val="21"/>
        </w:rPr>
        <w:t>、我公司的投标文件符合招标文件第六章“发包人要求”规定</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p>
      <w:pPr>
        <w:spacing w:line="360" w:lineRule="auto"/>
        <w:ind w:firstLine="420" w:firstLineChars="200"/>
        <w:rPr>
          <w:rFonts w:ascii="宋体" w:hAnsi="宋体"/>
          <w:szCs w:val="21"/>
        </w:rPr>
      </w:pPr>
    </w:p>
    <w:p>
      <w:pPr>
        <w:spacing w:line="360" w:lineRule="auto"/>
        <w:ind w:firstLine="4620" w:firstLineChars="2200"/>
        <w:rPr>
          <w:rFonts w:ascii="宋体" w:hAnsi="宋体"/>
          <w:kern w:val="0"/>
          <w:szCs w:val="21"/>
        </w:rPr>
      </w:pPr>
      <w:r>
        <w:rPr>
          <w:rFonts w:hint="eastAsia" w:ascii="宋体" w:hAnsi="宋体"/>
          <w:szCs w:val="21"/>
        </w:rPr>
        <w:t>投标人：</w:t>
      </w:r>
      <w:r>
        <w:rPr>
          <w:rFonts w:ascii="宋体" w:hAnsi="宋体"/>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（签名或盖章）</w:t>
      </w:r>
    </w:p>
    <w:p>
      <w:pPr>
        <w:spacing w:line="360" w:lineRule="auto"/>
        <w:ind w:firstLine="6510" w:firstLineChars="3100"/>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
    <w:p/>
    <w:p/>
    <w:p/>
    <w:p/>
    <w:p/>
    <w:p/>
    <w:p/>
    <w:p>
      <w:pPr>
        <w:pStyle w:val="5"/>
        <w:spacing w:before="0" w:line="360" w:lineRule="auto"/>
        <w:jc w:val="center"/>
        <w:rPr>
          <w:rFonts w:ascii="宋体" w:hAnsi="宋体"/>
        </w:rPr>
      </w:pPr>
      <w:bookmarkStart w:id="3349" w:name="_Toc1967"/>
      <w:bookmarkStart w:id="3350" w:name="_Toc27133"/>
      <w:bookmarkStart w:id="3351" w:name="_Toc29696"/>
      <w:r>
        <w:rPr>
          <w:rFonts w:hint="eastAsia" w:ascii="宋体" w:hAnsi="宋体"/>
          <w:b w:val="0"/>
        </w:rPr>
        <w:t>（</w:t>
      </w:r>
      <w:r>
        <w:rPr>
          <w:rFonts w:hint="eastAsia" w:ascii="宋体" w:hAnsi="宋体"/>
          <w:b w:val="0"/>
          <w:lang w:val="en-US" w:eastAsia="zh-CN"/>
        </w:rPr>
        <w:t>四</w:t>
      </w:r>
      <w:r>
        <w:rPr>
          <w:rFonts w:hint="eastAsia" w:ascii="宋体" w:hAnsi="宋体"/>
          <w:b w:val="0"/>
        </w:rPr>
        <w:t>）其他资料</w:t>
      </w:r>
      <w:bookmarkEnd w:id="3349"/>
      <w:bookmarkEnd w:id="3350"/>
      <w:bookmarkEnd w:id="3351"/>
    </w:p>
    <w:bookmarkEnd w:id="884"/>
    <w:bookmarkEnd w:id="885"/>
    <w:bookmarkEnd w:id="886"/>
    <w:p>
      <w:pPr>
        <w:spacing w:line="360" w:lineRule="auto"/>
        <w:ind w:firstLine="420" w:firstLineChars="200"/>
        <w:rPr>
          <w:rFonts w:ascii="宋体" w:hAnsi="宋体"/>
          <w:sz w:val="21"/>
          <w:szCs w:val="21"/>
        </w:rPr>
      </w:pPr>
      <w:r>
        <w:rPr>
          <w:rFonts w:hint="eastAsia" w:ascii="宋体" w:hAnsi="宋体"/>
          <w:sz w:val="21"/>
          <w:szCs w:val="21"/>
        </w:rPr>
        <w:t>1. 投标保证金</w:t>
      </w:r>
    </w:p>
    <w:p>
      <w:pPr>
        <w:spacing w:line="360" w:lineRule="auto"/>
        <w:ind w:firstLine="420" w:firstLineChars="200"/>
        <w:rPr>
          <w:rFonts w:ascii="宋体" w:hAnsi="宋体"/>
          <w:i w:val="0"/>
          <w:iCs w:val="0"/>
          <w:sz w:val="21"/>
          <w:szCs w:val="21"/>
        </w:rPr>
      </w:pPr>
      <w:r>
        <w:rPr>
          <w:rFonts w:hint="eastAsia" w:ascii="宋体" w:hAnsi="宋体"/>
          <w:i w:val="0"/>
          <w:iCs w:val="0"/>
          <w:sz w:val="21"/>
          <w:szCs w:val="21"/>
          <w:lang w:eastAsia="zh-CN"/>
        </w:rPr>
        <w:t>（</w:t>
      </w:r>
      <w:r>
        <w:rPr>
          <w:rFonts w:hint="eastAsia" w:ascii="宋体" w:hAnsi="宋体"/>
          <w:i w:val="0"/>
          <w:iCs w:val="0"/>
          <w:sz w:val="21"/>
          <w:szCs w:val="21"/>
          <w:lang w:val="en-US" w:eastAsia="zh-CN"/>
        </w:rPr>
        <w:t>注</w:t>
      </w:r>
      <w:r>
        <w:rPr>
          <w:rFonts w:ascii="宋体" w:hAnsi="宋体"/>
          <w:i w:val="0"/>
          <w:iCs w:val="0"/>
          <w:sz w:val="21"/>
          <w:szCs w:val="21"/>
        </w:rPr>
        <w:t>：以转账支票或电汇形式交纳投标保证金的提供以下资料</w:t>
      </w:r>
      <w:r>
        <w:rPr>
          <w:rFonts w:hint="eastAsia" w:ascii="宋体" w:hAnsi="宋体"/>
          <w:i w:val="0"/>
          <w:iCs w:val="0"/>
          <w:sz w:val="21"/>
          <w:szCs w:val="21"/>
          <w:lang w:eastAsia="zh-CN"/>
        </w:rPr>
        <w:t>）</w:t>
      </w:r>
    </w:p>
    <w:p>
      <w:pPr>
        <w:spacing w:line="360" w:lineRule="auto"/>
        <w:ind w:firstLine="420" w:firstLineChars="200"/>
        <w:rPr>
          <w:rFonts w:ascii="宋体" w:hAnsi="宋体"/>
          <w:sz w:val="21"/>
          <w:szCs w:val="21"/>
        </w:rPr>
      </w:pPr>
      <w:r>
        <w:rPr>
          <w:rFonts w:hint="eastAsia" w:ascii="宋体" w:hAnsi="宋体"/>
          <w:sz w:val="21"/>
          <w:szCs w:val="21"/>
        </w:rPr>
        <w:t>（1）企业基本账户开户证明文件；</w:t>
      </w:r>
    </w:p>
    <w:p>
      <w:pPr>
        <w:spacing w:line="240" w:lineRule="auto"/>
        <w:ind w:firstLine="0" w:firstLineChars="0"/>
        <w:rPr>
          <w:rFonts w:ascii="宋体" w:hAnsi="宋体"/>
          <w:i/>
          <w:iCs/>
          <w:sz w:val="18"/>
          <w:szCs w:val="18"/>
        </w:rPr>
      </w:pPr>
      <w:r>
        <w:rPr>
          <w:rFonts w:ascii="宋体" w:hAnsi="宋体"/>
          <w:i/>
          <w:iCs/>
          <w:sz w:val="18"/>
          <w:szCs w:val="18"/>
        </w:rPr>
        <w:br w:type="page"/>
      </w:r>
    </w:p>
    <w:p>
      <w:pPr>
        <w:spacing w:line="360" w:lineRule="auto"/>
        <w:ind w:firstLine="420" w:firstLineChars="200"/>
        <w:rPr>
          <w:rFonts w:ascii="宋体" w:hAnsi="宋体"/>
          <w:i w:val="0"/>
          <w:iCs w:val="0"/>
          <w:sz w:val="21"/>
          <w:szCs w:val="21"/>
        </w:rPr>
      </w:pPr>
      <w:r>
        <w:rPr>
          <w:rFonts w:hint="eastAsia" w:ascii="宋体" w:hAnsi="宋体"/>
          <w:i w:val="0"/>
          <w:iCs w:val="0"/>
          <w:sz w:val="21"/>
          <w:szCs w:val="21"/>
          <w:lang w:eastAsia="zh-CN"/>
        </w:rPr>
        <w:t>（</w:t>
      </w:r>
      <w:r>
        <w:rPr>
          <w:rFonts w:hint="eastAsia" w:ascii="宋体" w:hAnsi="宋体"/>
          <w:i w:val="0"/>
          <w:iCs w:val="0"/>
          <w:sz w:val="21"/>
          <w:szCs w:val="21"/>
          <w:lang w:val="en-US" w:eastAsia="zh-CN"/>
        </w:rPr>
        <w:t>注</w:t>
      </w:r>
      <w:r>
        <w:rPr>
          <w:rFonts w:ascii="宋体" w:hAnsi="宋体"/>
          <w:i w:val="0"/>
          <w:iCs w:val="0"/>
          <w:sz w:val="21"/>
          <w:szCs w:val="21"/>
        </w:rPr>
        <w:t>：以</w:t>
      </w:r>
      <w:r>
        <w:rPr>
          <w:rFonts w:hint="eastAsia" w:ascii="宋体" w:hAnsi="宋体"/>
          <w:i w:val="0"/>
          <w:iCs w:val="0"/>
          <w:sz w:val="21"/>
          <w:szCs w:val="21"/>
        </w:rPr>
        <w:t>纸质投标保函</w:t>
      </w:r>
      <w:r>
        <w:rPr>
          <w:rFonts w:ascii="宋体" w:hAnsi="宋体"/>
          <w:i w:val="0"/>
          <w:iCs w:val="0"/>
          <w:sz w:val="21"/>
          <w:szCs w:val="21"/>
        </w:rPr>
        <w:t>形式交纳投标保证金的提供以下资料</w:t>
      </w:r>
      <w:r>
        <w:rPr>
          <w:rFonts w:hint="eastAsia" w:ascii="宋体" w:hAnsi="宋体"/>
          <w:i w:val="0"/>
          <w:iCs w:val="0"/>
          <w:sz w:val="21"/>
          <w:szCs w:val="21"/>
          <w:lang w:eastAsia="zh-CN"/>
        </w:rPr>
        <w:t>）</w:t>
      </w:r>
    </w:p>
    <w:p>
      <w:pPr>
        <w:spacing w:line="360" w:lineRule="auto"/>
        <w:ind w:firstLine="420" w:firstLineChars="200"/>
        <w:rPr>
          <w:rFonts w:hint="eastAsia" w:ascii="宋体" w:hAnsi="宋体"/>
          <w:sz w:val="21"/>
          <w:szCs w:val="21"/>
          <w:lang w:eastAsia="zh-CN"/>
        </w:rPr>
      </w:pPr>
      <w:r>
        <w:rPr>
          <w:rFonts w:hint="eastAsia" w:ascii="宋体" w:hAnsi="宋体"/>
          <w:sz w:val="21"/>
          <w:szCs w:val="21"/>
        </w:rPr>
        <w:t>（1）纸质投标保函</w:t>
      </w:r>
      <w:r>
        <w:rPr>
          <w:rFonts w:hint="eastAsia" w:ascii="宋体" w:hAnsi="宋体"/>
          <w:sz w:val="21"/>
          <w:szCs w:val="21"/>
          <w:lang w:eastAsia="zh-CN"/>
        </w:rPr>
        <w:t>（如有）</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u w:val="singl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（受益人名称）</w:t>
      </w:r>
      <w:r>
        <w:rPr>
          <w:rFonts w:hint="eastAsia" w:ascii="宋体" w:hAnsi="宋体" w:eastAsia="宋体" w:cs="宋体"/>
          <w:color w:val="auto"/>
          <w:kern w:val="2"/>
          <w:sz w:val="21"/>
          <w:szCs w:val="21"/>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lang w:val="en-US" w:eastAsia="zh-CN" w:bidi="ar-SA"/>
        </w:rPr>
      </w:pPr>
      <w:r>
        <w:rPr>
          <w:rFonts w:hint="eastAsia" w:ascii="宋体" w:hAnsi="宋体" w:eastAsia="宋体" w:cs="宋体"/>
          <w:color w:val="auto"/>
          <w:spacing w:val="-6"/>
          <w:kern w:val="0"/>
          <w:sz w:val="21"/>
          <w:szCs w:val="21"/>
          <w:lang w:val="en-US" w:eastAsia="zh-CN" w:bidi="ar-SA"/>
        </w:rPr>
        <w:t>我方（即“开立人”）已获得通知，本保函申请人（即“投标人”）已响应贵方于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spacing w:val="-6"/>
          <w:kern w:val="0"/>
          <w:sz w:val="21"/>
          <w:szCs w:val="21"/>
          <w:lang w:val="en-US" w:eastAsia="zh-CN" w:bidi="ar-SA"/>
        </w:rPr>
        <w:t>就</w:t>
      </w:r>
      <w:r>
        <w:rPr>
          <w:rFonts w:hint="eastAsia" w:ascii="宋体" w:hAnsi="宋体" w:eastAsia="宋体" w:cs="宋体"/>
          <w:color w:val="auto"/>
          <w:spacing w:val="-6"/>
          <w:kern w:val="0"/>
          <w:sz w:val="21"/>
          <w:szCs w:val="21"/>
          <w:u w:val="single"/>
          <w:lang w:val="en-US" w:eastAsia="zh-CN" w:bidi="ar-SA"/>
        </w:rPr>
        <w:t xml:space="preserve">                   </w:t>
      </w:r>
      <w:r>
        <w:rPr>
          <w:rFonts w:hint="eastAsia" w:ascii="宋体" w:hAnsi="宋体" w:eastAsia="宋体" w:cs="宋体"/>
          <w:color w:val="auto"/>
          <w:spacing w:val="-6"/>
          <w:kern w:val="0"/>
          <w:sz w:val="21"/>
          <w:szCs w:val="21"/>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u w:val="single"/>
          <w:lang w:val="en-US" w:eastAsia="zh-CN" w:bidi="ar-SA"/>
        </w:rPr>
        <w:t xml:space="preserve">    </w:t>
      </w:r>
      <w:r>
        <w:rPr>
          <w:rFonts w:hint="eastAsia" w:ascii="宋体" w:hAnsi="宋体" w:eastAsia="宋体" w:cs="宋体"/>
          <w:color w:val="auto"/>
          <w:kern w:val="0"/>
          <w:sz w:val="21"/>
          <w:szCs w:val="21"/>
          <w:lang w:val="en-US" w:eastAsia="zh-CN" w:bidi="ar-SA"/>
        </w:rPr>
        <w:t>元（¥</w:t>
      </w:r>
      <w:r>
        <w:rPr>
          <w:rFonts w:hint="eastAsia" w:ascii="宋体" w:hAnsi="宋体" w:eastAsia="宋体" w:cs="宋体"/>
          <w:color w:val="auto"/>
          <w:kern w:val="0"/>
          <w:sz w:val="21"/>
          <w:szCs w:val="21"/>
          <w:u w:val="single"/>
          <w:lang w:val="en-US" w:eastAsia="zh-CN" w:bidi="ar-SA"/>
        </w:rPr>
        <w:t xml:space="preserve">        </w:t>
      </w:r>
      <w:r>
        <w:rPr>
          <w:rFonts w:hint="eastAsia" w:ascii="宋体" w:hAnsi="宋体" w:eastAsia="宋体" w:cs="宋体"/>
          <w:color w:val="auto"/>
          <w:kern w:val="0"/>
          <w:sz w:val="21"/>
          <w:szCs w:val="21"/>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止（提示：建议</w:t>
      </w:r>
      <w:r>
        <w:rPr>
          <w:rFonts w:hint="eastAsia" w:ascii="宋体" w:hAnsi="宋体" w:eastAsia="宋体" w:cs="宋体"/>
          <w:color w:val="auto"/>
          <w:kern w:val="2"/>
          <w:sz w:val="21"/>
          <w:szCs w:val="21"/>
          <w:lang w:val="en-US" w:eastAsia="zh-CN"/>
        </w:rPr>
        <w:t>30日</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。投标有效期延长的，本保函有效期相应顺延，最迟不超过</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（提示：建议按保函有效期不超过</w:t>
      </w:r>
      <w:r>
        <w:rPr>
          <w:rFonts w:hint="eastAsia" w:ascii="宋体" w:hAnsi="宋体" w:eastAsia="宋体" w:cs="宋体"/>
          <w:color w:val="auto"/>
          <w:kern w:val="2"/>
          <w:sz w:val="21"/>
          <w:szCs w:val="21"/>
          <w:lang w:val="en-US" w:eastAsia="zh-CN"/>
        </w:rPr>
        <w:t>270日考虑</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四、</w:t>
      </w:r>
      <w:r>
        <w:rPr>
          <w:rFonts w:hint="eastAsia" w:ascii="宋体" w:hAnsi="宋体" w:eastAsia="宋体" w:cs="宋体"/>
          <w:color w:val="auto"/>
          <w:kern w:val="2"/>
          <w:sz w:val="21"/>
          <w:szCs w:val="21"/>
        </w:rPr>
        <w:t>我方承诺，在收到受益人发来的书面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个工作</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（提示：建议</w:t>
      </w:r>
      <w:r>
        <w:rPr>
          <w:rFonts w:hint="eastAsia" w:ascii="宋体" w:hAnsi="宋体" w:eastAsia="宋体" w:cs="宋体"/>
          <w:color w:val="auto"/>
          <w:kern w:val="2"/>
          <w:sz w:val="21"/>
          <w:szCs w:val="21"/>
          <w:lang w:val="en-US" w:eastAsia="zh-CN"/>
        </w:rPr>
        <w:t>10—15个工作日</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内无条件支付，前述书面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spacing w:val="0"/>
          <w:kern w:val="2"/>
          <w:sz w:val="21"/>
          <w:szCs w:val="21"/>
          <w:lang w:eastAsia="zh-CN"/>
        </w:rPr>
        <w:t>（</w:t>
      </w:r>
      <w:r>
        <w:rPr>
          <w:rFonts w:hint="eastAsia" w:ascii="宋体" w:hAnsi="宋体" w:eastAsia="宋体" w:cs="宋体"/>
          <w:color w:val="auto"/>
          <w:spacing w:val="0"/>
          <w:kern w:val="2"/>
          <w:sz w:val="21"/>
          <w:szCs w:val="21"/>
          <w:lang w:val="en-US" w:eastAsia="zh-CN"/>
        </w:rPr>
        <w:t>5</w:t>
      </w:r>
      <w:r>
        <w:rPr>
          <w:rFonts w:hint="eastAsia" w:ascii="宋体" w:hAnsi="宋体" w:eastAsia="宋体" w:cs="宋体"/>
          <w:color w:val="auto"/>
          <w:spacing w:val="0"/>
          <w:kern w:val="2"/>
          <w:sz w:val="21"/>
          <w:szCs w:val="21"/>
          <w:lang w:eastAsia="zh-CN"/>
        </w:rPr>
        <w:t>）索赔</w:t>
      </w:r>
      <w:r>
        <w:rPr>
          <w:rFonts w:hint="eastAsia" w:ascii="宋体" w:hAnsi="宋体" w:eastAsia="宋体" w:cs="宋体"/>
          <w:color w:val="auto"/>
          <w:spacing w:val="0"/>
          <w:kern w:val="2"/>
          <w:sz w:val="21"/>
          <w:szCs w:val="21"/>
        </w:rPr>
        <w:t>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受益人发出的书面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通知应由其为鉴明受益人法定代表人或授权代理人签</w:t>
      </w:r>
      <w:r>
        <w:rPr>
          <w:rFonts w:hint="eastAsia" w:ascii="宋体" w:hAnsi="宋体" w:eastAsia="宋体" w:cs="宋体"/>
          <w:color w:val="auto"/>
          <w:kern w:val="2"/>
          <w:sz w:val="21"/>
          <w:szCs w:val="21"/>
          <w:lang w:eastAsia="zh-CN"/>
        </w:rPr>
        <w:t>名</w:t>
      </w:r>
      <w:r>
        <w:rPr>
          <w:rFonts w:hint="eastAsia" w:ascii="宋体" w:hAnsi="宋体" w:eastAsia="宋体" w:cs="宋体"/>
          <w:color w:val="auto"/>
          <w:kern w:val="2"/>
          <w:sz w:val="21"/>
          <w:szCs w:val="21"/>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w:t>
      </w:r>
      <w:r>
        <w:rPr>
          <w:rFonts w:hint="eastAsia" w:ascii="宋体" w:hAnsi="宋体" w:eastAsia="宋体" w:cs="宋体"/>
          <w:color w:val="auto"/>
          <w:kern w:val="2"/>
          <w:sz w:val="21"/>
          <w:szCs w:val="21"/>
          <w:lang w:eastAsia="zh-CN"/>
        </w:rPr>
        <w:t>贵方</w:t>
      </w:r>
      <w:r>
        <w:rPr>
          <w:rFonts w:hint="eastAsia" w:ascii="宋体" w:hAnsi="宋体" w:eastAsia="宋体" w:cs="宋体"/>
          <w:color w:val="auto"/>
          <w:kern w:val="2"/>
          <w:sz w:val="21"/>
          <w:szCs w:val="21"/>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七、受益人应在本保函到期后的</w:t>
      </w:r>
      <w:r>
        <w:rPr>
          <w:rFonts w:hint="eastAsia" w:ascii="宋体" w:hAnsi="宋体" w:eastAsia="宋体" w:cs="宋体"/>
          <w:color w:val="auto"/>
          <w:kern w:val="2"/>
          <w:sz w:val="21"/>
          <w:szCs w:val="21"/>
          <w:lang w:val="en-US" w:eastAsia="zh-CN"/>
        </w:rPr>
        <w:t>七</w:t>
      </w:r>
      <w:r>
        <w:rPr>
          <w:rFonts w:hint="eastAsia" w:ascii="宋体" w:hAnsi="宋体" w:eastAsia="宋体" w:cs="宋体"/>
          <w:color w:val="auto"/>
          <w:kern w:val="2"/>
          <w:sz w:val="21"/>
          <w:szCs w:val="21"/>
          <w:lang w:eastAsia="zh-CN"/>
        </w:rPr>
        <w:t>个工作</w:t>
      </w:r>
      <w:r>
        <w:rPr>
          <w:rFonts w:hint="eastAsia" w:ascii="宋体" w:hAnsi="宋体" w:eastAsia="宋体" w:cs="宋体"/>
          <w:color w:val="auto"/>
          <w:kern w:val="2"/>
          <w:sz w:val="21"/>
          <w:szCs w:val="21"/>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八、</w:t>
      </w:r>
      <w:r>
        <w:rPr>
          <w:rFonts w:hint="eastAsia" w:ascii="宋体" w:hAnsi="宋体" w:eastAsia="宋体" w:cs="宋体"/>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九、</w:t>
      </w:r>
      <w:r>
        <w:rPr>
          <w:rFonts w:hint="eastAsia" w:ascii="宋体" w:hAnsi="宋体" w:eastAsia="宋体" w:cs="宋体"/>
          <w:color w:val="auto"/>
          <w:kern w:val="2"/>
          <w:sz w:val="21"/>
          <w:szCs w:val="21"/>
        </w:rPr>
        <w:t>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十</w:t>
      </w:r>
      <w:r>
        <w:rPr>
          <w:rFonts w:hint="eastAsia" w:ascii="宋体" w:hAnsi="宋体" w:eastAsia="宋体" w:cs="宋体"/>
          <w:color w:val="auto"/>
          <w:kern w:val="2"/>
          <w:sz w:val="21"/>
          <w:szCs w:val="21"/>
        </w:rPr>
        <w:t>、本保函自我方法定代表人或授权代表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eastAsia="zh-CN"/>
        </w:rPr>
        <w:t>十一、本保函在重庆市辖区范围内的核验地点：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w:t>
      </w:r>
      <w:r>
        <w:rPr>
          <w:rFonts w:hint="eastAsia" w:ascii="宋体" w:hAnsi="宋体" w:eastAsia="宋体" w:cs="宋体"/>
          <w:color w:val="auto"/>
          <w:kern w:val="2"/>
          <w:sz w:val="21"/>
          <w:szCs w:val="21"/>
          <w:lang w:eastAsia="zh-CN"/>
        </w:rPr>
        <w:t>代表</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    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pPr>
        <w:pStyle w:val="2"/>
        <w:ind w:firstLine="420" w:firstLineChars="200"/>
        <w:rPr>
          <w:rFonts w:hint="eastAsia" w:ascii="宋体" w:hAnsi="宋体" w:cs="宋体"/>
          <w:szCs w:val="21"/>
          <w:lang w:eastAsia="zh-CN"/>
        </w:rPr>
      </w:pPr>
      <w:r>
        <w:rPr>
          <w:rFonts w:hint="eastAsia" w:ascii="宋体" w:hAnsi="宋体" w:eastAsia="宋体" w:cs="宋体"/>
          <w:color w:val="auto"/>
          <w:kern w:val="2"/>
          <w:sz w:val="21"/>
          <w:szCs w:val="21"/>
        </w:rPr>
        <w:t xml:space="preserve">开立时间：    年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 xml:space="preserve">  月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 xml:space="preserve"> </w:t>
      </w:r>
      <w:r>
        <w:rPr>
          <w:rFonts w:hint="eastAsia" w:ascii="宋体" w:hAnsi="宋体" w:eastAsia="宋体" w:cs="宋体"/>
          <w:color w:val="auto"/>
          <w:kern w:val="2"/>
          <w:sz w:val="21"/>
          <w:szCs w:val="21"/>
          <w:lang w:eastAsia="zh-CN"/>
        </w:rPr>
        <w:t>日</w:t>
      </w:r>
    </w:p>
    <w:p>
      <w:pPr>
        <w:spacing w:line="240" w:lineRule="auto"/>
        <w:ind w:firstLine="0" w:firstLineChars="0"/>
        <w:rPr>
          <w:rFonts w:hint="eastAsia" w:ascii="宋体" w:hAnsi="宋体"/>
          <w:sz w:val="18"/>
          <w:szCs w:val="18"/>
        </w:rPr>
      </w:pPr>
      <w:r>
        <w:rPr>
          <w:rFonts w:hint="eastAsia" w:ascii="宋体" w:hAnsi="宋体"/>
          <w:sz w:val="18"/>
          <w:szCs w:val="18"/>
        </w:rPr>
        <w:br w:type="page"/>
      </w:r>
    </w:p>
    <w:p>
      <w:pPr>
        <w:spacing w:line="360" w:lineRule="auto"/>
        <w:ind w:firstLine="360" w:firstLineChars="200"/>
        <w:rPr>
          <w:rFonts w:ascii="宋体" w:hAnsi="宋体"/>
          <w:szCs w:val="21"/>
        </w:rPr>
      </w:pPr>
      <w:r>
        <w:rPr>
          <w:rFonts w:hint="eastAsia" w:ascii="宋体" w:hAnsi="宋体"/>
          <w:sz w:val="18"/>
          <w:szCs w:val="18"/>
        </w:rPr>
        <w:t>2.</w:t>
      </w:r>
      <w:r>
        <w:rPr>
          <w:rFonts w:hint="eastAsia" w:ascii="宋体" w:hAnsi="宋体"/>
          <w:szCs w:val="21"/>
          <w:lang w:eastAsia="zh-CN"/>
        </w:rPr>
        <w:t>中小企业声明函</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lang w:eastAsia="zh-CN"/>
        </w:rPr>
      </w:pPr>
      <w:r>
        <w:rPr>
          <w:rFonts w:hint="eastAsia" w:cs="宋体"/>
          <w:color w:val="auto"/>
          <w:sz w:val="24"/>
          <w:szCs w:val="24"/>
          <w:lang w:eastAsia="zh-CN"/>
        </w:rPr>
        <w:t>中小企业声明函（</w:t>
      </w:r>
      <w:r>
        <w:rPr>
          <w:rFonts w:hint="eastAsia" w:cs="宋体"/>
          <w:color w:val="auto"/>
          <w:sz w:val="24"/>
          <w:szCs w:val="24"/>
          <w:lang w:val="en-US" w:eastAsia="zh-CN"/>
        </w:rPr>
        <w:t>工程类</w:t>
      </w:r>
      <w:r>
        <w:rPr>
          <w:rFonts w:hint="eastAsia" w:cs="宋体"/>
          <w:color w:val="auto"/>
          <w:sz w:val="24"/>
          <w:szCs w:val="24"/>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企业名称（盖章）：</w:t>
      </w:r>
      <w:r>
        <w:rPr>
          <w:rFonts w:hint="eastAsia" w:ascii="宋体" w:hAnsi="宋体" w:cs="宋体"/>
          <w:sz w:val="21"/>
          <w:szCs w:val="21"/>
          <w:u w:val="single"/>
          <w:lang w:eastAsia="zh-CN"/>
        </w:rPr>
        <w:t xml:space="preserve"> </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default" w:ascii="宋体" w:hAnsi="宋体" w:eastAsia="宋体" w:cs="宋体"/>
          <w:sz w:val="21"/>
          <w:szCs w:val="21"/>
          <w:u w:val="single"/>
        </w:rPr>
      </w:pPr>
      <w:r>
        <w:rPr>
          <w:rFonts w:hint="eastAsia" w:ascii="宋体" w:hAnsi="宋体" w:eastAsia="宋体" w:cs="宋体"/>
          <w:sz w:val="21"/>
          <w:szCs w:val="21"/>
        </w:rPr>
        <w:t>日期：</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360" w:lineRule="auto"/>
        <w:ind w:firstLine="420" w:firstLineChars="200"/>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p>
    <w:p>
      <w:pPr>
        <w:spacing w:line="360" w:lineRule="auto"/>
        <w:ind w:firstLine="7140" w:firstLineChars="3400"/>
      </w:pPr>
    </w:p>
    <w:p>
      <w:pPr>
        <w:spacing w:line="240" w:lineRule="auto"/>
        <w:ind w:firstLine="0" w:firstLineChars="0"/>
        <w:rPr>
          <w:rFonts w:ascii="宋体" w:hAnsi="宋体"/>
          <w:sz w:val="18"/>
          <w:szCs w:val="18"/>
        </w:rPr>
      </w:pPr>
      <w:r>
        <w:rPr>
          <w:rFonts w:ascii="宋体" w:hAnsi="宋体"/>
          <w:sz w:val="18"/>
          <w:szCs w:val="18"/>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3.</w:t>
      </w: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以联合体形式面向中小企业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（所有成员单位名称）</w:t>
      </w:r>
      <w:r>
        <w:rPr>
          <w:rFonts w:hint="eastAsia" w:ascii="宋体" w:hAnsi="宋体" w:cs="宋体"/>
          <w:snapToGrid w:val="0"/>
          <w:kern w:val="0"/>
          <w:szCs w:val="21"/>
          <w:highlight w:val="none"/>
          <w:u w:val="none"/>
        </w:rPr>
        <w:t>自愿组成联合体</w:t>
      </w:r>
      <w:r>
        <w:rPr>
          <w:rFonts w:hint="eastAsia" w:ascii="宋体" w:hAnsi="宋体" w:cs="宋体"/>
          <w:snapToGrid w:val="0"/>
          <w:kern w:val="0"/>
          <w:szCs w:val="21"/>
          <w:highlight w:val="none"/>
        </w:rPr>
        <w:t>，</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w:t>
      </w:r>
      <w:r>
        <w:rPr>
          <w:rFonts w:hint="eastAsia" w:ascii="宋体" w:hAnsi="宋体" w:cs="宋体"/>
          <w:snapToGrid w:val="0"/>
          <w:kern w:val="0"/>
          <w:szCs w:val="21"/>
          <w:highlight w:val="none"/>
          <w:lang w:val="en-US" w:eastAsia="zh-CN"/>
        </w:rPr>
        <w:t>上由联合体中的中小企业实施</w:t>
      </w:r>
      <w:r>
        <w:rPr>
          <w:rFonts w:hint="eastAsia" w:ascii="宋体" w:hAnsi="宋体" w:cs="宋体"/>
          <w:snapToGrid w:val="0"/>
          <w:kern w:val="0"/>
          <w:szCs w:val="21"/>
          <w:highlight w:val="none"/>
        </w:rPr>
        <w:t>。</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ascii="宋体" w:hAnsi="宋体"/>
          <w:kern w:val="0"/>
          <w:szCs w:val="21"/>
          <w:highlight w:val="none"/>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240" w:lineRule="auto"/>
        <w:ind w:firstLine="0" w:firstLineChars="0"/>
        <w:rPr>
          <w:rFonts w:hint="eastAsia" w:ascii="宋体" w:hAnsi="宋体"/>
          <w:szCs w:val="21"/>
          <w:lang w:val="en-US" w:eastAsia="zh-CN"/>
        </w:rPr>
      </w:pPr>
      <w:r>
        <w:rPr>
          <w:rFonts w:hint="eastAsia" w:ascii="宋体" w:hAnsi="宋体"/>
          <w:szCs w:val="21"/>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4.分包承诺函</w:t>
      </w:r>
    </w:p>
    <w:p>
      <w:pPr>
        <w:pStyle w:val="2"/>
        <w:spacing w:line="360" w:lineRule="auto"/>
        <w:jc w:val="center"/>
        <w:rPr>
          <w:rFonts w:hint="eastAsia"/>
          <w:highlight w:val="none"/>
          <w:lang w:val="en-US" w:eastAsia="zh-CN"/>
        </w:rPr>
      </w:pPr>
      <w:r>
        <w:rPr>
          <w:rFonts w:hint="eastAsia"/>
          <w:highlight w:val="none"/>
          <w:lang w:val="en-US" w:eastAsia="zh-CN"/>
        </w:rPr>
        <w:t>分包承诺函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以合同分包形式面向中小企业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（投标人名称）</w:t>
      </w:r>
      <w:r>
        <w:rPr>
          <w:rFonts w:hint="eastAsia" w:ascii="宋体" w:hAnsi="宋体" w:cs="宋体"/>
          <w:snapToGrid w:val="0"/>
          <w:kern w:val="0"/>
          <w:szCs w:val="21"/>
          <w:highlight w:val="none"/>
        </w:rPr>
        <w:t>若中标，</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以上分包给中小企业。</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hint="eastAsia" w:ascii="宋体" w:hAnsi="宋体"/>
          <w:sz w:val="18"/>
          <w:szCs w:val="18"/>
          <w:highlight w:val="none"/>
          <w:lang w:val="en-US" w:eastAsia="zh-CN"/>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240" w:lineRule="auto"/>
        <w:ind w:firstLine="0" w:firstLineChars="0"/>
        <w:rPr>
          <w:rFonts w:hint="eastAsia" w:ascii="宋体" w:hAnsi="宋体"/>
          <w:sz w:val="18"/>
          <w:szCs w:val="18"/>
          <w:lang w:val="en-US" w:eastAsia="zh-CN"/>
        </w:rPr>
      </w:pPr>
      <w:r>
        <w:rPr>
          <w:rFonts w:hint="eastAsia" w:ascii="宋体" w:hAnsi="宋体"/>
          <w:sz w:val="18"/>
          <w:szCs w:val="18"/>
          <w:lang w:val="en-US" w:eastAsia="zh-CN"/>
        </w:rPr>
        <w:br w:type="page"/>
      </w:r>
    </w:p>
    <w:p>
      <w:p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5.</w:t>
      </w:r>
      <w:r>
        <w:rPr>
          <w:rFonts w:hint="eastAsia" w:ascii="宋体" w:hAnsi="宋体"/>
          <w:b w:val="0"/>
          <w:lang w:val="en-US" w:eastAsia="zh-CN"/>
        </w:rPr>
        <w:t>按照招标文件第二章投标人须知前附表第1.4.1项、第3.4款要求提供的资料。</w:t>
      </w:r>
    </w:p>
    <w:p>
      <w:pPr>
        <w:spacing w:line="360" w:lineRule="auto"/>
        <w:ind w:firstLine="360" w:firstLineChars="200"/>
        <w:rPr>
          <w:rFonts w:ascii="宋体" w:hAnsi="宋体"/>
          <w:sz w:val="18"/>
          <w:szCs w:val="18"/>
        </w:rPr>
      </w:pPr>
      <w:r>
        <w:rPr>
          <w:rFonts w:ascii="宋体" w:hAnsi="宋体"/>
          <w:sz w:val="18"/>
          <w:szCs w:val="18"/>
        </w:rPr>
        <w:t>……</w:t>
      </w:r>
    </w:p>
    <w:p>
      <w:pPr>
        <w:spacing w:line="480" w:lineRule="auto"/>
        <w:rPr>
          <w:rFonts w:ascii="宋体" w:hAnsi="宋体"/>
          <w:bCs/>
          <w:szCs w:val="21"/>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1FF" w:csb1="00000000"/>
  </w:font>
  <w:font w:name="宋体 ，Arial">
    <w:altName w:val="宋体"/>
    <w:panose1 w:val="00000000000000000000"/>
    <w:charset w:val="86"/>
    <w:family w:val="roma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rPr>
                              <w:rStyle w:val="50"/>
                            </w:rPr>
                          </w:pPr>
                          <w:r>
                            <w:fldChar w:fldCharType="begin"/>
                          </w:r>
                          <w:r>
                            <w:rPr>
                              <w:rStyle w:val="50"/>
                            </w:rPr>
                            <w:instrText xml:space="preserve">PAGE  </w:instrText>
                          </w:r>
                          <w:r>
                            <w:fldChar w:fldCharType="separate"/>
                          </w:r>
                          <w:r>
                            <w:rPr>
                              <w:rStyle w:val="50"/>
                            </w:rPr>
                            <w:t>- 2 -</w:t>
                          </w:r>
                          <w:r>
                            <w:fldChar w:fldCharType="end"/>
                          </w:r>
                        </w:p>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aYJL0wAA&#10;AAUBAAAPAAAAAAAAAAEAIAAAACIAAABkcnMvZG93bnJldi54bWxQSwECFAAUAAAACACHTuJAdc4u&#10;TbEBAABJAwAADgAAAAAAAAABACAAAAAiAQAAZHJzL2Uyb0RvYy54bWxQSwUGAAAAAAYABgBZAQAA&#10;RQUAAAAA&#10;">
              <v:fill on="f" focussize="0,0"/>
              <v:stroke on="f" weight="1.25pt"/>
              <v:imagedata o:title=""/>
              <o:lock v:ext="edit" aspectratio="f"/>
              <v:textbox inset="0mm,0mm,0mm,0mm" style="mso-fit-shape-to-text:t;">
                <w:txbxContent>
                  <w:p>
                    <w:pPr>
                      <w:pStyle w:val="29"/>
                      <w:rPr>
                        <w:rStyle w:val="50"/>
                      </w:rPr>
                    </w:pPr>
                    <w:r>
                      <w:fldChar w:fldCharType="begin"/>
                    </w:r>
                    <w:r>
                      <w:rPr>
                        <w:rStyle w:val="50"/>
                      </w:rPr>
                      <w:instrText xml:space="preserve">PAGE  </w:instrText>
                    </w:r>
                    <w:r>
                      <w:fldChar w:fldCharType="separate"/>
                    </w:r>
                    <w:r>
                      <w:rPr>
                        <w:rStyle w:val="50"/>
                      </w:rPr>
                      <w:t>- 2 -</w:t>
                    </w:r>
                    <w:r>
                      <w:fldChar w:fldCharType="end"/>
                    </w:r>
                  </w:p>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31</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74604"/>
    <w:multiLevelType w:val="multilevel"/>
    <w:tmpl w:val="17474604"/>
    <w:lvl w:ilvl="0" w:tentative="0">
      <w:start w:val="1"/>
      <w:numFmt w:val="decimal"/>
      <w:lvlText w:val="第%1条"/>
      <w:lvlJc w:val="left"/>
      <w:pPr>
        <w:ind w:left="0" w:firstLine="0"/>
      </w:pPr>
      <w:rPr>
        <w:rFonts w:hint="default" w:ascii="Times New Roman" w:hAnsi="Times New Roman" w:cs="Times New Roman"/>
      </w:rPr>
    </w:lvl>
    <w:lvl w:ilvl="1" w:tentative="0">
      <w:start w:val="1"/>
      <w:numFmt w:val="decimal"/>
      <w:lvlText w:val="%1.%2"/>
      <w:lvlJc w:val="left"/>
      <w:pPr>
        <w:ind w:left="1843" w:firstLine="0"/>
      </w:pPr>
      <w:rPr>
        <w:rFonts w:hint="default" w:ascii="Times New Roman" w:hAnsi="Times New Roman" w:cs="Times New Roman"/>
      </w:rPr>
    </w:lvl>
    <w:lvl w:ilvl="2" w:tentative="0">
      <w:start w:val="1"/>
      <w:numFmt w:val="decimal"/>
      <w:lvlText w:val="%1.%2.%3"/>
      <w:lvlJc w:val="left"/>
      <w:pPr>
        <w:ind w:left="2126" w:firstLine="0"/>
      </w:pPr>
      <w:rPr>
        <w:rFonts w:hint="default" w:ascii="Times New Roman" w:hAnsi="Times New Roman" w:cs="Times New Roman"/>
      </w:rPr>
    </w:lvl>
    <w:lvl w:ilvl="3" w:tentative="0">
      <w:start w:val="1"/>
      <w:numFmt w:val="decimal"/>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default" w:ascii="Times New Roman" w:hAnsi="Times New Roman" w:cs="Times New Roman"/>
      </w:rPr>
    </w:lvl>
    <w:lvl w:ilvl="5" w:tentative="0">
      <w:start w:val="1"/>
      <w:numFmt w:val="decimal"/>
      <w:lvlText w:val="%1.%2.%3.%4.%5.%6"/>
      <w:lvlJc w:val="left"/>
      <w:pPr>
        <w:ind w:left="0" w:firstLine="0"/>
      </w:pPr>
      <w:rPr>
        <w:rFonts w:hint="default" w:ascii="Times New Roman" w:hAnsi="Times New Roman" w:cs="Times New Roman"/>
      </w:rPr>
    </w:lvl>
    <w:lvl w:ilvl="6" w:tentative="0">
      <w:start w:val="1"/>
      <w:numFmt w:val="decimal"/>
      <w:lvlText w:val="%1.%2.%3.%4.%5.%6.%7"/>
      <w:lvlJc w:val="left"/>
      <w:pPr>
        <w:ind w:left="0" w:firstLine="0"/>
      </w:pPr>
      <w:rPr>
        <w:rFonts w:hint="default" w:ascii="Times New Roman" w:hAnsi="Times New Roman" w:cs="Times New Roman"/>
      </w:rPr>
    </w:lvl>
    <w:lvl w:ilvl="7" w:tentative="0">
      <w:start w:val="1"/>
      <w:numFmt w:val="decimal"/>
      <w:lvlText w:val="%1.%2.%3.%4.%5.%6.%7.%8"/>
      <w:lvlJc w:val="left"/>
      <w:pPr>
        <w:ind w:left="0" w:firstLine="0"/>
      </w:pPr>
      <w:rPr>
        <w:rFonts w:hint="default" w:ascii="Times New Roman" w:hAnsi="Times New Roman" w:cs="Times New Roman"/>
      </w:rPr>
    </w:lvl>
    <w:lvl w:ilvl="8" w:tentative="0">
      <w:start w:val="1"/>
      <w:numFmt w:val="decimal"/>
      <w:lvlText w:val="%1.%2.%3.%4.%5.%6.%7.%8.%9"/>
      <w:lvlJc w:val="left"/>
      <w:pPr>
        <w:ind w:left="0" w:firstLine="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hideSpellingErrors/>
  <w:trackRevisions w:val="1"/>
  <w:documentProtection w:formatting="1"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B8"/>
    <w:rsid w:val="00001B1E"/>
    <w:rsid w:val="00001B4C"/>
    <w:rsid w:val="000027C8"/>
    <w:rsid w:val="00002D86"/>
    <w:rsid w:val="00003A3F"/>
    <w:rsid w:val="00005443"/>
    <w:rsid w:val="00005DD2"/>
    <w:rsid w:val="00005E79"/>
    <w:rsid w:val="000067A3"/>
    <w:rsid w:val="0000743B"/>
    <w:rsid w:val="000114D7"/>
    <w:rsid w:val="00013D3F"/>
    <w:rsid w:val="00014DF1"/>
    <w:rsid w:val="00015C9C"/>
    <w:rsid w:val="00015E12"/>
    <w:rsid w:val="0001647D"/>
    <w:rsid w:val="0001650A"/>
    <w:rsid w:val="0001665A"/>
    <w:rsid w:val="00017F2D"/>
    <w:rsid w:val="00020D53"/>
    <w:rsid w:val="00021228"/>
    <w:rsid w:val="000215EB"/>
    <w:rsid w:val="00022747"/>
    <w:rsid w:val="00022F4C"/>
    <w:rsid w:val="000239F5"/>
    <w:rsid w:val="00023AD6"/>
    <w:rsid w:val="00023B7F"/>
    <w:rsid w:val="00024492"/>
    <w:rsid w:val="00025160"/>
    <w:rsid w:val="00025644"/>
    <w:rsid w:val="0002592F"/>
    <w:rsid w:val="00025A05"/>
    <w:rsid w:val="00025DD0"/>
    <w:rsid w:val="000301A4"/>
    <w:rsid w:val="000316FE"/>
    <w:rsid w:val="00031F42"/>
    <w:rsid w:val="00032255"/>
    <w:rsid w:val="0003256A"/>
    <w:rsid w:val="00032875"/>
    <w:rsid w:val="00033076"/>
    <w:rsid w:val="00033847"/>
    <w:rsid w:val="000347EB"/>
    <w:rsid w:val="00034B81"/>
    <w:rsid w:val="00035320"/>
    <w:rsid w:val="0003558C"/>
    <w:rsid w:val="000355D8"/>
    <w:rsid w:val="00035E2F"/>
    <w:rsid w:val="000365B0"/>
    <w:rsid w:val="0003673D"/>
    <w:rsid w:val="00037549"/>
    <w:rsid w:val="00037672"/>
    <w:rsid w:val="00037A07"/>
    <w:rsid w:val="000415C5"/>
    <w:rsid w:val="000418B4"/>
    <w:rsid w:val="000426A8"/>
    <w:rsid w:val="000426EA"/>
    <w:rsid w:val="000434B1"/>
    <w:rsid w:val="000437CD"/>
    <w:rsid w:val="00044029"/>
    <w:rsid w:val="00046EAC"/>
    <w:rsid w:val="000477EA"/>
    <w:rsid w:val="00050329"/>
    <w:rsid w:val="00050A2B"/>
    <w:rsid w:val="00050F21"/>
    <w:rsid w:val="00050F49"/>
    <w:rsid w:val="00053B37"/>
    <w:rsid w:val="0005464B"/>
    <w:rsid w:val="00054784"/>
    <w:rsid w:val="00054C30"/>
    <w:rsid w:val="00054D78"/>
    <w:rsid w:val="00054F64"/>
    <w:rsid w:val="0005572F"/>
    <w:rsid w:val="00057103"/>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DF1"/>
    <w:rsid w:val="00072C40"/>
    <w:rsid w:val="0007377C"/>
    <w:rsid w:val="00073A9D"/>
    <w:rsid w:val="00074445"/>
    <w:rsid w:val="00074926"/>
    <w:rsid w:val="000753AE"/>
    <w:rsid w:val="000753B8"/>
    <w:rsid w:val="00075D9B"/>
    <w:rsid w:val="0007662F"/>
    <w:rsid w:val="00077788"/>
    <w:rsid w:val="000777DB"/>
    <w:rsid w:val="00077CEC"/>
    <w:rsid w:val="00081E58"/>
    <w:rsid w:val="00084056"/>
    <w:rsid w:val="00084085"/>
    <w:rsid w:val="000843AE"/>
    <w:rsid w:val="00084AD3"/>
    <w:rsid w:val="00084CA4"/>
    <w:rsid w:val="00085720"/>
    <w:rsid w:val="00085DDD"/>
    <w:rsid w:val="000869F5"/>
    <w:rsid w:val="00086F23"/>
    <w:rsid w:val="00090828"/>
    <w:rsid w:val="00090A07"/>
    <w:rsid w:val="00090FA6"/>
    <w:rsid w:val="00090FD7"/>
    <w:rsid w:val="00091BBD"/>
    <w:rsid w:val="000925AC"/>
    <w:rsid w:val="000927A3"/>
    <w:rsid w:val="00092F8F"/>
    <w:rsid w:val="00093265"/>
    <w:rsid w:val="0009358F"/>
    <w:rsid w:val="00094007"/>
    <w:rsid w:val="00095189"/>
    <w:rsid w:val="0009559A"/>
    <w:rsid w:val="00095DEF"/>
    <w:rsid w:val="000967E2"/>
    <w:rsid w:val="00096C42"/>
    <w:rsid w:val="00097C86"/>
    <w:rsid w:val="000A0398"/>
    <w:rsid w:val="000A055B"/>
    <w:rsid w:val="000A0D3C"/>
    <w:rsid w:val="000A2AF4"/>
    <w:rsid w:val="000A2CA5"/>
    <w:rsid w:val="000A41FD"/>
    <w:rsid w:val="000A4A55"/>
    <w:rsid w:val="000A569B"/>
    <w:rsid w:val="000A5FD2"/>
    <w:rsid w:val="000A7403"/>
    <w:rsid w:val="000A74B4"/>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B7F67"/>
    <w:rsid w:val="000C079C"/>
    <w:rsid w:val="000C0EE5"/>
    <w:rsid w:val="000C13A1"/>
    <w:rsid w:val="000C1429"/>
    <w:rsid w:val="000C30AC"/>
    <w:rsid w:val="000C43EA"/>
    <w:rsid w:val="000C463E"/>
    <w:rsid w:val="000C4E06"/>
    <w:rsid w:val="000C5056"/>
    <w:rsid w:val="000C52AB"/>
    <w:rsid w:val="000C5AA2"/>
    <w:rsid w:val="000C5C93"/>
    <w:rsid w:val="000C5D12"/>
    <w:rsid w:val="000C6F15"/>
    <w:rsid w:val="000D1F8D"/>
    <w:rsid w:val="000D21F1"/>
    <w:rsid w:val="000D252E"/>
    <w:rsid w:val="000D2ED1"/>
    <w:rsid w:val="000D3548"/>
    <w:rsid w:val="000D3551"/>
    <w:rsid w:val="000D35B5"/>
    <w:rsid w:val="000D364E"/>
    <w:rsid w:val="000D41CB"/>
    <w:rsid w:val="000D42D0"/>
    <w:rsid w:val="000D5211"/>
    <w:rsid w:val="000D55BA"/>
    <w:rsid w:val="000D5B51"/>
    <w:rsid w:val="000D65FC"/>
    <w:rsid w:val="000D6B45"/>
    <w:rsid w:val="000D6FB3"/>
    <w:rsid w:val="000D7254"/>
    <w:rsid w:val="000D753D"/>
    <w:rsid w:val="000D76E1"/>
    <w:rsid w:val="000D7823"/>
    <w:rsid w:val="000E0D0C"/>
    <w:rsid w:val="000E0DB3"/>
    <w:rsid w:val="000E10A5"/>
    <w:rsid w:val="000E10B6"/>
    <w:rsid w:val="000E1A63"/>
    <w:rsid w:val="000E2F1C"/>
    <w:rsid w:val="000E33CF"/>
    <w:rsid w:val="000E3440"/>
    <w:rsid w:val="000E4C3D"/>
    <w:rsid w:val="000E6849"/>
    <w:rsid w:val="000E6F38"/>
    <w:rsid w:val="000E72B9"/>
    <w:rsid w:val="000F05AB"/>
    <w:rsid w:val="000F091D"/>
    <w:rsid w:val="000F1B68"/>
    <w:rsid w:val="000F2179"/>
    <w:rsid w:val="000F278B"/>
    <w:rsid w:val="000F2955"/>
    <w:rsid w:val="000F40C0"/>
    <w:rsid w:val="000F45C8"/>
    <w:rsid w:val="000F4BBE"/>
    <w:rsid w:val="000F50C6"/>
    <w:rsid w:val="000F51EA"/>
    <w:rsid w:val="000F5AD4"/>
    <w:rsid w:val="000F5B67"/>
    <w:rsid w:val="000F7CF5"/>
    <w:rsid w:val="00100471"/>
    <w:rsid w:val="001019D6"/>
    <w:rsid w:val="00101E5F"/>
    <w:rsid w:val="001025D9"/>
    <w:rsid w:val="00102EBB"/>
    <w:rsid w:val="001030B8"/>
    <w:rsid w:val="00105724"/>
    <w:rsid w:val="00105F22"/>
    <w:rsid w:val="001062D4"/>
    <w:rsid w:val="001066B1"/>
    <w:rsid w:val="00107F3E"/>
    <w:rsid w:val="001104B3"/>
    <w:rsid w:val="001108D6"/>
    <w:rsid w:val="001109ED"/>
    <w:rsid w:val="00110A7F"/>
    <w:rsid w:val="00110F52"/>
    <w:rsid w:val="00111268"/>
    <w:rsid w:val="0011129F"/>
    <w:rsid w:val="00111C02"/>
    <w:rsid w:val="00111FF3"/>
    <w:rsid w:val="001128C3"/>
    <w:rsid w:val="00112A83"/>
    <w:rsid w:val="00113E49"/>
    <w:rsid w:val="00113E95"/>
    <w:rsid w:val="00114751"/>
    <w:rsid w:val="00114A01"/>
    <w:rsid w:val="00114A16"/>
    <w:rsid w:val="00114CF3"/>
    <w:rsid w:val="00115CA3"/>
    <w:rsid w:val="00116F55"/>
    <w:rsid w:val="00116F93"/>
    <w:rsid w:val="00117445"/>
    <w:rsid w:val="00117B2C"/>
    <w:rsid w:val="0012046B"/>
    <w:rsid w:val="001209B5"/>
    <w:rsid w:val="00120E02"/>
    <w:rsid w:val="001214C7"/>
    <w:rsid w:val="00121F6B"/>
    <w:rsid w:val="00122362"/>
    <w:rsid w:val="0012259E"/>
    <w:rsid w:val="00122C0D"/>
    <w:rsid w:val="00122D4D"/>
    <w:rsid w:val="0012481C"/>
    <w:rsid w:val="001303A1"/>
    <w:rsid w:val="00131D1B"/>
    <w:rsid w:val="00132B99"/>
    <w:rsid w:val="00132BF1"/>
    <w:rsid w:val="001330BB"/>
    <w:rsid w:val="00134327"/>
    <w:rsid w:val="001347A9"/>
    <w:rsid w:val="00135872"/>
    <w:rsid w:val="00136D1E"/>
    <w:rsid w:val="0013772B"/>
    <w:rsid w:val="001377F8"/>
    <w:rsid w:val="00137F99"/>
    <w:rsid w:val="00141270"/>
    <w:rsid w:val="001440F2"/>
    <w:rsid w:val="00145318"/>
    <w:rsid w:val="001455A1"/>
    <w:rsid w:val="00145AE6"/>
    <w:rsid w:val="00145F46"/>
    <w:rsid w:val="001460D9"/>
    <w:rsid w:val="00146265"/>
    <w:rsid w:val="001466BF"/>
    <w:rsid w:val="00146976"/>
    <w:rsid w:val="00146C44"/>
    <w:rsid w:val="00146E47"/>
    <w:rsid w:val="001477E7"/>
    <w:rsid w:val="00147FD9"/>
    <w:rsid w:val="00150025"/>
    <w:rsid w:val="001506FD"/>
    <w:rsid w:val="00150964"/>
    <w:rsid w:val="00150A27"/>
    <w:rsid w:val="00150F2A"/>
    <w:rsid w:val="00151865"/>
    <w:rsid w:val="00151C9D"/>
    <w:rsid w:val="00152078"/>
    <w:rsid w:val="00154963"/>
    <w:rsid w:val="00154C44"/>
    <w:rsid w:val="0015596B"/>
    <w:rsid w:val="00155D1F"/>
    <w:rsid w:val="001561B1"/>
    <w:rsid w:val="001600A3"/>
    <w:rsid w:val="0016132F"/>
    <w:rsid w:val="0016174D"/>
    <w:rsid w:val="00161E36"/>
    <w:rsid w:val="00162B36"/>
    <w:rsid w:val="0016317C"/>
    <w:rsid w:val="00164DCB"/>
    <w:rsid w:val="00165642"/>
    <w:rsid w:val="00165B64"/>
    <w:rsid w:val="00165D82"/>
    <w:rsid w:val="00166C40"/>
    <w:rsid w:val="00166F24"/>
    <w:rsid w:val="00167BBE"/>
    <w:rsid w:val="00170108"/>
    <w:rsid w:val="001721A5"/>
    <w:rsid w:val="0017293A"/>
    <w:rsid w:val="00172A27"/>
    <w:rsid w:val="00172DEA"/>
    <w:rsid w:val="00172F37"/>
    <w:rsid w:val="00172F41"/>
    <w:rsid w:val="00173CBC"/>
    <w:rsid w:val="00174134"/>
    <w:rsid w:val="001745A8"/>
    <w:rsid w:val="00175461"/>
    <w:rsid w:val="00176A64"/>
    <w:rsid w:val="00176B11"/>
    <w:rsid w:val="00176C6C"/>
    <w:rsid w:val="00177E29"/>
    <w:rsid w:val="00177F8E"/>
    <w:rsid w:val="001806AD"/>
    <w:rsid w:val="00181796"/>
    <w:rsid w:val="001818BD"/>
    <w:rsid w:val="0018204B"/>
    <w:rsid w:val="00182F9F"/>
    <w:rsid w:val="00184528"/>
    <w:rsid w:val="00184AF6"/>
    <w:rsid w:val="001862DC"/>
    <w:rsid w:val="00186401"/>
    <w:rsid w:val="00186442"/>
    <w:rsid w:val="001866A1"/>
    <w:rsid w:val="00192735"/>
    <w:rsid w:val="00193696"/>
    <w:rsid w:val="00193896"/>
    <w:rsid w:val="0019411E"/>
    <w:rsid w:val="001947FB"/>
    <w:rsid w:val="00195720"/>
    <w:rsid w:val="001958B9"/>
    <w:rsid w:val="00196CDD"/>
    <w:rsid w:val="001975C9"/>
    <w:rsid w:val="00197C21"/>
    <w:rsid w:val="001A0221"/>
    <w:rsid w:val="001A065E"/>
    <w:rsid w:val="001A189F"/>
    <w:rsid w:val="001A2660"/>
    <w:rsid w:val="001A293D"/>
    <w:rsid w:val="001A2A77"/>
    <w:rsid w:val="001A3908"/>
    <w:rsid w:val="001A5133"/>
    <w:rsid w:val="001A77C4"/>
    <w:rsid w:val="001A7BE0"/>
    <w:rsid w:val="001B15C6"/>
    <w:rsid w:val="001B16ED"/>
    <w:rsid w:val="001B17D1"/>
    <w:rsid w:val="001B229E"/>
    <w:rsid w:val="001B2B2F"/>
    <w:rsid w:val="001B2DEF"/>
    <w:rsid w:val="001B412E"/>
    <w:rsid w:val="001B4136"/>
    <w:rsid w:val="001B48E0"/>
    <w:rsid w:val="001B4D7D"/>
    <w:rsid w:val="001B5125"/>
    <w:rsid w:val="001B5B97"/>
    <w:rsid w:val="001B6AA4"/>
    <w:rsid w:val="001C023F"/>
    <w:rsid w:val="001C02D5"/>
    <w:rsid w:val="001C0500"/>
    <w:rsid w:val="001C059B"/>
    <w:rsid w:val="001C0B84"/>
    <w:rsid w:val="001C1072"/>
    <w:rsid w:val="001C1E56"/>
    <w:rsid w:val="001C28B3"/>
    <w:rsid w:val="001C2CF6"/>
    <w:rsid w:val="001C4064"/>
    <w:rsid w:val="001C49F4"/>
    <w:rsid w:val="001C71D7"/>
    <w:rsid w:val="001D0BC6"/>
    <w:rsid w:val="001D0F66"/>
    <w:rsid w:val="001D125F"/>
    <w:rsid w:val="001D16DA"/>
    <w:rsid w:val="001D17FB"/>
    <w:rsid w:val="001D2271"/>
    <w:rsid w:val="001D251C"/>
    <w:rsid w:val="001D33D2"/>
    <w:rsid w:val="001D3B3D"/>
    <w:rsid w:val="001D42FF"/>
    <w:rsid w:val="001D4381"/>
    <w:rsid w:val="001D47CF"/>
    <w:rsid w:val="001D4A3E"/>
    <w:rsid w:val="001D4B38"/>
    <w:rsid w:val="001D6225"/>
    <w:rsid w:val="001D6439"/>
    <w:rsid w:val="001D655F"/>
    <w:rsid w:val="001D6D8C"/>
    <w:rsid w:val="001D6F4F"/>
    <w:rsid w:val="001D7108"/>
    <w:rsid w:val="001E054D"/>
    <w:rsid w:val="001E0FAD"/>
    <w:rsid w:val="001E1308"/>
    <w:rsid w:val="001E1520"/>
    <w:rsid w:val="001E19DD"/>
    <w:rsid w:val="001E19F9"/>
    <w:rsid w:val="001E2C16"/>
    <w:rsid w:val="001E2C7D"/>
    <w:rsid w:val="001E394D"/>
    <w:rsid w:val="001E3AAF"/>
    <w:rsid w:val="001E3D84"/>
    <w:rsid w:val="001E4F0E"/>
    <w:rsid w:val="001E594C"/>
    <w:rsid w:val="001E6BFA"/>
    <w:rsid w:val="001E78C1"/>
    <w:rsid w:val="001F07E9"/>
    <w:rsid w:val="001F0D0C"/>
    <w:rsid w:val="001F24B9"/>
    <w:rsid w:val="001F2E39"/>
    <w:rsid w:val="001F31AC"/>
    <w:rsid w:val="001F3815"/>
    <w:rsid w:val="001F3DB0"/>
    <w:rsid w:val="001F3E77"/>
    <w:rsid w:val="001F4501"/>
    <w:rsid w:val="001F57A7"/>
    <w:rsid w:val="001F5A67"/>
    <w:rsid w:val="002006E4"/>
    <w:rsid w:val="00200822"/>
    <w:rsid w:val="00200EBF"/>
    <w:rsid w:val="00204651"/>
    <w:rsid w:val="00204D75"/>
    <w:rsid w:val="002050D7"/>
    <w:rsid w:val="002051B0"/>
    <w:rsid w:val="00205225"/>
    <w:rsid w:val="00205413"/>
    <w:rsid w:val="00205517"/>
    <w:rsid w:val="00205AEF"/>
    <w:rsid w:val="00205D72"/>
    <w:rsid w:val="0020686F"/>
    <w:rsid w:val="002076AA"/>
    <w:rsid w:val="0021027A"/>
    <w:rsid w:val="00212A14"/>
    <w:rsid w:val="00214D7A"/>
    <w:rsid w:val="00214D88"/>
    <w:rsid w:val="00215906"/>
    <w:rsid w:val="00215A2A"/>
    <w:rsid w:val="00215CBA"/>
    <w:rsid w:val="00215DA1"/>
    <w:rsid w:val="0021687E"/>
    <w:rsid w:val="002168E9"/>
    <w:rsid w:val="0021733C"/>
    <w:rsid w:val="002207FA"/>
    <w:rsid w:val="00221627"/>
    <w:rsid w:val="00221E51"/>
    <w:rsid w:val="00221F8E"/>
    <w:rsid w:val="00221FE1"/>
    <w:rsid w:val="002220C5"/>
    <w:rsid w:val="00222689"/>
    <w:rsid w:val="00222B37"/>
    <w:rsid w:val="00223852"/>
    <w:rsid w:val="002238A4"/>
    <w:rsid w:val="00223ADA"/>
    <w:rsid w:val="002245B9"/>
    <w:rsid w:val="00225099"/>
    <w:rsid w:val="002250CA"/>
    <w:rsid w:val="0022607A"/>
    <w:rsid w:val="00226152"/>
    <w:rsid w:val="002264D0"/>
    <w:rsid w:val="002270BE"/>
    <w:rsid w:val="002300C2"/>
    <w:rsid w:val="00231406"/>
    <w:rsid w:val="00232113"/>
    <w:rsid w:val="002329B7"/>
    <w:rsid w:val="00232AD2"/>
    <w:rsid w:val="002343A7"/>
    <w:rsid w:val="0023462F"/>
    <w:rsid w:val="00234BF0"/>
    <w:rsid w:val="00236493"/>
    <w:rsid w:val="002369E6"/>
    <w:rsid w:val="00237DCC"/>
    <w:rsid w:val="00237DD3"/>
    <w:rsid w:val="00237F17"/>
    <w:rsid w:val="0024052C"/>
    <w:rsid w:val="002410BB"/>
    <w:rsid w:val="0024122A"/>
    <w:rsid w:val="00241889"/>
    <w:rsid w:val="002425D7"/>
    <w:rsid w:val="00243253"/>
    <w:rsid w:val="002432CD"/>
    <w:rsid w:val="002476F0"/>
    <w:rsid w:val="00247DA6"/>
    <w:rsid w:val="00247DDB"/>
    <w:rsid w:val="00251F81"/>
    <w:rsid w:val="002522A3"/>
    <w:rsid w:val="0025253B"/>
    <w:rsid w:val="002526AC"/>
    <w:rsid w:val="00252997"/>
    <w:rsid w:val="00253DE9"/>
    <w:rsid w:val="00254512"/>
    <w:rsid w:val="00254725"/>
    <w:rsid w:val="002555DD"/>
    <w:rsid w:val="002555E1"/>
    <w:rsid w:val="00255C94"/>
    <w:rsid w:val="0025606A"/>
    <w:rsid w:val="00257031"/>
    <w:rsid w:val="00257C45"/>
    <w:rsid w:val="00257CB4"/>
    <w:rsid w:val="002603C8"/>
    <w:rsid w:val="0026138C"/>
    <w:rsid w:val="00262012"/>
    <w:rsid w:val="0026466E"/>
    <w:rsid w:val="00264973"/>
    <w:rsid w:val="00264D7B"/>
    <w:rsid w:val="00264EBF"/>
    <w:rsid w:val="00265DD9"/>
    <w:rsid w:val="002667EA"/>
    <w:rsid w:val="002667EF"/>
    <w:rsid w:val="00266C56"/>
    <w:rsid w:val="00267A99"/>
    <w:rsid w:val="002702C1"/>
    <w:rsid w:val="00270795"/>
    <w:rsid w:val="0027264B"/>
    <w:rsid w:val="002736CE"/>
    <w:rsid w:val="002742E2"/>
    <w:rsid w:val="00274CFD"/>
    <w:rsid w:val="00274ED6"/>
    <w:rsid w:val="002752C6"/>
    <w:rsid w:val="002755EF"/>
    <w:rsid w:val="0027586B"/>
    <w:rsid w:val="00276BC6"/>
    <w:rsid w:val="00276C59"/>
    <w:rsid w:val="0027792D"/>
    <w:rsid w:val="00280406"/>
    <w:rsid w:val="00281357"/>
    <w:rsid w:val="00281EFB"/>
    <w:rsid w:val="002830A8"/>
    <w:rsid w:val="00283515"/>
    <w:rsid w:val="00283721"/>
    <w:rsid w:val="00283BAD"/>
    <w:rsid w:val="0028466A"/>
    <w:rsid w:val="002846E8"/>
    <w:rsid w:val="00284F98"/>
    <w:rsid w:val="0028561D"/>
    <w:rsid w:val="00285FF7"/>
    <w:rsid w:val="002860F1"/>
    <w:rsid w:val="00286CF3"/>
    <w:rsid w:val="00287428"/>
    <w:rsid w:val="002907E7"/>
    <w:rsid w:val="00291148"/>
    <w:rsid w:val="00292278"/>
    <w:rsid w:val="0029450F"/>
    <w:rsid w:val="00295263"/>
    <w:rsid w:val="00295B82"/>
    <w:rsid w:val="0029631A"/>
    <w:rsid w:val="00297BEE"/>
    <w:rsid w:val="002A05DC"/>
    <w:rsid w:val="002A08D2"/>
    <w:rsid w:val="002A0F20"/>
    <w:rsid w:val="002A164A"/>
    <w:rsid w:val="002A3274"/>
    <w:rsid w:val="002A32D9"/>
    <w:rsid w:val="002A5505"/>
    <w:rsid w:val="002A59B9"/>
    <w:rsid w:val="002A639F"/>
    <w:rsid w:val="002A73A8"/>
    <w:rsid w:val="002B13CB"/>
    <w:rsid w:val="002B1854"/>
    <w:rsid w:val="002B1A51"/>
    <w:rsid w:val="002B2AE1"/>
    <w:rsid w:val="002B3159"/>
    <w:rsid w:val="002B3A8F"/>
    <w:rsid w:val="002B3E1F"/>
    <w:rsid w:val="002B4646"/>
    <w:rsid w:val="002B46AF"/>
    <w:rsid w:val="002B5324"/>
    <w:rsid w:val="002B5533"/>
    <w:rsid w:val="002B5C91"/>
    <w:rsid w:val="002B5F4B"/>
    <w:rsid w:val="002B6603"/>
    <w:rsid w:val="002B6F5F"/>
    <w:rsid w:val="002C0828"/>
    <w:rsid w:val="002C124B"/>
    <w:rsid w:val="002C1A0B"/>
    <w:rsid w:val="002C33AF"/>
    <w:rsid w:val="002C3B75"/>
    <w:rsid w:val="002C450A"/>
    <w:rsid w:val="002C47E9"/>
    <w:rsid w:val="002C4E26"/>
    <w:rsid w:val="002C4E6C"/>
    <w:rsid w:val="002C5092"/>
    <w:rsid w:val="002C54BF"/>
    <w:rsid w:val="002C5519"/>
    <w:rsid w:val="002C59CD"/>
    <w:rsid w:val="002C67E5"/>
    <w:rsid w:val="002C6F5D"/>
    <w:rsid w:val="002C7122"/>
    <w:rsid w:val="002D0639"/>
    <w:rsid w:val="002D08F4"/>
    <w:rsid w:val="002D097F"/>
    <w:rsid w:val="002D0D0C"/>
    <w:rsid w:val="002D1258"/>
    <w:rsid w:val="002D13E8"/>
    <w:rsid w:val="002D23B6"/>
    <w:rsid w:val="002D2807"/>
    <w:rsid w:val="002D2D97"/>
    <w:rsid w:val="002D3BDF"/>
    <w:rsid w:val="002D4093"/>
    <w:rsid w:val="002D426C"/>
    <w:rsid w:val="002D4721"/>
    <w:rsid w:val="002D472F"/>
    <w:rsid w:val="002D6CDA"/>
    <w:rsid w:val="002D6EFD"/>
    <w:rsid w:val="002E0D86"/>
    <w:rsid w:val="002E16AE"/>
    <w:rsid w:val="002E1795"/>
    <w:rsid w:val="002E1871"/>
    <w:rsid w:val="002E1A25"/>
    <w:rsid w:val="002E1C38"/>
    <w:rsid w:val="002E1DD9"/>
    <w:rsid w:val="002E3521"/>
    <w:rsid w:val="002E37F4"/>
    <w:rsid w:val="002E43A5"/>
    <w:rsid w:val="002E5665"/>
    <w:rsid w:val="002E660A"/>
    <w:rsid w:val="002E6E11"/>
    <w:rsid w:val="002E7318"/>
    <w:rsid w:val="002E75D0"/>
    <w:rsid w:val="002E7617"/>
    <w:rsid w:val="002E7C56"/>
    <w:rsid w:val="002E7D8E"/>
    <w:rsid w:val="002F06FF"/>
    <w:rsid w:val="002F210E"/>
    <w:rsid w:val="002F27B6"/>
    <w:rsid w:val="002F2B50"/>
    <w:rsid w:val="002F2C25"/>
    <w:rsid w:val="002F405F"/>
    <w:rsid w:val="002F491B"/>
    <w:rsid w:val="002F4953"/>
    <w:rsid w:val="002F4ACB"/>
    <w:rsid w:val="002F6F11"/>
    <w:rsid w:val="002F7430"/>
    <w:rsid w:val="002F777B"/>
    <w:rsid w:val="00300191"/>
    <w:rsid w:val="00300578"/>
    <w:rsid w:val="00300AAF"/>
    <w:rsid w:val="00300F8D"/>
    <w:rsid w:val="00301EDA"/>
    <w:rsid w:val="00304FC4"/>
    <w:rsid w:val="003056C3"/>
    <w:rsid w:val="003059F4"/>
    <w:rsid w:val="003066DD"/>
    <w:rsid w:val="0030689E"/>
    <w:rsid w:val="003068D7"/>
    <w:rsid w:val="003071B2"/>
    <w:rsid w:val="00307599"/>
    <w:rsid w:val="00307CA9"/>
    <w:rsid w:val="00310399"/>
    <w:rsid w:val="00310D8D"/>
    <w:rsid w:val="0031445A"/>
    <w:rsid w:val="003149F6"/>
    <w:rsid w:val="003158CF"/>
    <w:rsid w:val="00316368"/>
    <w:rsid w:val="003174B4"/>
    <w:rsid w:val="003175B8"/>
    <w:rsid w:val="0032047A"/>
    <w:rsid w:val="00320939"/>
    <w:rsid w:val="00320F9D"/>
    <w:rsid w:val="00321B76"/>
    <w:rsid w:val="00321BBE"/>
    <w:rsid w:val="0032224A"/>
    <w:rsid w:val="00323813"/>
    <w:rsid w:val="00325077"/>
    <w:rsid w:val="0032515F"/>
    <w:rsid w:val="003253BE"/>
    <w:rsid w:val="00325C89"/>
    <w:rsid w:val="0032679D"/>
    <w:rsid w:val="00326D1D"/>
    <w:rsid w:val="00326D79"/>
    <w:rsid w:val="00327D78"/>
    <w:rsid w:val="00327D80"/>
    <w:rsid w:val="00327E48"/>
    <w:rsid w:val="003302F7"/>
    <w:rsid w:val="00330D90"/>
    <w:rsid w:val="0033220C"/>
    <w:rsid w:val="00332321"/>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65D"/>
    <w:rsid w:val="00343F87"/>
    <w:rsid w:val="00346101"/>
    <w:rsid w:val="00347C24"/>
    <w:rsid w:val="00347EB1"/>
    <w:rsid w:val="003508F6"/>
    <w:rsid w:val="00350C1C"/>
    <w:rsid w:val="0035113F"/>
    <w:rsid w:val="00351EEC"/>
    <w:rsid w:val="00351F0B"/>
    <w:rsid w:val="00351FF3"/>
    <w:rsid w:val="003529A8"/>
    <w:rsid w:val="00352B90"/>
    <w:rsid w:val="00353231"/>
    <w:rsid w:val="00353F39"/>
    <w:rsid w:val="003546F3"/>
    <w:rsid w:val="00354D6E"/>
    <w:rsid w:val="0035514C"/>
    <w:rsid w:val="00356084"/>
    <w:rsid w:val="0035688F"/>
    <w:rsid w:val="003568C0"/>
    <w:rsid w:val="00356E07"/>
    <w:rsid w:val="0036056A"/>
    <w:rsid w:val="003642D2"/>
    <w:rsid w:val="0036450C"/>
    <w:rsid w:val="00364574"/>
    <w:rsid w:val="0036546D"/>
    <w:rsid w:val="003664C3"/>
    <w:rsid w:val="003675A1"/>
    <w:rsid w:val="0036773D"/>
    <w:rsid w:val="00367FEB"/>
    <w:rsid w:val="003711C1"/>
    <w:rsid w:val="00371BC3"/>
    <w:rsid w:val="00371CBE"/>
    <w:rsid w:val="00371E9A"/>
    <w:rsid w:val="00372C24"/>
    <w:rsid w:val="00372C38"/>
    <w:rsid w:val="00372C9E"/>
    <w:rsid w:val="0037332F"/>
    <w:rsid w:val="00373AD4"/>
    <w:rsid w:val="0037428F"/>
    <w:rsid w:val="00374539"/>
    <w:rsid w:val="003747BD"/>
    <w:rsid w:val="00374DD5"/>
    <w:rsid w:val="0037504E"/>
    <w:rsid w:val="00375622"/>
    <w:rsid w:val="0037591D"/>
    <w:rsid w:val="0037720A"/>
    <w:rsid w:val="003774FC"/>
    <w:rsid w:val="00377D28"/>
    <w:rsid w:val="00377F5B"/>
    <w:rsid w:val="0038006D"/>
    <w:rsid w:val="00381EB9"/>
    <w:rsid w:val="0038206D"/>
    <w:rsid w:val="00383A53"/>
    <w:rsid w:val="00383A81"/>
    <w:rsid w:val="00383D6A"/>
    <w:rsid w:val="00384693"/>
    <w:rsid w:val="00385553"/>
    <w:rsid w:val="00385DC1"/>
    <w:rsid w:val="00385F02"/>
    <w:rsid w:val="0038641A"/>
    <w:rsid w:val="00386C13"/>
    <w:rsid w:val="00386DED"/>
    <w:rsid w:val="0038719C"/>
    <w:rsid w:val="00390E97"/>
    <w:rsid w:val="003924AE"/>
    <w:rsid w:val="00392E76"/>
    <w:rsid w:val="00393BF6"/>
    <w:rsid w:val="00393F1C"/>
    <w:rsid w:val="00393F6E"/>
    <w:rsid w:val="00394276"/>
    <w:rsid w:val="00394BA4"/>
    <w:rsid w:val="0039597A"/>
    <w:rsid w:val="0039697D"/>
    <w:rsid w:val="0039750E"/>
    <w:rsid w:val="00397618"/>
    <w:rsid w:val="00397731"/>
    <w:rsid w:val="00397EA7"/>
    <w:rsid w:val="003A1350"/>
    <w:rsid w:val="003A17CE"/>
    <w:rsid w:val="003A1920"/>
    <w:rsid w:val="003A1A61"/>
    <w:rsid w:val="003A2C3E"/>
    <w:rsid w:val="003A2D49"/>
    <w:rsid w:val="003A3487"/>
    <w:rsid w:val="003A3A6F"/>
    <w:rsid w:val="003A591A"/>
    <w:rsid w:val="003A5F2B"/>
    <w:rsid w:val="003A722D"/>
    <w:rsid w:val="003B01FB"/>
    <w:rsid w:val="003B0557"/>
    <w:rsid w:val="003B0E02"/>
    <w:rsid w:val="003B0FDA"/>
    <w:rsid w:val="003B1656"/>
    <w:rsid w:val="003B1FE7"/>
    <w:rsid w:val="003B231B"/>
    <w:rsid w:val="003B3157"/>
    <w:rsid w:val="003B3FC0"/>
    <w:rsid w:val="003B4786"/>
    <w:rsid w:val="003B56E2"/>
    <w:rsid w:val="003B602A"/>
    <w:rsid w:val="003B71D0"/>
    <w:rsid w:val="003B7450"/>
    <w:rsid w:val="003C0AEF"/>
    <w:rsid w:val="003C2C74"/>
    <w:rsid w:val="003C3055"/>
    <w:rsid w:val="003C4015"/>
    <w:rsid w:val="003C45E6"/>
    <w:rsid w:val="003C4969"/>
    <w:rsid w:val="003C568C"/>
    <w:rsid w:val="003C56E9"/>
    <w:rsid w:val="003C63A8"/>
    <w:rsid w:val="003C6725"/>
    <w:rsid w:val="003C6F78"/>
    <w:rsid w:val="003C7107"/>
    <w:rsid w:val="003D0D2D"/>
    <w:rsid w:val="003D14CC"/>
    <w:rsid w:val="003D16A1"/>
    <w:rsid w:val="003D16F1"/>
    <w:rsid w:val="003D1778"/>
    <w:rsid w:val="003D1B5E"/>
    <w:rsid w:val="003D1C9D"/>
    <w:rsid w:val="003D28A5"/>
    <w:rsid w:val="003D306D"/>
    <w:rsid w:val="003D30C9"/>
    <w:rsid w:val="003D472B"/>
    <w:rsid w:val="003D4F91"/>
    <w:rsid w:val="003D5092"/>
    <w:rsid w:val="003D6240"/>
    <w:rsid w:val="003D7D65"/>
    <w:rsid w:val="003E007A"/>
    <w:rsid w:val="003E0270"/>
    <w:rsid w:val="003E09C9"/>
    <w:rsid w:val="003E0CFA"/>
    <w:rsid w:val="003E0D77"/>
    <w:rsid w:val="003E0DA2"/>
    <w:rsid w:val="003E11B1"/>
    <w:rsid w:val="003E11D8"/>
    <w:rsid w:val="003E1873"/>
    <w:rsid w:val="003E25CD"/>
    <w:rsid w:val="003E25DA"/>
    <w:rsid w:val="003E2BDE"/>
    <w:rsid w:val="003E2DC6"/>
    <w:rsid w:val="003E2F13"/>
    <w:rsid w:val="003E3005"/>
    <w:rsid w:val="003E3092"/>
    <w:rsid w:val="003E386C"/>
    <w:rsid w:val="003E44BC"/>
    <w:rsid w:val="003E509B"/>
    <w:rsid w:val="003E60A8"/>
    <w:rsid w:val="003E6141"/>
    <w:rsid w:val="003E620D"/>
    <w:rsid w:val="003E6F86"/>
    <w:rsid w:val="003F0036"/>
    <w:rsid w:val="003F111F"/>
    <w:rsid w:val="003F1441"/>
    <w:rsid w:val="003F1A7F"/>
    <w:rsid w:val="003F330F"/>
    <w:rsid w:val="003F36C9"/>
    <w:rsid w:val="003F43BB"/>
    <w:rsid w:val="003F441E"/>
    <w:rsid w:val="003F4A7C"/>
    <w:rsid w:val="003F5144"/>
    <w:rsid w:val="003F584D"/>
    <w:rsid w:val="003F5DC0"/>
    <w:rsid w:val="003F73B2"/>
    <w:rsid w:val="0040067C"/>
    <w:rsid w:val="004012CF"/>
    <w:rsid w:val="0040177F"/>
    <w:rsid w:val="00401801"/>
    <w:rsid w:val="00402034"/>
    <w:rsid w:val="00402592"/>
    <w:rsid w:val="00402AC1"/>
    <w:rsid w:val="00402FB4"/>
    <w:rsid w:val="004032FE"/>
    <w:rsid w:val="00403576"/>
    <w:rsid w:val="00403A5F"/>
    <w:rsid w:val="00404A4F"/>
    <w:rsid w:val="00405414"/>
    <w:rsid w:val="004058F1"/>
    <w:rsid w:val="00405B47"/>
    <w:rsid w:val="00406172"/>
    <w:rsid w:val="004061C3"/>
    <w:rsid w:val="004068A2"/>
    <w:rsid w:val="0040716B"/>
    <w:rsid w:val="004071F1"/>
    <w:rsid w:val="00407301"/>
    <w:rsid w:val="00407985"/>
    <w:rsid w:val="00407FB6"/>
    <w:rsid w:val="00410BE9"/>
    <w:rsid w:val="004117D4"/>
    <w:rsid w:val="00411C6C"/>
    <w:rsid w:val="004133BA"/>
    <w:rsid w:val="00413638"/>
    <w:rsid w:val="00413B4D"/>
    <w:rsid w:val="00413ED4"/>
    <w:rsid w:val="00414B0A"/>
    <w:rsid w:val="00414B6F"/>
    <w:rsid w:val="00414DD6"/>
    <w:rsid w:val="004159EE"/>
    <w:rsid w:val="0041663C"/>
    <w:rsid w:val="00416E7D"/>
    <w:rsid w:val="00417D6B"/>
    <w:rsid w:val="00422EB1"/>
    <w:rsid w:val="00422F2E"/>
    <w:rsid w:val="004237E6"/>
    <w:rsid w:val="00424573"/>
    <w:rsid w:val="00425258"/>
    <w:rsid w:val="0042547A"/>
    <w:rsid w:val="0042551A"/>
    <w:rsid w:val="00425906"/>
    <w:rsid w:val="00425FAD"/>
    <w:rsid w:val="00426C16"/>
    <w:rsid w:val="00426CCD"/>
    <w:rsid w:val="00426F2C"/>
    <w:rsid w:val="00426F58"/>
    <w:rsid w:val="0042720C"/>
    <w:rsid w:val="004307C5"/>
    <w:rsid w:val="00430AD8"/>
    <w:rsid w:val="00430E04"/>
    <w:rsid w:val="004330CB"/>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131"/>
    <w:rsid w:val="00445781"/>
    <w:rsid w:val="00446057"/>
    <w:rsid w:val="00446F78"/>
    <w:rsid w:val="00447DDB"/>
    <w:rsid w:val="00450551"/>
    <w:rsid w:val="00450E73"/>
    <w:rsid w:val="00451333"/>
    <w:rsid w:val="00451AD8"/>
    <w:rsid w:val="00452BA8"/>
    <w:rsid w:val="00452C04"/>
    <w:rsid w:val="00452C3B"/>
    <w:rsid w:val="00453AEE"/>
    <w:rsid w:val="0045516B"/>
    <w:rsid w:val="00455783"/>
    <w:rsid w:val="00455C4E"/>
    <w:rsid w:val="00456C7D"/>
    <w:rsid w:val="0045701C"/>
    <w:rsid w:val="00457C26"/>
    <w:rsid w:val="004607DA"/>
    <w:rsid w:val="00460A63"/>
    <w:rsid w:val="00461886"/>
    <w:rsid w:val="004628A4"/>
    <w:rsid w:val="00462A0F"/>
    <w:rsid w:val="00464FEE"/>
    <w:rsid w:val="004657E9"/>
    <w:rsid w:val="00465B8F"/>
    <w:rsid w:val="00465BC5"/>
    <w:rsid w:val="00465D72"/>
    <w:rsid w:val="00467813"/>
    <w:rsid w:val="004704EB"/>
    <w:rsid w:val="0047068B"/>
    <w:rsid w:val="00470B02"/>
    <w:rsid w:val="00470D29"/>
    <w:rsid w:val="00471037"/>
    <w:rsid w:val="004738CC"/>
    <w:rsid w:val="00473922"/>
    <w:rsid w:val="004742F2"/>
    <w:rsid w:val="004749A9"/>
    <w:rsid w:val="00474B56"/>
    <w:rsid w:val="00474B70"/>
    <w:rsid w:val="004750DD"/>
    <w:rsid w:val="00475C7F"/>
    <w:rsid w:val="0047645E"/>
    <w:rsid w:val="00477CA6"/>
    <w:rsid w:val="00477F89"/>
    <w:rsid w:val="004806FB"/>
    <w:rsid w:val="004807F6"/>
    <w:rsid w:val="00480C5C"/>
    <w:rsid w:val="004815B3"/>
    <w:rsid w:val="004815E1"/>
    <w:rsid w:val="004824CC"/>
    <w:rsid w:val="00482F64"/>
    <w:rsid w:val="00482FF5"/>
    <w:rsid w:val="0048533A"/>
    <w:rsid w:val="004861E3"/>
    <w:rsid w:val="004864EC"/>
    <w:rsid w:val="00486E1F"/>
    <w:rsid w:val="00487255"/>
    <w:rsid w:val="004877A9"/>
    <w:rsid w:val="00490421"/>
    <w:rsid w:val="00490AD3"/>
    <w:rsid w:val="0049174C"/>
    <w:rsid w:val="00491E53"/>
    <w:rsid w:val="0049221E"/>
    <w:rsid w:val="0049286D"/>
    <w:rsid w:val="00492870"/>
    <w:rsid w:val="00492C5B"/>
    <w:rsid w:val="0049312E"/>
    <w:rsid w:val="004933BA"/>
    <w:rsid w:val="00493CD1"/>
    <w:rsid w:val="00494084"/>
    <w:rsid w:val="004944CE"/>
    <w:rsid w:val="00494BCE"/>
    <w:rsid w:val="0049512D"/>
    <w:rsid w:val="0049547D"/>
    <w:rsid w:val="004956F3"/>
    <w:rsid w:val="0049691A"/>
    <w:rsid w:val="00496A42"/>
    <w:rsid w:val="004975F7"/>
    <w:rsid w:val="00497B07"/>
    <w:rsid w:val="00497F32"/>
    <w:rsid w:val="00497F59"/>
    <w:rsid w:val="004A0046"/>
    <w:rsid w:val="004A0352"/>
    <w:rsid w:val="004A14A9"/>
    <w:rsid w:val="004A195A"/>
    <w:rsid w:val="004A2078"/>
    <w:rsid w:val="004A2959"/>
    <w:rsid w:val="004A3BE1"/>
    <w:rsid w:val="004A45C0"/>
    <w:rsid w:val="004A4B79"/>
    <w:rsid w:val="004A5051"/>
    <w:rsid w:val="004A76BD"/>
    <w:rsid w:val="004A7948"/>
    <w:rsid w:val="004A7ADA"/>
    <w:rsid w:val="004B01A1"/>
    <w:rsid w:val="004B04F6"/>
    <w:rsid w:val="004B0657"/>
    <w:rsid w:val="004B134A"/>
    <w:rsid w:val="004B147C"/>
    <w:rsid w:val="004B1BC9"/>
    <w:rsid w:val="004B1FA7"/>
    <w:rsid w:val="004B256E"/>
    <w:rsid w:val="004B2D58"/>
    <w:rsid w:val="004B53F7"/>
    <w:rsid w:val="004B5F3B"/>
    <w:rsid w:val="004B709E"/>
    <w:rsid w:val="004C1884"/>
    <w:rsid w:val="004C2340"/>
    <w:rsid w:val="004C3A86"/>
    <w:rsid w:val="004C41B5"/>
    <w:rsid w:val="004C4606"/>
    <w:rsid w:val="004C52F8"/>
    <w:rsid w:val="004C552D"/>
    <w:rsid w:val="004C6663"/>
    <w:rsid w:val="004C70BF"/>
    <w:rsid w:val="004D011B"/>
    <w:rsid w:val="004D0F84"/>
    <w:rsid w:val="004D1CA0"/>
    <w:rsid w:val="004D207C"/>
    <w:rsid w:val="004D23BE"/>
    <w:rsid w:val="004D23CC"/>
    <w:rsid w:val="004D321D"/>
    <w:rsid w:val="004D3D5B"/>
    <w:rsid w:val="004D62A4"/>
    <w:rsid w:val="004D646A"/>
    <w:rsid w:val="004D6CB7"/>
    <w:rsid w:val="004D7170"/>
    <w:rsid w:val="004D786D"/>
    <w:rsid w:val="004E104C"/>
    <w:rsid w:val="004E20A4"/>
    <w:rsid w:val="004E25EB"/>
    <w:rsid w:val="004E2CC5"/>
    <w:rsid w:val="004E37B5"/>
    <w:rsid w:val="004E3C1F"/>
    <w:rsid w:val="004E42F1"/>
    <w:rsid w:val="004E5C08"/>
    <w:rsid w:val="004E61F6"/>
    <w:rsid w:val="004E6478"/>
    <w:rsid w:val="004E670B"/>
    <w:rsid w:val="004E755F"/>
    <w:rsid w:val="004E79D0"/>
    <w:rsid w:val="004E7DC0"/>
    <w:rsid w:val="004F18EA"/>
    <w:rsid w:val="004F1FAC"/>
    <w:rsid w:val="004F210D"/>
    <w:rsid w:val="004F22A2"/>
    <w:rsid w:val="004F2678"/>
    <w:rsid w:val="004F2DD9"/>
    <w:rsid w:val="004F4D07"/>
    <w:rsid w:val="004F582F"/>
    <w:rsid w:val="004F6936"/>
    <w:rsid w:val="004F6BD5"/>
    <w:rsid w:val="004F74C3"/>
    <w:rsid w:val="004F7829"/>
    <w:rsid w:val="004F7B94"/>
    <w:rsid w:val="00500514"/>
    <w:rsid w:val="005005B7"/>
    <w:rsid w:val="00500628"/>
    <w:rsid w:val="005012CA"/>
    <w:rsid w:val="0050188D"/>
    <w:rsid w:val="0050246E"/>
    <w:rsid w:val="005024B2"/>
    <w:rsid w:val="00502BE6"/>
    <w:rsid w:val="00504207"/>
    <w:rsid w:val="005049DE"/>
    <w:rsid w:val="00504DDF"/>
    <w:rsid w:val="00505C40"/>
    <w:rsid w:val="00506BCC"/>
    <w:rsid w:val="00506D93"/>
    <w:rsid w:val="0050725D"/>
    <w:rsid w:val="00507D2E"/>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513"/>
    <w:rsid w:val="00515A9C"/>
    <w:rsid w:val="00516A7C"/>
    <w:rsid w:val="00516B9F"/>
    <w:rsid w:val="00517675"/>
    <w:rsid w:val="0052022B"/>
    <w:rsid w:val="005202FC"/>
    <w:rsid w:val="0052138F"/>
    <w:rsid w:val="0052139B"/>
    <w:rsid w:val="00522BC7"/>
    <w:rsid w:val="00523E65"/>
    <w:rsid w:val="00523F75"/>
    <w:rsid w:val="00524397"/>
    <w:rsid w:val="00524716"/>
    <w:rsid w:val="005247F4"/>
    <w:rsid w:val="00524E6F"/>
    <w:rsid w:val="0052524B"/>
    <w:rsid w:val="00525557"/>
    <w:rsid w:val="00525833"/>
    <w:rsid w:val="00526131"/>
    <w:rsid w:val="00526E2B"/>
    <w:rsid w:val="00527756"/>
    <w:rsid w:val="0053229A"/>
    <w:rsid w:val="005325E0"/>
    <w:rsid w:val="0053293B"/>
    <w:rsid w:val="005333D5"/>
    <w:rsid w:val="00533653"/>
    <w:rsid w:val="00533882"/>
    <w:rsid w:val="00533A0E"/>
    <w:rsid w:val="005341E3"/>
    <w:rsid w:val="005348C6"/>
    <w:rsid w:val="00534E2A"/>
    <w:rsid w:val="00534F0D"/>
    <w:rsid w:val="005358BD"/>
    <w:rsid w:val="00536682"/>
    <w:rsid w:val="005374EA"/>
    <w:rsid w:val="00537BE1"/>
    <w:rsid w:val="005405A8"/>
    <w:rsid w:val="00540675"/>
    <w:rsid w:val="00540D77"/>
    <w:rsid w:val="005413F9"/>
    <w:rsid w:val="00541473"/>
    <w:rsid w:val="005417DF"/>
    <w:rsid w:val="00541A86"/>
    <w:rsid w:val="0054235C"/>
    <w:rsid w:val="0054329C"/>
    <w:rsid w:val="00543AC4"/>
    <w:rsid w:val="00545567"/>
    <w:rsid w:val="00545811"/>
    <w:rsid w:val="00545AAD"/>
    <w:rsid w:val="00545BF2"/>
    <w:rsid w:val="0054791B"/>
    <w:rsid w:val="0054798F"/>
    <w:rsid w:val="00550520"/>
    <w:rsid w:val="00550D07"/>
    <w:rsid w:val="00551A81"/>
    <w:rsid w:val="0055250D"/>
    <w:rsid w:val="00552BFC"/>
    <w:rsid w:val="00554298"/>
    <w:rsid w:val="0055676A"/>
    <w:rsid w:val="005567C4"/>
    <w:rsid w:val="00556CE0"/>
    <w:rsid w:val="00557892"/>
    <w:rsid w:val="00557913"/>
    <w:rsid w:val="00560AC2"/>
    <w:rsid w:val="00560BB3"/>
    <w:rsid w:val="00561FA5"/>
    <w:rsid w:val="00562274"/>
    <w:rsid w:val="005637D7"/>
    <w:rsid w:val="00563AEA"/>
    <w:rsid w:val="00564141"/>
    <w:rsid w:val="005644A8"/>
    <w:rsid w:val="00564947"/>
    <w:rsid w:val="00564E1B"/>
    <w:rsid w:val="00564F4F"/>
    <w:rsid w:val="0056698E"/>
    <w:rsid w:val="005676F1"/>
    <w:rsid w:val="00567723"/>
    <w:rsid w:val="00571233"/>
    <w:rsid w:val="0057130A"/>
    <w:rsid w:val="00571907"/>
    <w:rsid w:val="0057274D"/>
    <w:rsid w:val="00572924"/>
    <w:rsid w:val="005733B5"/>
    <w:rsid w:val="005738B8"/>
    <w:rsid w:val="00573BDF"/>
    <w:rsid w:val="00573CC6"/>
    <w:rsid w:val="00573E1E"/>
    <w:rsid w:val="005744A4"/>
    <w:rsid w:val="0057633C"/>
    <w:rsid w:val="005766A1"/>
    <w:rsid w:val="0057676F"/>
    <w:rsid w:val="005769A2"/>
    <w:rsid w:val="005815B7"/>
    <w:rsid w:val="00581682"/>
    <w:rsid w:val="00581B14"/>
    <w:rsid w:val="00582382"/>
    <w:rsid w:val="00582D77"/>
    <w:rsid w:val="00582DFB"/>
    <w:rsid w:val="00583203"/>
    <w:rsid w:val="0058364F"/>
    <w:rsid w:val="005842AD"/>
    <w:rsid w:val="005849EA"/>
    <w:rsid w:val="00585B55"/>
    <w:rsid w:val="00586CF4"/>
    <w:rsid w:val="0058762F"/>
    <w:rsid w:val="005877E5"/>
    <w:rsid w:val="005878E2"/>
    <w:rsid w:val="0058790A"/>
    <w:rsid w:val="00590842"/>
    <w:rsid w:val="00590CDB"/>
    <w:rsid w:val="00591928"/>
    <w:rsid w:val="00591D65"/>
    <w:rsid w:val="00592A43"/>
    <w:rsid w:val="00593DC3"/>
    <w:rsid w:val="0059433A"/>
    <w:rsid w:val="00594ECA"/>
    <w:rsid w:val="00595505"/>
    <w:rsid w:val="005964EC"/>
    <w:rsid w:val="00596A05"/>
    <w:rsid w:val="00596AB7"/>
    <w:rsid w:val="00596D1F"/>
    <w:rsid w:val="00596EBE"/>
    <w:rsid w:val="005977BD"/>
    <w:rsid w:val="005A1261"/>
    <w:rsid w:val="005A1469"/>
    <w:rsid w:val="005A1DB5"/>
    <w:rsid w:val="005A4C07"/>
    <w:rsid w:val="005A5DA5"/>
    <w:rsid w:val="005A5F3A"/>
    <w:rsid w:val="005A7422"/>
    <w:rsid w:val="005A76AD"/>
    <w:rsid w:val="005A79D6"/>
    <w:rsid w:val="005A7A28"/>
    <w:rsid w:val="005B0CAE"/>
    <w:rsid w:val="005B1893"/>
    <w:rsid w:val="005B1C4C"/>
    <w:rsid w:val="005B1ECD"/>
    <w:rsid w:val="005B2356"/>
    <w:rsid w:val="005B3807"/>
    <w:rsid w:val="005B43D5"/>
    <w:rsid w:val="005B4F87"/>
    <w:rsid w:val="005B542D"/>
    <w:rsid w:val="005B5D9A"/>
    <w:rsid w:val="005B677B"/>
    <w:rsid w:val="005C0004"/>
    <w:rsid w:val="005C1190"/>
    <w:rsid w:val="005C1A57"/>
    <w:rsid w:val="005C2098"/>
    <w:rsid w:val="005C2504"/>
    <w:rsid w:val="005C41C5"/>
    <w:rsid w:val="005C5B5C"/>
    <w:rsid w:val="005C62C3"/>
    <w:rsid w:val="005D1A4D"/>
    <w:rsid w:val="005D213D"/>
    <w:rsid w:val="005D22BA"/>
    <w:rsid w:val="005D2E9B"/>
    <w:rsid w:val="005D35F9"/>
    <w:rsid w:val="005D3719"/>
    <w:rsid w:val="005D4D8B"/>
    <w:rsid w:val="005D5BBA"/>
    <w:rsid w:val="005D629A"/>
    <w:rsid w:val="005D7183"/>
    <w:rsid w:val="005E0730"/>
    <w:rsid w:val="005E0759"/>
    <w:rsid w:val="005E0A8E"/>
    <w:rsid w:val="005E124F"/>
    <w:rsid w:val="005E16C5"/>
    <w:rsid w:val="005E1D48"/>
    <w:rsid w:val="005E1FF0"/>
    <w:rsid w:val="005E26FB"/>
    <w:rsid w:val="005E2B27"/>
    <w:rsid w:val="005E2C68"/>
    <w:rsid w:val="005E2F31"/>
    <w:rsid w:val="005E4400"/>
    <w:rsid w:val="005E5BDB"/>
    <w:rsid w:val="005E681E"/>
    <w:rsid w:val="005E776F"/>
    <w:rsid w:val="005F023F"/>
    <w:rsid w:val="005F0303"/>
    <w:rsid w:val="005F0635"/>
    <w:rsid w:val="005F0A40"/>
    <w:rsid w:val="005F0A77"/>
    <w:rsid w:val="005F0C3A"/>
    <w:rsid w:val="005F133C"/>
    <w:rsid w:val="005F1E3B"/>
    <w:rsid w:val="005F2C7A"/>
    <w:rsid w:val="005F30C1"/>
    <w:rsid w:val="005F3260"/>
    <w:rsid w:val="005F3EAD"/>
    <w:rsid w:val="005F4B8E"/>
    <w:rsid w:val="005F50F4"/>
    <w:rsid w:val="006000D1"/>
    <w:rsid w:val="006002F0"/>
    <w:rsid w:val="0060077C"/>
    <w:rsid w:val="00600CD2"/>
    <w:rsid w:val="00601949"/>
    <w:rsid w:val="00601A2F"/>
    <w:rsid w:val="00602468"/>
    <w:rsid w:val="006028D2"/>
    <w:rsid w:val="00605D03"/>
    <w:rsid w:val="00605DDB"/>
    <w:rsid w:val="006061FB"/>
    <w:rsid w:val="00606EC0"/>
    <w:rsid w:val="00607AE9"/>
    <w:rsid w:val="00607B18"/>
    <w:rsid w:val="00610ED1"/>
    <w:rsid w:val="006112E4"/>
    <w:rsid w:val="006132AB"/>
    <w:rsid w:val="00613EE3"/>
    <w:rsid w:val="00613FE1"/>
    <w:rsid w:val="006140DF"/>
    <w:rsid w:val="00614799"/>
    <w:rsid w:val="00615ADB"/>
    <w:rsid w:val="00615DDA"/>
    <w:rsid w:val="00616156"/>
    <w:rsid w:val="00616DC1"/>
    <w:rsid w:val="00621192"/>
    <w:rsid w:val="0062287B"/>
    <w:rsid w:val="00623C2F"/>
    <w:rsid w:val="006242A7"/>
    <w:rsid w:val="0062464B"/>
    <w:rsid w:val="00624C04"/>
    <w:rsid w:val="00625243"/>
    <w:rsid w:val="00626A94"/>
    <w:rsid w:val="0062773D"/>
    <w:rsid w:val="0062794E"/>
    <w:rsid w:val="00627EF5"/>
    <w:rsid w:val="006303C8"/>
    <w:rsid w:val="0063103B"/>
    <w:rsid w:val="0063110A"/>
    <w:rsid w:val="006317AC"/>
    <w:rsid w:val="0063297F"/>
    <w:rsid w:val="006347A5"/>
    <w:rsid w:val="0063688A"/>
    <w:rsid w:val="00636E4F"/>
    <w:rsid w:val="00637C91"/>
    <w:rsid w:val="00640A23"/>
    <w:rsid w:val="006414E8"/>
    <w:rsid w:val="0064225F"/>
    <w:rsid w:val="00642829"/>
    <w:rsid w:val="00643351"/>
    <w:rsid w:val="0064392A"/>
    <w:rsid w:val="00643B9A"/>
    <w:rsid w:val="006443D9"/>
    <w:rsid w:val="00644CC5"/>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3B6F"/>
    <w:rsid w:val="006549EA"/>
    <w:rsid w:val="00654A14"/>
    <w:rsid w:val="00654A45"/>
    <w:rsid w:val="00654D9A"/>
    <w:rsid w:val="0065537B"/>
    <w:rsid w:val="006555FB"/>
    <w:rsid w:val="0065672C"/>
    <w:rsid w:val="00657BC1"/>
    <w:rsid w:val="0066042B"/>
    <w:rsid w:val="00661205"/>
    <w:rsid w:val="00661519"/>
    <w:rsid w:val="0066358C"/>
    <w:rsid w:val="006650EA"/>
    <w:rsid w:val="00666821"/>
    <w:rsid w:val="00670441"/>
    <w:rsid w:val="006718E5"/>
    <w:rsid w:val="00671A10"/>
    <w:rsid w:val="00672CE5"/>
    <w:rsid w:val="00674103"/>
    <w:rsid w:val="00674F36"/>
    <w:rsid w:val="00674FDB"/>
    <w:rsid w:val="006753A4"/>
    <w:rsid w:val="00675DD9"/>
    <w:rsid w:val="006760D5"/>
    <w:rsid w:val="0067643C"/>
    <w:rsid w:val="00676C1D"/>
    <w:rsid w:val="00677D27"/>
    <w:rsid w:val="006801DE"/>
    <w:rsid w:val="0068077A"/>
    <w:rsid w:val="006809F0"/>
    <w:rsid w:val="006811ED"/>
    <w:rsid w:val="006815C2"/>
    <w:rsid w:val="006827F7"/>
    <w:rsid w:val="00682E75"/>
    <w:rsid w:val="006839A4"/>
    <w:rsid w:val="00683D0B"/>
    <w:rsid w:val="00683F5A"/>
    <w:rsid w:val="00685501"/>
    <w:rsid w:val="0068641B"/>
    <w:rsid w:val="006869A7"/>
    <w:rsid w:val="006869E5"/>
    <w:rsid w:val="00687107"/>
    <w:rsid w:val="0068752F"/>
    <w:rsid w:val="00691169"/>
    <w:rsid w:val="00691E55"/>
    <w:rsid w:val="006926BE"/>
    <w:rsid w:val="006938BA"/>
    <w:rsid w:val="0069402D"/>
    <w:rsid w:val="006940C2"/>
    <w:rsid w:val="00694876"/>
    <w:rsid w:val="00694A8B"/>
    <w:rsid w:val="00694E3C"/>
    <w:rsid w:val="00695AB4"/>
    <w:rsid w:val="00696FBE"/>
    <w:rsid w:val="006A00F4"/>
    <w:rsid w:val="006A06AA"/>
    <w:rsid w:val="006A096B"/>
    <w:rsid w:val="006A0E29"/>
    <w:rsid w:val="006A17EA"/>
    <w:rsid w:val="006A19B6"/>
    <w:rsid w:val="006A1A5D"/>
    <w:rsid w:val="006A2A92"/>
    <w:rsid w:val="006A3519"/>
    <w:rsid w:val="006A3DB7"/>
    <w:rsid w:val="006A47CB"/>
    <w:rsid w:val="006A635E"/>
    <w:rsid w:val="006A731A"/>
    <w:rsid w:val="006A7A44"/>
    <w:rsid w:val="006B01AE"/>
    <w:rsid w:val="006B0C7E"/>
    <w:rsid w:val="006B107F"/>
    <w:rsid w:val="006B1261"/>
    <w:rsid w:val="006B16A6"/>
    <w:rsid w:val="006B1EE4"/>
    <w:rsid w:val="006B228B"/>
    <w:rsid w:val="006B33D4"/>
    <w:rsid w:val="006B348A"/>
    <w:rsid w:val="006B3D38"/>
    <w:rsid w:val="006B4003"/>
    <w:rsid w:val="006B4F96"/>
    <w:rsid w:val="006B5BD6"/>
    <w:rsid w:val="006B5EB2"/>
    <w:rsid w:val="006B5F5D"/>
    <w:rsid w:val="006B6FB8"/>
    <w:rsid w:val="006C0208"/>
    <w:rsid w:val="006C0791"/>
    <w:rsid w:val="006C0D18"/>
    <w:rsid w:val="006C19F2"/>
    <w:rsid w:val="006C2D29"/>
    <w:rsid w:val="006C358C"/>
    <w:rsid w:val="006C5F15"/>
    <w:rsid w:val="006C6A2A"/>
    <w:rsid w:val="006C7369"/>
    <w:rsid w:val="006C7791"/>
    <w:rsid w:val="006D09F4"/>
    <w:rsid w:val="006D0F43"/>
    <w:rsid w:val="006D13B7"/>
    <w:rsid w:val="006D1589"/>
    <w:rsid w:val="006D1920"/>
    <w:rsid w:val="006D1E11"/>
    <w:rsid w:val="006D397D"/>
    <w:rsid w:val="006D3D05"/>
    <w:rsid w:val="006D4276"/>
    <w:rsid w:val="006D56C0"/>
    <w:rsid w:val="006D5950"/>
    <w:rsid w:val="006D5B0B"/>
    <w:rsid w:val="006D63F3"/>
    <w:rsid w:val="006D65DB"/>
    <w:rsid w:val="006D660E"/>
    <w:rsid w:val="006D6652"/>
    <w:rsid w:val="006D69E1"/>
    <w:rsid w:val="006D6EA6"/>
    <w:rsid w:val="006E3AB9"/>
    <w:rsid w:val="006E4199"/>
    <w:rsid w:val="006E437C"/>
    <w:rsid w:val="006E471D"/>
    <w:rsid w:val="006E4760"/>
    <w:rsid w:val="006E4B23"/>
    <w:rsid w:val="006E50AF"/>
    <w:rsid w:val="006E5E47"/>
    <w:rsid w:val="006E6CD5"/>
    <w:rsid w:val="006E75F8"/>
    <w:rsid w:val="006E7915"/>
    <w:rsid w:val="006F21DF"/>
    <w:rsid w:val="006F22B4"/>
    <w:rsid w:val="006F2681"/>
    <w:rsid w:val="006F2886"/>
    <w:rsid w:val="006F37F6"/>
    <w:rsid w:val="006F453E"/>
    <w:rsid w:val="006F5227"/>
    <w:rsid w:val="006F5759"/>
    <w:rsid w:val="006F5A07"/>
    <w:rsid w:val="006F5B3E"/>
    <w:rsid w:val="006F6BA4"/>
    <w:rsid w:val="006F7FC3"/>
    <w:rsid w:val="00700D25"/>
    <w:rsid w:val="0070125B"/>
    <w:rsid w:val="0070154F"/>
    <w:rsid w:val="00701BA5"/>
    <w:rsid w:val="007027FA"/>
    <w:rsid w:val="00704820"/>
    <w:rsid w:val="00705B58"/>
    <w:rsid w:val="00705FD1"/>
    <w:rsid w:val="0070762D"/>
    <w:rsid w:val="0071018D"/>
    <w:rsid w:val="007115CF"/>
    <w:rsid w:val="00711643"/>
    <w:rsid w:val="00713432"/>
    <w:rsid w:val="00713B15"/>
    <w:rsid w:val="00713B1F"/>
    <w:rsid w:val="007141D0"/>
    <w:rsid w:val="0071475A"/>
    <w:rsid w:val="00714A05"/>
    <w:rsid w:val="00715E70"/>
    <w:rsid w:val="007161D7"/>
    <w:rsid w:val="0071695D"/>
    <w:rsid w:val="00716CC1"/>
    <w:rsid w:val="00717A56"/>
    <w:rsid w:val="00720F38"/>
    <w:rsid w:val="00721ECB"/>
    <w:rsid w:val="007229DE"/>
    <w:rsid w:val="00722B44"/>
    <w:rsid w:val="00722C6D"/>
    <w:rsid w:val="00722D39"/>
    <w:rsid w:val="00723F74"/>
    <w:rsid w:val="00724BD6"/>
    <w:rsid w:val="00724D6A"/>
    <w:rsid w:val="007251B2"/>
    <w:rsid w:val="007273C5"/>
    <w:rsid w:val="00727695"/>
    <w:rsid w:val="00727D4F"/>
    <w:rsid w:val="00730C6C"/>
    <w:rsid w:val="00730D5C"/>
    <w:rsid w:val="007323BE"/>
    <w:rsid w:val="0073255F"/>
    <w:rsid w:val="00733168"/>
    <w:rsid w:val="007335DB"/>
    <w:rsid w:val="0073384E"/>
    <w:rsid w:val="0073499B"/>
    <w:rsid w:val="007365F0"/>
    <w:rsid w:val="00736977"/>
    <w:rsid w:val="00737307"/>
    <w:rsid w:val="00737C7A"/>
    <w:rsid w:val="0074049E"/>
    <w:rsid w:val="00741AF0"/>
    <w:rsid w:val="0074257A"/>
    <w:rsid w:val="00742860"/>
    <w:rsid w:val="0074408D"/>
    <w:rsid w:val="007447A5"/>
    <w:rsid w:val="007455C8"/>
    <w:rsid w:val="00745C76"/>
    <w:rsid w:val="00745DEE"/>
    <w:rsid w:val="0074667D"/>
    <w:rsid w:val="0074697F"/>
    <w:rsid w:val="00747DC1"/>
    <w:rsid w:val="00747E7D"/>
    <w:rsid w:val="007507CF"/>
    <w:rsid w:val="0075081E"/>
    <w:rsid w:val="00751DDE"/>
    <w:rsid w:val="007523B9"/>
    <w:rsid w:val="00752749"/>
    <w:rsid w:val="00753B60"/>
    <w:rsid w:val="007542C5"/>
    <w:rsid w:val="0075437C"/>
    <w:rsid w:val="00754686"/>
    <w:rsid w:val="007546CD"/>
    <w:rsid w:val="00754F5E"/>
    <w:rsid w:val="00755721"/>
    <w:rsid w:val="007558C7"/>
    <w:rsid w:val="00755D5E"/>
    <w:rsid w:val="0075646E"/>
    <w:rsid w:val="00756C7E"/>
    <w:rsid w:val="007604FB"/>
    <w:rsid w:val="007615EF"/>
    <w:rsid w:val="00761B67"/>
    <w:rsid w:val="0076247C"/>
    <w:rsid w:val="00763440"/>
    <w:rsid w:val="0076352C"/>
    <w:rsid w:val="00763A24"/>
    <w:rsid w:val="00763A72"/>
    <w:rsid w:val="00764005"/>
    <w:rsid w:val="00764085"/>
    <w:rsid w:val="0076426C"/>
    <w:rsid w:val="00765961"/>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524C"/>
    <w:rsid w:val="00775AA6"/>
    <w:rsid w:val="00776715"/>
    <w:rsid w:val="007769F4"/>
    <w:rsid w:val="00777401"/>
    <w:rsid w:val="0077768C"/>
    <w:rsid w:val="0078014D"/>
    <w:rsid w:val="00780869"/>
    <w:rsid w:val="00780CCE"/>
    <w:rsid w:val="00781B0F"/>
    <w:rsid w:val="00781EF3"/>
    <w:rsid w:val="00781F85"/>
    <w:rsid w:val="007838FC"/>
    <w:rsid w:val="00784124"/>
    <w:rsid w:val="00784656"/>
    <w:rsid w:val="00785BF3"/>
    <w:rsid w:val="0078684A"/>
    <w:rsid w:val="00786F64"/>
    <w:rsid w:val="00787354"/>
    <w:rsid w:val="007900FE"/>
    <w:rsid w:val="00792302"/>
    <w:rsid w:val="007927E7"/>
    <w:rsid w:val="0079367B"/>
    <w:rsid w:val="00793EF6"/>
    <w:rsid w:val="00794924"/>
    <w:rsid w:val="00794CA6"/>
    <w:rsid w:val="00794D8F"/>
    <w:rsid w:val="00795DD9"/>
    <w:rsid w:val="007971B7"/>
    <w:rsid w:val="007976FB"/>
    <w:rsid w:val="007A0946"/>
    <w:rsid w:val="007A127B"/>
    <w:rsid w:val="007A1A01"/>
    <w:rsid w:val="007A1D72"/>
    <w:rsid w:val="007A26FC"/>
    <w:rsid w:val="007A27C0"/>
    <w:rsid w:val="007A3790"/>
    <w:rsid w:val="007A4182"/>
    <w:rsid w:val="007A5158"/>
    <w:rsid w:val="007A5774"/>
    <w:rsid w:val="007A6735"/>
    <w:rsid w:val="007A68F1"/>
    <w:rsid w:val="007A7185"/>
    <w:rsid w:val="007A7788"/>
    <w:rsid w:val="007A7C4D"/>
    <w:rsid w:val="007B0214"/>
    <w:rsid w:val="007B130C"/>
    <w:rsid w:val="007B1B5B"/>
    <w:rsid w:val="007B1BAB"/>
    <w:rsid w:val="007B1CD2"/>
    <w:rsid w:val="007B2F45"/>
    <w:rsid w:val="007B361F"/>
    <w:rsid w:val="007B3FC6"/>
    <w:rsid w:val="007B4EDE"/>
    <w:rsid w:val="007B5D50"/>
    <w:rsid w:val="007B70C3"/>
    <w:rsid w:val="007B730E"/>
    <w:rsid w:val="007B75D5"/>
    <w:rsid w:val="007B773F"/>
    <w:rsid w:val="007B7D6F"/>
    <w:rsid w:val="007C0459"/>
    <w:rsid w:val="007C04BC"/>
    <w:rsid w:val="007C0BD6"/>
    <w:rsid w:val="007C1DC3"/>
    <w:rsid w:val="007C285A"/>
    <w:rsid w:val="007C2D6C"/>
    <w:rsid w:val="007C3562"/>
    <w:rsid w:val="007C359F"/>
    <w:rsid w:val="007C390B"/>
    <w:rsid w:val="007C3F2A"/>
    <w:rsid w:val="007C3F4B"/>
    <w:rsid w:val="007C4164"/>
    <w:rsid w:val="007C4426"/>
    <w:rsid w:val="007C52EA"/>
    <w:rsid w:val="007C5656"/>
    <w:rsid w:val="007C6F61"/>
    <w:rsid w:val="007C798B"/>
    <w:rsid w:val="007D05E5"/>
    <w:rsid w:val="007D1003"/>
    <w:rsid w:val="007D1168"/>
    <w:rsid w:val="007D11FC"/>
    <w:rsid w:val="007D1CD7"/>
    <w:rsid w:val="007D20DA"/>
    <w:rsid w:val="007D2FD3"/>
    <w:rsid w:val="007D3E26"/>
    <w:rsid w:val="007D4C7D"/>
    <w:rsid w:val="007D642C"/>
    <w:rsid w:val="007D7216"/>
    <w:rsid w:val="007D7C6D"/>
    <w:rsid w:val="007D7D67"/>
    <w:rsid w:val="007E05AE"/>
    <w:rsid w:val="007E0641"/>
    <w:rsid w:val="007E06CE"/>
    <w:rsid w:val="007E07F2"/>
    <w:rsid w:val="007E167D"/>
    <w:rsid w:val="007E1889"/>
    <w:rsid w:val="007E1E2C"/>
    <w:rsid w:val="007E24ED"/>
    <w:rsid w:val="007E39CD"/>
    <w:rsid w:val="007E4F78"/>
    <w:rsid w:val="007E5061"/>
    <w:rsid w:val="007E543C"/>
    <w:rsid w:val="007E554C"/>
    <w:rsid w:val="007E5C7A"/>
    <w:rsid w:val="007E5E39"/>
    <w:rsid w:val="007E5E79"/>
    <w:rsid w:val="007E5F69"/>
    <w:rsid w:val="007E6EA8"/>
    <w:rsid w:val="007F0040"/>
    <w:rsid w:val="007F03F4"/>
    <w:rsid w:val="007F0C1B"/>
    <w:rsid w:val="007F2B15"/>
    <w:rsid w:val="007F2E3D"/>
    <w:rsid w:val="007F40B6"/>
    <w:rsid w:val="007F452E"/>
    <w:rsid w:val="007F4693"/>
    <w:rsid w:val="007F4D6C"/>
    <w:rsid w:val="007F4DE0"/>
    <w:rsid w:val="007F5766"/>
    <w:rsid w:val="007F6734"/>
    <w:rsid w:val="007F67A4"/>
    <w:rsid w:val="007F7A1B"/>
    <w:rsid w:val="007F7F4F"/>
    <w:rsid w:val="008002AC"/>
    <w:rsid w:val="00800880"/>
    <w:rsid w:val="0080270E"/>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7F9"/>
    <w:rsid w:val="0081099F"/>
    <w:rsid w:val="008115E4"/>
    <w:rsid w:val="00811803"/>
    <w:rsid w:val="008118B2"/>
    <w:rsid w:val="00812040"/>
    <w:rsid w:val="008124E6"/>
    <w:rsid w:val="00812E21"/>
    <w:rsid w:val="00813374"/>
    <w:rsid w:val="008136A3"/>
    <w:rsid w:val="008140D1"/>
    <w:rsid w:val="008141DD"/>
    <w:rsid w:val="00814A2E"/>
    <w:rsid w:val="00814AD7"/>
    <w:rsid w:val="00814B26"/>
    <w:rsid w:val="00815897"/>
    <w:rsid w:val="00815F0A"/>
    <w:rsid w:val="00816752"/>
    <w:rsid w:val="00817191"/>
    <w:rsid w:val="00817D58"/>
    <w:rsid w:val="00817F1E"/>
    <w:rsid w:val="008201A2"/>
    <w:rsid w:val="0082072D"/>
    <w:rsid w:val="00820F5A"/>
    <w:rsid w:val="008217AF"/>
    <w:rsid w:val="00822D67"/>
    <w:rsid w:val="00824092"/>
    <w:rsid w:val="008249A8"/>
    <w:rsid w:val="00824CA2"/>
    <w:rsid w:val="008254D6"/>
    <w:rsid w:val="00826C9F"/>
    <w:rsid w:val="008275BB"/>
    <w:rsid w:val="00827796"/>
    <w:rsid w:val="00827CA0"/>
    <w:rsid w:val="008300CA"/>
    <w:rsid w:val="00830143"/>
    <w:rsid w:val="00830720"/>
    <w:rsid w:val="008311E8"/>
    <w:rsid w:val="008314F9"/>
    <w:rsid w:val="0083198D"/>
    <w:rsid w:val="00833CAA"/>
    <w:rsid w:val="0083432A"/>
    <w:rsid w:val="00835326"/>
    <w:rsid w:val="008353C5"/>
    <w:rsid w:val="008367B9"/>
    <w:rsid w:val="00836AC6"/>
    <w:rsid w:val="00836E15"/>
    <w:rsid w:val="008377D8"/>
    <w:rsid w:val="00837882"/>
    <w:rsid w:val="00837F73"/>
    <w:rsid w:val="00842F85"/>
    <w:rsid w:val="008431C6"/>
    <w:rsid w:val="0084440B"/>
    <w:rsid w:val="0084589D"/>
    <w:rsid w:val="00845BB4"/>
    <w:rsid w:val="008462EA"/>
    <w:rsid w:val="00846FD1"/>
    <w:rsid w:val="00847C0F"/>
    <w:rsid w:val="00847F2D"/>
    <w:rsid w:val="008508B0"/>
    <w:rsid w:val="00850CDE"/>
    <w:rsid w:val="00851DA3"/>
    <w:rsid w:val="00851EC3"/>
    <w:rsid w:val="00851EFD"/>
    <w:rsid w:val="00852749"/>
    <w:rsid w:val="00852E7A"/>
    <w:rsid w:val="00854127"/>
    <w:rsid w:val="008541BD"/>
    <w:rsid w:val="008545CF"/>
    <w:rsid w:val="00854CE0"/>
    <w:rsid w:val="00855467"/>
    <w:rsid w:val="008558F4"/>
    <w:rsid w:val="00855C82"/>
    <w:rsid w:val="00856526"/>
    <w:rsid w:val="008569D1"/>
    <w:rsid w:val="00857C40"/>
    <w:rsid w:val="00857D66"/>
    <w:rsid w:val="008604B3"/>
    <w:rsid w:val="0086065E"/>
    <w:rsid w:val="00860C1D"/>
    <w:rsid w:val="00860D44"/>
    <w:rsid w:val="00861777"/>
    <w:rsid w:val="008618BC"/>
    <w:rsid w:val="008625CF"/>
    <w:rsid w:val="008631A9"/>
    <w:rsid w:val="00863B1E"/>
    <w:rsid w:val="00864304"/>
    <w:rsid w:val="008644AA"/>
    <w:rsid w:val="00865EA5"/>
    <w:rsid w:val="00870412"/>
    <w:rsid w:val="00871286"/>
    <w:rsid w:val="0087150C"/>
    <w:rsid w:val="008715D7"/>
    <w:rsid w:val="0087317F"/>
    <w:rsid w:val="00873488"/>
    <w:rsid w:val="00873586"/>
    <w:rsid w:val="00873B3D"/>
    <w:rsid w:val="008746CF"/>
    <w:rsid w:val="008747AD"/>
    <w:rsid w:val="00874861"/>
    <w:rsid w:val="00874E4B"/>
    <w:rsid w:val="00876C60"/>
    <w:rsid w:val="008771F7"/>
    <w:rsid w:val="00877736"/>
    <w:rsid w:val="00880506"/>
    <w:rsid w:val="0088114A"/>
    <w:rsid w:val="00881535"/>
    <w:rsid w:val="00881758"/>
    <w:rsid w:val="0088237B"/>
    <w:rsid w:val="00882863"/>
    <w:rsid w:val="00882DFA"/>
    <w:rsid w:val="0088455D"/>
    <w:rsid w:val="00885399"/>
    <w:rsid w:val="008854F6"/>
    <w:rsid w:val="0088551C"/>
    <w:rsid w:val="0088566E"/>
    <w:rsid w:val="00887615"/>
    <w:rsid w:val="00890576"/>
    <w:rsid w:val="00890A11"/>
    <w:rsid w:val="0089140B"/>
    <w:rsid w:val="008919D8"/>
    <w:rsid w:val="00891C32"/>
    <w:rsid w:val="00891D81"/>
    <w:rsid w:val="0089299B"/>
    <w:rsid w:val="00892F7A"/>
    <w:rsid w:val="0089332E"/>
    <w:rsid w:val="00893463"/>
    <w:rsid w:val="00893902"/>
    <w:rsid w:val="0089431F"/>
    <w:rsid w:val="00894DCB"/>
    <w:rsid w:val="00894FBE"/>
    <w:rsid w:val="00895B32"/>
    <w:rsid w:val="00896169"/>
    <w:rsid w:val="00896671"/>
    <w:rsid w:val="00897794"/>
    <w:rsid w:val="008A00B6"/>
    <w:rsid w:val="008A01F2"/>
    <w:rsid w:val="008A040A"/>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743"/>
    <w:rsid w:val="008B1D38"/>
    <w:rsid w:val="008B280C"/>
    <w:rsid w:val="008B304A"/>
    <w:rsid w:val="008B325C"/>
    <w:rsid w:val="008B32A3"/>
    <w:rsid w:val="008B3FF9"/>
    <w:rsid w:val="008B4271"/>
    <w:rsid w:val="008B4641"/>
    <w:rsid w:val="008B4866"/>
    <w:rsid w:val="008B5137"/>
    <w:rsid w:val="008B5D25"/>
    <w:rsid w:val="008B6294"/>
    <w:rsid w:val="008B6D7A"/>
    <w:rsid w:val="008C0197"/>
    <w:rsid w:val="008C07D0"/>
    <w:rsid w:val="008C0B7B"/>
    <w:rsid w:val="008C0BCA"/>
    <w:rsid w:val="008C1FAE"/>
    <w:rsid w:val="008C203D"/>
    <w:rsid w:val="008C2336"/>
    <w:rsid w:val="008C29B2"/>
    <w:rsid w:val="008C34A9"/>
    <w:rsid w:val="008C34F3"/>
    <w:rsid w:val="008C466B"/>
    <w:rsid w:val="008C5388"/>
    <w:rsid w:val="008C5F6D"/>
    <w:rsid w:val="008C69AD"/>
    <w:rsid w:val="008C69BC"/>
    <w:rsid w:val="008C741E"/>
    <w:rsid w:val="008C7486"/>
    <w:rsid w:val="008D08A4"/>
    <w:rsid w:val="008D0F5E"/>
    <w:rsid w:val="008D45B3"/>
    <w:rsid w:val="008D556A"/>
    <w:rsid w:val="008D5696"/>
    <w:rsid w:val="008D619E"/>
    <w:rsid w:val="008D6A6A"/>
    <w:rsid w:val="008D6BAE"/>
    <w:rsid w:val="008E0D8F"/>
    <w:rsid w:val="008E128C"/>
    <w:rsid w:val="008E1C9B"/>
    <w:rsid w:val="008E1FB7"/>
    <w:rsid w:val="008E3B40"/>
    <w:rsid w:val="008E55CE"/>
    <w:rsid w:val="008E5CC0"/>
    <w:rsid w:val="008E601C"/>
    <w:rsid w:val="008E626D"/>
    <w:rsid w:val="008E7329"/>
    <w:rsid w:val="008E7CA7"/>
    <w:rsid w:val="008F0ABD"/>
    <w:rsid w:val="008F156B"/>
    <w:rsid w:val="008F191F"/>
    <w:rsid w:val="008F2F0A"/>
    <w:rsid w:val="008F30EB"/>
    <w:rsid w:val="008F3344"/>
    <w:rsid w:val="008F4853"/>
    <w:rsid w:val="008F55C0"/>
    <w:rsid w:val="008F5751"/>
    <w:rsid w:val="008F5B0A"/>
    <w:rsid w:val="008F5EA9"/>
    <w:rsid w:val="008F646D"/>
    <w:rsid w:val="008F7C2F"/>
    <w:rsid w:val="00900130"/>
    <w:rsid w:val="00900C0A"/>
    <w:rsid w:val="00901034"/>
    <w:rsid w:val="00901CCB"/>
    <w:rsid w:val="009024D7"/>
    <w:rsid w:val="0090254C"/>
    <w:rsid w:val="00902D20"/>
    <w:rsid w:val="0090353E"/>
    <w:rsid w:val="0090392D"/>
    <w:rsid w:val="00904BBE"/>
    <w:rsid w:val="00904D25"/>
    <w:rsid w:val="00904E04"/>
    <w:rsid w:val="009055B5"/>
    <w:rsid w:val="00906450"/>
    <w:rsid w:val="0090683B"/>
    <w:rsid w:val="009076C9"/>
    <w:rsid w:val="00907B80"/>
    <w:rsid w:val="00910CA5"/>
    <w:rsid w:val="00911600"/>
    <w:rsid w:val="009121EE"/>
    <w:rsid w:val="00912854"/>
    <w:rsid w:val="0091461A"/>
    <w:rsid w:val="00915CE8"/>
    <w:rsid w:val="00916EA1"/>
    <w:rsid w:val="00916F91"/>
    <w:rsid w:val="00917CA5"/>
    <w:rsid w:val="00920A83"/>
    <w:rsid w:val="00922085"/>
    <w:rsid w:val="0092319C"/>
    <w:rsid w:val="00923573"/>
    <w:rsid w:val="00923DBC"/>
    <w:rsid w:val="0092432A"/>
    <w:rsid w:val="0092473A"/>
    <w:rsid w:val="00924D5F"/>
    <w:rsid w:val="00925380"/>
    <w:rsid w:val="00925B41"/>
    <w:rsid w:val="00925F6E"/>
    <w:rsid w:val="00926535"/>
    <w:rsid w:val="00926E63"/>
    <w:rsid w:val="00926FCA"/>
    <w:rsid w:val="00927160"/>
    <w:rsid w:val="00927A54"/>
    <w:rsid w:val="00930568"/>
    <w:rsid w:val="009310F2"/>
    <w:rsid w:val="00931BB4"/>
    <w:rsid w:val="00932284"/>
    <w:rsid w:val="00933AF5"/>
    <w:rsid w:val="00933E5C"/>
    <w:rsid w:val="009340F4"/>
    <w:rsid w:val="00934291"/>
    <w:rsid w:val="00935AF5"/>
    <w:rsid w:val="00935EDE"/>
    <w:rsid w:val="00935F64"/>
    <w:rsid w:val="00940C05"/>
    <w:rsid w:val="00943C7C"/>
    <w:rsid w:val="00944860"/>
    <w:rsid w:val="00944CB1"/>
    <w:rsid w:val="00944D93"/>
    <w:rsid w:val="00945B2A"/>
    <w:rsid w:val="00945B4F"/>
    <w:rsid w:val="00947CCD"/>
    <w:rsid w:val="00951737"/>
    <w:rsid w:val="009518B9"/>
    <w:rsid w:val="00952047"/>
    <w:rsid w:val="0095238C"/>
    <w:rsid w:val="00953021"/>
    <w:rsid w:val="009539D5"/>
    <w:rsid w:val="00954802"/>
    <w:rsid w:val="00954D23"/>
    <w:rsid w:val="00955131"/>
    <w:rsid w:val="0095513A"/>
    <w:rsid w:val="00956987"/>
    <w:rsid w:val="00956C0F"/>
    <w:rsid w:val="00957CE3"/>
    <w:rsid w:val="00961031"/>
    <w:rsid w:val="009615C0"/>
    <w:rsid w:val="00961F6F"/>
    <w:rsid w:val="00963200"/>
    <w:rsid w:val="009634A8"/>
    <w:rsid w:val="009636EF"/>
    <w:rsid w:val="00963865"/>
    <w:rsid w:val="00963AF7"/>
    <w:rsid w:val="00964061"/>
    <w:rsid w:val="00964747"/>
    <w:rsid w:val="009647DE"/>
    <w:rsid w:val="00965BE5"/>
    <w:rsid w:val="00965D6D"/>
    <w:rsid w:val="00966B62"/>
    <w:rsid w:val="0096715D"/>
    <w:rsid w:val="0096721E"/>
    <w:rsid w:val="00967499"/>
    <w:rsid w:val="009678CB"/>
    <w:rsid w:val="00967A83"/>
    <w:rsid w:val="00967E9A"/>
    <w:rsid w:val="009700F7"/>
    <w:rsid w:val="00970CAA"/>
    <w:rsid w:val="00970D15"/>
    <w:rsid w:val="009717E4"/>
    <w:rsid w:val="00971861"/>
    <w:rsid w:val="00972C4F"/>
    <w:rsid w:val="00972FF8"/>
    <w:rsid w:val="00973B22"/>
    <w:rsid w:val="00974B5C"/>
    <w:rsid w:val="00974BA8"/>
    <w:rsid w:val="00975438"/>
    <w:rsid w:val="00975AAB"/>
    <w:rsid w:val="009763A2"/>
    <w:rsid w:val="0097652A"/>
    <w:rsid w:val="009768B0"/>
    <w:rsid w:val="00980C1A"/>
    <w:rsid w:val="0098119B"/>
    <w:rsid w:val="00981E54"/>
    <w:rsid w:val="009823A0"/>
    <w:rsid w:val="009823A4"/>
    <w:rsid w:val="0098352A"/>
    <w:rsid w:val="00983D97"/>
    <w:rsid w:val="00984EE9"/>
    <w:rsid w:val="0098535F"/>
    <w:rsid w:val="00985785"/>
    <w:rsid w:val="00985CD7"/>
    <w:rsid w:val="00986239"/>
    <w:rsid w:val="0098653C"/>
    <w:rsid w:val="009865D9"/>
    <w:rsid w:val="00986D20"/>
    <w:rsid w:val="00986D76"/>
    <w:rsid w:val="00987989"/>
    <w:rsid w:val="0099002E"/>
    <w:rsid w:val="00992ADB"/>
    <w:rsid w:val="009937FC"/>
    <w:rsid w:val="00995784"/>
    <w:rsid w:val="0099630D"/>
    <w:rsid w:val="0099634D"/>
    <w:rsid w:val="009966CE"/>
    <w:rsid w:val="00997714"/>
    <w:rsid w:val="009A0F2E"/>
    <w:rsid w:val="009A23D1"/>
    <w:rsid w:val="009A2623"/>
    <w:rsid w:val="009A26B4"/>
    <w:rsid w:val="009A2CA5"/>
    <w:rsid w:val="009A36B8"/>
    <w:rsid w:val="009A36C9"/>
    <w:rsid w:val="009A3F4F"/>
    <w:rsid w:val="009A41E9"/>
    <w:rsid w:val="009A5014"/>
    <w:rsid w:val="009A58D9"/>
    <w:rsid w:val="009A6C48"/>
    <w:rsid w:val="009A6F18"/>
    <w:rsid w:val="009B0A76"/>
    <w:rsid w:val="009B0EBD"/>
    <w:rsid w:val="009B24A4"/>
    <w:rsid w:val="009B2621"/>
    <w:rsid w:val="009B34E3"/>
    <w:rsid w:val="009B38A3"/>
    <w:rsid w:val="009B50F1"/>
    <w:rsid w:val="009B6D2B"/>
    <w:rsid w:val="009C0007"/>
    <w:rsid w:val="009C0924"/>
    <w:rsid w:val="009C270D"/>
    <w:rsid w:val="009C2A4C"/>
    <w:rsid w:val="009C2CB0"/>
    <w:rsid w:val="009C3B75"/>
    <w:rsid w:val="009C3E28"/>
    <w:rsid w:val="009C4064"/>
    <w:rsid w:val="009C434F"/>
    <w:rsid w:val="009C43F3"/>
    <w:rsid w:val="009C460B"/>
    <w:rsid w:val="009C4AC7"/>
    <w:rsid w:val="009C4B14"/>
    <w:rsid w:val="009C4CE2"/>
    <w:rsid w:val="009C4FC4"/>
    <w:rsid w:val="009C63EB"/>
    <w:rsid w:val="009C65CF"/>
    <w:rsid w:val="009C7251"/>
    <w:rsid w:val="009C7D4B"/>
    <w:rsid w:val="009D037F"/>
    <w:rsid w:val="009D076A"/>
    <w:rsid w:val="009D194F"/>
    <w:rsid w:val="009D1F58"/>
    <w:rsid w:val="009D24BE"/>
    <w:rsid w:val="009D2930"/>
    <w:rsid w:val="009D2AE5"/>
    <w:rsid w:val="009D2CF3"/>
    <w:rsid w:val="009D37F9"/>
    <w:rsid w:val="009D3921"/>
    <w:rsid w:val="009D3CBC"/>
    <w:rsid w:val="009D47EF"/>
    <w:rsid w:val="009D4AD8"/>
    <w:rsid w:val="009D4B56"/>
    <w:rsid w:val="009D4C64"/>
    <w:rsid w:val="009D6C33"/>
    <w:rsid w:val="009D7273"/>
    <w:rsid w:val="009D773E"/>
    <w:rsid w:val="009D7C39"/>
    <w:rsid w:val="009E0981"/>
    <w:rsid w:val="009E114C"/>
    <w:rsid w:val="009E230A"/>
    <w:rsid w:val="009E3C16"/>
    <w:rsid w:val="009E4DD0"/>
    <w:rsid w:val="009E7B97"/>
    <w:rsid w:val="009F00F6"/>
    <w:rsid w:val="009F09F3"/>
    <w:rsid w:val="009F0E84"/>
    <w:rsid w:val="009F130C"/>
    <w:rsid w:val="009F2D54"/>
    <w:rsid w:val="009F2F92"/>
    <w:rsid w:val="009F3395"/>
    <w:rsid w:val="009F36DF"/>
    <w:rsid w:val="009F4163"/>
    <w:rsid w:val="009F50DD"/>
    <w:rsid w:val="009F6DDF"/>
    <w:rsid w:val="009F70B8"/>
    <w:rsid w:val="00A009B3"/>
    <w:rsid w:val="00A00ABA"/>
    <w:rsid w:val="00A00C92"/>
    <w:rsid w:val="00A02691"/>
    <w:rsid w:val="00A02788"/>
    <w:rsid w:val="00A03272"/>
    <w:rsid w:val="00A06AAB"/>
    <w:rsid w:val="00A078F5"/>
    <w:rsid w:val="00A07E1C"/>
    <w:rsid w:val="00A111C3"/>
    <w:rsid w:val="00A11238"/>
    <w:rsid w:val="00A11FCC"/>
    <w:rsid w:val="00A12825"/>
    <w:rsid w:val="00A12B21"/>
    <w:rsid w:val="00A12E36"/>
    <w:rsid w:val="00A13146"/>
    <w:rsid w:val="00A1481C"/>
    <w:rsid w:val="00A14F05"/>
    <w:rsid w:val="00A14FA1"/>
    <w:rsid w:val="00A157A3"/>
    <w:rsid w:val="00A16207"/>
    <w:rsid w:val="00A163EA"/>
    <w:rsid w:val="00A1667D"/>
    <w:rsid w:val="00A16F5C"/>
    <w:rsid w:val="00A174BA"/>
    <w:rsid w:val="00A174EE"/>
    <w:rsid w:val="00A17AD1"/>
    <w:rsid w:val="00A17E5E"/>
    <w:rsid w:val="00A200BF"/>
    <w:rsid w:val="00A202E6"/>
    <w:rsid w:val="00A2039D"/>
    <w:rsid w:val="00A2144C"/>
    <w:rsid w:val="00A2227D"/>
    <w:rsid w:val="00A2279E"/>
    <w:rsid w:val="00A23769"/>
    <w:rsid w:val="00A24EAE"/>
    <w:rsid w:val="00A25699"/>
    <w:rsid w:val="00A25723"/>
    <w:rsid w:val="00A25A39"/>
    <w:rsid w:val="00A27BCB"/>
    <w:rsid w:val="00A304D0"/>
    <w:rsid w:val="00A30ED2"/>
    <w:rsid w:val="00A31E9A"/>
    <w:rsid w:val="00A333A6"/>
    <w:rsid w:val="00A33719"/>
    <w:rsid w:val="00A345A7"/>
    <w:rsid w:val="00A35B59"/>
    <w:rsid w:val="00A368B3"/>
    <w:rsid w:val="00A371EB"/>
    <w:rsid w:val="00A37CEF"/>
    <w:rsid w:val="00A37D42"/>
    <w:rsid w:val="00A40544"/>
    <w:rsid w:val="00A41E6F"/>
    <w:rsid w:val="00A425C1"/>
    <w:rsid w:val="00A42F41"/>
    <w:rsid w:val="00A431C0"/>
    <w:rsid w:val="00A43902"/>
    <w:rsid w:val="00A44124"/>
    <w:rsid w:val="00A4426D"/>
    <w:rsid w:val="00A44B7E"/>
    <w:rsid w:val="00A44FDF"/>
    <w:rsid w:val="00A450A8"/>
    <w:rsid w:val="00A452CF"/>
    <w:rsid w:val="00A460BC"/>
    <w:rsid w:val="00A51227"/>
    <w:rsid w:val="00A517BD"/>
    <w:rsid w:val="00A51F4F"/>
    <w:rsid w:val="00A52410"/>
    <w:rsid w:val="00A5330A"/>
    <w:rsid w:val="00A533C0"/>
    <w:rsid w:val="00A53BE0"/>
    <w:rsid w:val="00A55075"/>
    <w:rsid w:val="00A55120"/>
    <w:rsid w:val="00A55398"/>
    <w:rsid w:val="00A553A4"/>
    <w:rsid w:val="00A56520"/>
    <w:rsid w:val="00A60896"/>
    <w:rsid w:val="00A6117A"/>
    <w:rsid w:val="00A6177D"/>
    <w:rsid w:val="00A61C04"/>
    <w:rsid w:val="00A6310C"/>
    <w:rsid w:val="00A63A13"/>
    <w:rsid w:val="00A643F8"/>
    <w:rsid w:val="00A64462"/>
    <w:rsid w:val="00A65DD1"/>
    <w:rsid w:val="00A663EC"/>
    <w:rsid w:val="00A6760C"/>
    <w:rsid w:val="00A70557"/>
    <w:rsid w:val="00A707BE"/>
    <w:rsid w:val="00A70C31"/>
    <w:rsid w:val="00A712CE"/>
    <w:rsid w:val="00A71DB5"/>
    <w:rsid w:val="00A7243D"/>
    <w:rsid w:val="00A729A6"/>
    <w:rsid w:val="00A7346F"/>
    <w:rsid w:val="00A74C39"/>
    <w:rsid w:val="00A75C0F"/>
    <w:rsid w:val="00A760F3"/>
    <w:rsid w:val="00A776C2"/>
    <w:rsid w:val="00A776D1"/>
    <w:rsid w:val="00A77E09"/>
    <w:rsid w:val="00A816AF"/>
    <w:rsid w:val="00A81720"/>
    <w:rsid w:val="00A818E4"/>
    <w:rsid w:val="00A81FDD"/>
    <w:rsid w:val="00A82331"/>
    <w:rsid w:val="00A82B19"/>
    <w:rsid w:val="00A83C04"/>
    <w:rsid w:val="00A83ED1"/>
    <w:rsid w:val="00A84DE6"/>
    <w:rsid w:val="00A85129"/>
    <w:rsid w:val="00A85345"/>
    <w:rsid w:val="00A87111"/>
    <w:rsid w:val="00A9066E"/>
    <w:rsid w:val="00A90D15"/>
    <w:rsid w:val="00A90F3D"/>
    <w:rsid w:val="00A92878"/>
    <w:rsid w:val="00A929A2"/>
    <w:rsid w:val="00A92FE9"/>
    <w:rsid w:val="00A93DF7"/>
    <w:rsid w:val="00A94383"/>
    <w:rsid w:val="00A9448C"/>
    <w:rsid w:val="00A94545"/>
    <w:rsid w:val="00A95A20"/>
    <w:rsid w:val="00A96F32"/>
    <w:rsid w:val="00A9721B"/>
    <w:rsid w:val="00A97B23"/>
    <w:rsid w:val="00AA0635"/>
    <w:rsid w:val="00AA1412"/>
    <w:rsid w:val="00AA162D"/>
    <w:rsid w:val="00AA21C4"/>
    <w:rsid w:val="00AA2A40"/>
    <w:rsid w:val="00AA3173"/>
    <w:rsid w:val="00AA36ED"/>
    <w:rsid w:val="00AA37B5"/>
    <w:rsid w:val="00AA4899"/>
    <w:rsid w:val="00AA48B5"/>
    <w:rsid w:val="00AA5262"/>
    <w:rsid w:val="00AA5AB7"/>
    <w:rsid w:val="00AA5BE3"/>
    <w:rsid w:val="00AA77EF"/>
    <w:rsid w:val="00AB019A"/>
    <w:rsid w:val="00AB22B2"/>
    <w:rsid w:val="00AB2877"/>
    <w:rsid w:val="00AB2EC6"/>
    <w:rsid w:val="00AB2F06"/>
    <w:rsid w:val="00AB315D"/>
    <w:rsid w:val="00AB3E95"/>
    <w:rsid w:val="00AB4502"/>
    <w:rsid w:val="00AB689D"/>
    <w:rsid w:val="00AB7491"/>
    <w:rsid w:val="00AB7519"/>
    <w:rsid w:val="00AB79CA"/>
    <w:rsid w:val="00AB7A7D"/>
    <w:rsid w:val="00AC0487"/>
    <w:rsid w:val="00AC1E7A"/>
    <w:rsid w:val="00AC2E6C"/>
    <w:rsid w:val="00AC4151"/>
    <w:rsid w:val="00AC5372"/>
    <w:rsid w:val="00AC59C2"/>
    <w:rsid w:val="00AC656E"/>
    <w:rsid w:val="00AC6680"/>
    <w:rsid w:val="00AC6B32"/>
    <w:rsid w:val="00AC6CEC"/>
    <w:rsid w:val="00AC6EAD"/>
    <w:rsid w:val="00AC7C73"/>
    <w:rsid w:val="00AD26BD"/>
    <w:rsid w:val="00AD3A05"/>
    <w:rsid w:val="00AD3AEF"/>
    <w:rsid w:val="00AD3E0E"/>
    <w:rsid w:val="00AD3E99"/>
    <w:rsid w:val="00AD440A"/>
    <w:rsid w:val="00AD50F5"/>
    <w:rsid w:val="00AD554D"/>
    <w:rsid w:val="00AD59DD"/>
    <w:rsid w:val="00AD60F3"/>
    <w:rsid w:val="00AD62B6"/>
    <w:rsid w:val="00AD6676"/>
    <w:rsid w:val="00AD67B3"/>
    <w:rsid w:val="00AD68C8"/>
    <w:rsid w:val="00AD6C4D"/>
    <w:rsid w:val="00AD79BB"/>
    <w:rsid w:val="00AE0021"/>
    <w:rsid w:val="00AE0E2E"/>
    <w:rsid w:val="00AE1841"/>
    <w:rsid w:val="00AE2231"/>
    <w:rsid w:val="00AE2348"/>
    <w:rsid w:val="00AE24DA"/>
    <w:rsid w:val="00AE25A2"/>
    <w:rsid w:val="00AE25BC"/>
    <w:rsid w:val="00AE283B"/>
    <w:rsid w:val="00AE39D0"/>
    <w:rsid w:val="00AE4C8C"/>
    <w:rsid w:val="00AE4E4F"/>
    <w:rsid w:val="00AE5231"/>
    <w:rsid w:val="00AE588D"/>
    <w:rsid w:val="00AE5D50"/>
    <w:rsid w:val="00AE624F"/>
    <w:rsid w:val="00AE63E4"/>
    <w:rsid w:val="00AE7A44"/>
    <w:rsid w:val="00AE7B48"/>
    <w:rsid w:val="00AF007F"/>
    <w:rsid w:val="00AF1536"/>
    <w:rsid w:val="00AF1A4C"/>
    <w:rsid w:val="00AF2B90"/>
    <w:rsid w:val="00AF4BC0"/>
    <w:rsid w:val="00AF4CF2"/>
    <w:rsid w:val="00AF4F99"/>
    <w:rsid w:val="00AF501B"/>
    <w:rsid w:val="00AF51FA"/>
    <w:rsid w:val="00AF56ED"/>
    <w:rsid w:val="00AF62F4"/>
    <w:rsid w:val="00AF6473"/>
    <w:rsid w:val="00AF75D5"/>
    <w:rsid w:val="00AF7CBB"/>
    <w:rsid w:val="00AF7F4D"/>
    <w:rsid w:val="00B00065"/>
    <w:rsid w:val="00B01DF9"/>
    <w:rsid w:val="00B01EDB"/>
    <w:rsid w:val="00B028FA"/>
    <w:rsid w:val="00B03C25"/>
    <w:rsid w:val="00B04490"/>
    <w:rsid w:val="00B0491A"/>
    <w:rsid w:val="00B05ECB"/>
    <w:rsid w:val="00B067AF"/>
    <w:rsid w:val="00B10129"/>
    <w:rsid w:val="00B1026B"/>
    <w:rsid w:val="00B1062B"/>
    <w:rsid w:val="00B10F2A"/>
    <w:rsid w:val="00B11B90"/>
    <w:rsid w:val="00B11D89"/>
    <w:rsid w:val="00B121C0"/>
    <w:rsid w:val="00B12FBB"/>
    <w:rsid w:val="00B14699"/>
    <w:rsid w:val="00B14D9F"/>
    <w:rsid w:val="00B14DB1"/>
    <w:rsid w:val="00B156B7"/>
    <w:rsid w:val="00B1585A"/>
    <w:rsid w:val="00B15F1B"/>
    <w:rsid w:val="00B16181"/>
    <w:rsid w:val="00B16D73"/>
    <w:rsid w:val="00B17BE7"/>
    <w:rsid w:val="00B204F6"/>
    <w:rsid w:val="00B21F71"/>
    <w:rsid w:val="00B22797"/>
    <w:rsid w:val="00B22D45"/>
    <w:rsid w:val="00B234EC"/>
    <w:rsid w:val="00B238C9"/>
    <w:rsid w:val="00B248C2"/>
    <w:rsid w:val="00B27178"/>
    <w:rsid w:val="00B2717C"/>
    <w:rsid w:val="00B27414"/>
    <w:rsid w:val="00B275B5"/>
    <w:rsid w:val="00B30445"/>
    <w:rsid w:val="00B3092D"/>
    <w:rsid w:val="00B30A4B"/>
    <w:rsid w:val="00B30B15"/>
    <w:rsid w:val="00B31853"/>
    <w:rsid w:val="00B3191E"/>
    <w:rsid w:val="00B31E1E"/>
    <w:rsid w:val="00B32204"/>
    <w:rsid w:val="00B333E1"/>
    <w:rsid w:val="00B33583"/>
    <w:rsid w:val="00B33DB2"/>
    <w:rsid w:val="00B33F8E"/>
    <w:rsid w:val="00B3407F"/>
    <w:rsid w:val="00B345D2"/>
    <w:rsid w:val="00B35148"/>
    <w:rsid w:val="00B3569F"/>
    <w:rsid w:val="00B364AD"/>
    <w:rsid w:val="00B36740"/>
    <w:rsid w:val="00B3716B"/>
    <w:rsid w:val="00B37DE4"/>
    <w:rsid w:val="00B40FE7"/>
    <w:rsid w:val="00B41E4B"/>
    <w:rsid w:val="00B430A5"/>
    <w:rsid w:val="00B4365F"/>
    <w:rsid w:val="00B43B2F"/>
    <w:rsid w:val="00B44A73"/>
    <w:rsid w:val="00B44C10"/>
    <w:rsid w:val="00B454E1"/>
    <w:rsid w:val="00B46EFE"/>
    <w:rsid w:val="00B473B8"/>
    <w:rsid w:val="00B47636"/>
    <w:rsid w:val="00B5082C"/>
    <w:rsid w:val="00B5187F"/>
    <w:rsid w:val="00B52206"/>
    <w:rsid w:val="00B53D03"/>
    <w:rsid w:val="00B54855"/>
    <w:rsid w:val="00B55359"/>
    <w:rsid w:val="00B557E1"/>
    <w:rsid w:val="00B558D1"/>
    <w:rsid w:val="00B56207"/>
    <w:rsid w:val="00B56D7A"/>
    <w:rsid w:val="00B57711"/>
    <w:rsid w:val="00B61369"/>
    <w:rsid w:val="00B61778"/>
    <w:rsid w:val="00B62E79"/>
    <w:rsid w:val="00B6367F"/>
    <w:rsid w:val="00B64716"/>
    <w:rsid w:val="00B649ED"/>
    <w:rsid w:val="00B64E56"/>
    <w:rsid w:val="00B64FA6"/>
    <w:rsid w:val="00B65533"/>
    <w:rsid w:val="00B66C2B"/>
    <w:rsid w:val="00B70A6C"/>
    <w:rsid w:val="00B70A74"/>
    <w:rsid w:val="00B712BB"/>
    <w:rsid w:val="00B7175B"/>
    <w:rsid w:val="00B718C5"/>
    <w:rsid w:val="00B72CBC"/>
    <w:rsid w:val="00B72CDE"/>
    <w:rsid w:val="00B730D5"/>
    <w:rsid w:val="00B73D09"/>
    <w:rsid w:val="00B7416C"/>
    <w:rsid w:val="00B74604"/>
    <w:rsid w:val="00B74862"/>
    <w:rsid w:val="00B75904"/>
    <w:rsid w:val="00B760E3"/>
    <w:rsid w:val="00B80280"/>
    <w:rsid w:val="00B80B44"/>
    <w:rsid w:val="00B80D4C"/>
    <w:rsid w:val="00B81F41"/>
    <w:rsid w:val="00B82263"/>
    <w:rsid w:val="00B829A2"/>
    <w:rsid w:val="00B82BD0"/>
    <w:rsid w:val="00B82C93"/>
    <w:rsid w:val="00B82F8E"/>
    <w:rsid w:val="00B83441"/>
    <w:rsid w:val="00B84396"/>
    <w:rsid w:val="00B845A2"/>
    <w:rsid w:val="00B84611"/>
    <w:rsid w:val="00B84E0E"/>
    <w:rsid w:val="00B84FB9"/>
    <w:rsid w:val="00B85493"/>
    <w:rsid w:val="00B85D6B"/>
    <w:rsid w:val="00B8726C"/>
    <w:rsid w:val="00B87793"/>
    <w:rsid w:val="00B879AD"/>
    <w:rsid w:val="00B87AFC"/>
    <w:rsid w:val="00B915B7"/>
    <w:rsid w:val="00B91B44"/>
    <w:rsid w:val="00B91C34"/>
    <w:rsid w:val="00B9224A"/>
    <w:rsid w:val="00B9228D"/>
    <w:rsid w:val="00B9249D"/>
    <w:rsid w:val="00B924C1"/>
    <w:rsid w:val="00B928A6"/>
    <w:rsid w:val="00B92B28"/>
    <w:rsid w:val="00B9378D"/>
    <w:rsid w:val="00B9428F"/>
    <w:rsid w:val="00B94C5B"/>
    <w:rsid w:val="00B94C69"/>
    <w:rsid w:val="00B966D0"/>
    <w:rsid w:val="00B969DD"/>
    <w:rsid w:val="00B97E0C"/>
    <w:rsid w:val="00BA03D4"/>
    <w:rsid w:val="00BA0B77"/>
    <w:rsid w:val="00BA0EF1"/>
    <w:rsid w:val="00BA26B6"/>
    <w:rsid w:val="00BA29C7"/>
    <w:rsid w:val="00BA2CE6"/>
    <w:rsid w:val="00BA3BF9"/>
    <w:rsid w:val="00BA3F9C"/>
    <w:rsid w:val="00BA4D58"/>
    <w:rsid w:val="00BA5C2F"/>
    <w:rsid w:val="00BA6488"/>
    <w:rsid w:val="00BA6830"/>
    <w:rsid w:val="00BA6CA3"/>
    <w:rsid w:val="00BA74AB"/>
    <w:rsid w:val="00BA789B"/>
    <w:rsid w:val="00BA7F0D"/>
    <w:rsid w:val="00BB0786"/>
    <w:rsid w:val="00BB101A"/>
    <w:rsid w:val="00BB2296"/>
    <w:rsid w:val="00BB2D98"/>
    <w:rsid w:val="00BB3443"/>
    <w:rsid w:val="00BB4383"/>
    <w:rsid w:val="00BB43C3"/>
    <w:rsid w:val="00BB49C3"/>
    <w:rsid w:val="00BB53C1"/>
    <w:rsid w:val="00BB639A"/>
    <w:rsid w:val="00BB6CDC"/>
    <w:rsid w:val="00BB713F"/>
    <w:rsid w:val="00BC03DE"/>
    <w:rsid w:val="00BC2790"/>
    <w:rsid w:val="00BC2AE0"/>
    <w:rsid w:val="00BC3892"/>
    <w:rsid w:val="00BC4BD9"/>
    <w:rsid w:val="00BC4E9C"/>
    <w:rsid w:val="00BC5356"/>
    <w:rsid w:val="00BC58C9"/>
    <w:rsid w:val="00BC5BCB"/>
    <w:rsid w:val="00BC5F7D"/>
    <w:rsid w:val="00BC746F"/>
    <w:rsid w:val="00BD0221"/>
    <w:rsid w:val="00BD0B37"/>
    <w:rsid w:val="00BD0E48"/>
    <w:rsid w:val="00BD1CD8"/>
    <w:rsid w:val="00BD2F8E"/>
    <w:rsid w:val="00BD30D5"/>
    <w:rsid w:val="00BD3281"/>
    <w:rsid w:val="00BD535D"/>
    <w:rsid w:val="00BD538C"/>
    <w:rsid w:val="00BD59D4"/>
    <w:rsid w:val="00BD5B33"/>
    <w:rsid w:val="00BD6083"/>
    <w:rsid w:val="00BD608A"/>
    <w:rsid w:val="00BD60D9"/>
    <w:rsid w:val="00BD683C"/>
    <w:rsid w:val="00BD79ED"/>
    <w:rsid w:val="00BE04D0"/>
    <w:rsid w:val="00BE0DE5"/>
    <w:rsid w:val="00BE0F85"/>
    <w:rsid w:val="00BE16CE"/>
    <w:rsid w:val="00BE1D2C"/>
    <w:rsid w:val="00BE1F84"/>
    <w:rsid w:val="00BE270B"/>
    <w:rsid w:val="00BE5B39"/>
    <w:rsid w:val="00BE6456"/>
    <w:rsid w:val="00BE6784"/>
    <w:rsid w:val="00BE7CF6"/>
    <w:rsid w:val="00BF10A8"/>
    <w:rsid w:val="00BF14A0"/>
    <w:rsid w:val="00BF26D7"/>
    <w:rsid w:val="00BF3228"/>
    <w:rsid w:val="00BF3238"/>
    <w:rsid w:val="00BF3260"/>
    <w:rsid w:val="00BF32DC"/>
    <w:rsid w:val="00BF3B1C"/>
    <w:rsid w:val="00BF4BDF"/>
    <w:rsid w:val="00C00816"/>
    <w:rsid w:val="00C014BE"/>
    <w:rsid w:val="00C01702"/>
    <w:rsid w:val="00C0190A"/>
    <w:rsid w:val="00C01ABD"/>
    <w:rsid w:val="00C021A4"/>
    <w:rsid w:val="00C0335F"/>
    <w:rsid w:val="00C03999"/>
    <w:rsid w:val="00C04E1F"/>
    <w:rsid w:val="00C05505"/>
    <w:rsid w:val="00C05E35"/>
    <w:rsid w:val="00C06A89"/>
    <w:rsid w:val="00C06CFB"/>
    <w:rsid w:val="00C07063"/>
    <w:rsid w:val="00C07C97"/>
    <w:rsid w:val="00C112EE"/>
    <w:rsid w:val="00C11313"/>
    <w:rsid w:val="00C11FA6"/>
    <w:rsid w:val="00C121EC"/>
    <w:rsid w:val="00C126AC"/>
    <w:rsid w:val="00C129A2"/>
    <w:rsid w:val="00C12D8D"/>
    <w:rsid w:val="00C14070"/>
    <w:rsid w:val="00C147DD"/>
    <w:rsid w:val="00C149B9"/>
    <w:rsid w:val="00C1548D"/>
    <w:rsid w:val="00C15D3E"/>
    <w:rsid w:val="00C1621B"/>
    <w:rsid w:val="00C166FB"/>
    <w:rsid w:val="00C167EF"/>
    <w:rsid w:val="00C16869"/>
    <w:rsid w:val="00C16F23"/>
    <w:rsid w:val="00C17337"/>
    <w:rsid w:val="00C20444"/>
    <w:rsid w:val="00C20A4E"/>
    <w:rsid w:val="00C20EBB"/>
    <w:rsid w:val="00C21065"/>
    <w:rsid w:val="00C21185"/>
    <w:rsid w:val="00C2206E"/>
    <w:rsid w:val="00C22477"/>
    <w:rsid w:val="00C22C1A"/>
    <w:rsid w:val="00C22C27"/>
    <w:rsid w:val="00C234D3"/>
    <w:rsid w:val="00C23C53"/>
    <w:rsid w:val="00C23DD5"/>
    <w:rsid w:val="00C24157"/>
    <w:rsid w:val="00C241C7"/>
    <w:rsid w:val="00C2526D"/>
    <w:rsid w:val="00C25332"/>
    <w:rsid w:val="00C2543D"/>
    <w:rsid w:val="00C26316"/>
    <w:rsid w:val="00C26F54"/>
    <w:rsid w:val="00C26FD3"/>
    <w:rsid w:val="00C27C4F"/>
    <w:rsid w:val="00C30E68"/>
    <w:rsid w:val="00C31B96"/>
    <w:rsid w:val="00C32BB7"/>
    <w:rsid w:val="00C33E4C"/>
    <w:rsid w:val="00C3487F"/>
    <w:rsid w:val="00C34FAA"/>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166"/>
    <w:rsid w:val="00C5095B"/>
    <w:rsid w:val="00C50AF2"/>
    <w:rsid w:val="00C51006"/>
    <w:rsid w:val="00C512B2"/>
    <w:rsid w:val="00C520E6"/>
    <w:rsid w:val="00C521ED"/>
    <w:rsid w:val="00C522F3"/>
    <w:rsid w:val="00C536ED"/>
    <w:rsid w:val="00C539DD"/>
    <w:rsid w:val="00C541F9"/>
    <w:rsid w:val="00C543EE"/>
    <w:rsid w:val="00C543F3"/>
    <w:rsid w:val="00C55D19"/>
    <w:rsid w:val="00C56429"/>
    <w:rsid w:val="00C5693C"/>
    <w:rsid w:val="00C5783C"/>
    <w:rsid w:val="00C602AF"/>
    <w:rsid w:val="00C62C37"/>
    <w:rsid w:val="00C6369D"/>
    <w:rsid w:val="00C647A6"/>
    <w:rsid w:val="00C64C37"/>
    <w:rsid w:val="00C655BE"/>
    <w:rsid w:val="00C65D0E"/>
    <w:rsid w:val="00C66156"/>
    <w:rsid w:val="00C666CD"/>
    <w:rsid w:val="00C667B2"/>
    <w:rsid w:val="00C67684"/>
    <w:rsid w:val="00C679A1"/>
    <w:rsid w:val="00C67F18"/>
    <w:rsid w:val="00C7080B"/>
    <w:rsid w:val="00C70F8D"/>
    <w:rsid w:val="00C72031"/>
    <w:rsid w:val="00C725A3"/>
    <w:rsid w:val="00C7270D"/>
    <w:rsid w:val="00C72C20"/>
    <w:rsid w:val="00C72D90"/>
    <w:rsid w:val="00C730F9"/>
    <w:rsid w:val="00C74557"/>
    <w:rsid w:val="00C74C53"/>
    <w:rsid w:val="00C75B0A"/>
    <w:rsid w:val="00C75C0E"/>
    <w:rsid w:val="00C76834"/>
    <w:rsid w:val="00C8000E"/>
    <w:rsid w:val="00C8093C"/>
    <w:rsid w:val="00C80A8B"/>
    <w:rsid w:val="00C81141"/>
    <w:rsid w:val="00C8118D"/>
    <w:rsid w:val="00C82108"/>
    <w:rsid w:val="00C823D3"/>
    <w:rsid w:val="00C8314F"/>
    <w:rsid w:val="00C8376F"/>
    <w:rsid w:val="00C83C87"/>
    <w:rsid w:val="00C8449B"/>
    <w:rsid w:val="00C8642F"/>
    <w:rsid w:val="00C86596"/>
    <w:rsid w:val="00C876E4"/>
    <w:rsid w:val="00C87CDF"/>
    <w:rsid w:val="00C90962"/>
    <w:rsid w:val="00C90B07"/>
    <w:rsid w:val="00C9124D"/>
    <w:rsid w:val="00C92A40"/>
    <w:rsid w:val="00C92A53"/>
    <w:rsid w:val="00C92B48"/>
    <w:rsid w:val="00C95BD2"/>
    <w:rsid w:val="00C960EB"/>
    <w:rsid w:val="00C964D5"/>
    <w:rsid w:val="00C96962"/>
    <w:rsid w:val="00CA0A9D"/>
    <w:rsid w:val="00CA213B"/>
    <w:rsid w:val="00CA2A28"/>
    <w:rsid w:val="00CA2D27"/>
    <w:rsid w:val="00CA42C9"/>
    <w:rsid w:val="00CA4458"/>
    <w:rsid w:val="00CA45DC"/>
    <w:rsid w:val="00CA4800"/>
    <w:rsid w:val="00CA51B9"/>
    <w:rsid w:val="00CA5B37"/>
    <w:rsid w:val="00CA5B85"/>
    <w:rsid w:val="00CA7B3F"/>
    <w:rsid w:val="00CB0BC4"/>
    <w:rsid w:val="00CB263B"/>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38AE"/>
    <w:rsid w:val="00CC3AE0"/>
    <w:rsid w:val="00CC4280"/>
    <w:rsid w:val="00CC4800"/>
    <w:rsid w:val="00CC552B"/>
    <w:rsid w:val="00CC642C"/>
    <w:rsid w:val="00CC65DB"/>
    <w:rsid w:val="00CC6AD5"/>
    <w:rsid w:val="00CC71B4"/>
    <w:rsid w:val="00CD00A5"/>
    <w:rsid w:val="00CD00EF"/>
    <w:rsid w:val="00CD1331"/>
    <w:rsid w:val="00CD16A3"/>
    <w:rsid w:val="00CD2D67"/>
    <w:rsid w:val="00CD31D8"/>
    <w:rsid w:val="00CD3DBB"/>
    <w:rsid w:val="00CD455C"/>
    <w:rsid w:val="00CD4E3E"/>
    <w:rsid w:val="00CD5373"/>
    <w:rsid w:val="00CD5BC0"/>
    <w:rsid w:val="00CD5C53"/>
    <w:rsid w:val="00CD6005"/>
    <w:rsid w:val="00CD603B"/>
    <w:rsid w:val="00CD6131"/>
    <w:rsid w:val="00CD65CC"/>
    <w:rsid w:val="00CD686F"/>
    <w:rsid w:val="00CD6B27"/>
    <w:rsid w:val="00CD6B44"/>
    <w:rsid w:val="00CD6C7A"/>
    <w:rsid w:val="00CD728A"/>
    <w:rsid w:val="00CD75FB"/>
    <w:rsid w:val="00CE02DE"/>
    <w:rsid w:val="00CE1295"/>
    <w:rsid w:val="00CE13B6"/>
    <w:rsid w:val="00CE1A55"/>
    <w:rsid w:val="00CE33C6"/>
    <w:rsid w:val="00CE3862"/>
    <w:rsid w:val="00CE393F"/>
    <w:rsid w:val="00CE41E1"/>
    <w:rsid w:val="00CE5294"/>
    <w:rsid w:val="00CE6071"/>
    <w:rsid w:val="00CE7032"/>
    <w:rsid w:val="00CE7646"/>
    <w:rsid w:val="00CE7D13"/>
    <w:rsid w:val="00CF1760"/>
    <w:rsid w:val="00CF2621"/>
    <w:rsid w:val="00CF2EA3"/>
    <w:rsid w:val="00CF2ED6"/>
    <w:rsid w:val="00CF3926"/>
    <w:rsid w:val="00CF39C2"/>
    <w:rsid w:val="00CF5476"/>
    <w:rsid w:val="00CF5A08"/>
    <w:rsid w:val="00CF6C04"/>
    <w:rsid w:val="00CF7883"/>
    <w:rsid w:val="00CF7F9F"/>
    <w:rsid w:val="00D0085C"/>
    <w:rsid w:val="00D0139A"/>
    <w:rsid w:val="00D02201"/>
    <w:rsid w:val="00D02643"/>
    <w:rsid w:val="00D0393F"/>
    <w:rsid w:val="00D04334"/>
    <w:rsid w:val="00D04BF1"/>
    <w:rsid w:val="00D05B8C"/>
    <w:rsid w:val="00D06C7E"/>
    <w:rsid w:val="00D071F2"/>
    <w:rsid w:val="00D073F9"/>
    <w:rsid w:val="00D10337"/>
    <w:rsid w:val="00D10EC5"/>
    <w:rsid w:val="00D11784"/>
    <w:rsid w:val="00D1221F"/>
    <w:rsid w:val="00D126B1"/>
    <w:rsid w:val="00D1391B"/>
    <w:rsid w:val="00D14D96"/>
    <w:rsid w:val="00D160D4"/>
    <w:rsid w:val="00D1657E"/>
    <w:rsid w:val="00D173F2"/>
    <w:rsid w:val="00D2013B"/>
    <w:rsid w:val="00D207F5"/>
    <w:rsid w:val="00D20DE3"/>
    <w:rsid w:val="00D21072"/>
    <w:rsid w:val="00D21526"/>
    <w:rsid w:val="00D2187E"/>
    <w:rsid w:val="00D21F51"/>
    <w:rsid w:val="00D226A5"/>
    <w:rsid w:val="00D22BCC"/>
    <w:rsid w:val="00D25868"/>
    <w:rsid w:val="00D25AD0"/>
    <w:rsid w:val="00D25B75"/>
    <w:rsid w:val="00D25EBB"/>
    <w:rsid w:val="00D26B05"/>
    <w:rsid w:val="00D26BE3"/>
    <w:rsid w:val="00D26FC1"/>
    <w:rsid w:val="00D2712C"/>
    <w:rsid w:val="00D27A2D"/>
    <w:rsid w:val="00D31853"/>
    <w:rsid w:val="00D31956"/>
    <w:rsid w:val="00D31E4F"/>
    <w:rsid w:val="00D32B06"/>
    <w:rsid w:val="00D32D41"/>
    <w:rsid w:val="00D335DA"/>
    <w:rsid w:val="00D33996"/>
    <w:rsid w:val="00D34711"/>
    <w:rsid w:val="00D34779"/>
    <w:rsid w:val="00D34EBA"/>
    <w:rsid w:val="00D35050"/>
    <w:rsid w:val="00D352DB"/>
    <w:rsid w:val="00D3534A"/>
    <w:rsid w:val="00D35B32"/>
    <w:rsid w:val="00D36556"/>
    <w:rsid w:val="00D36C82"/>
    <w:rsid w:val="00D372E1"/>
    <w:rsid w:val="00D40100"/>
    <w:rsid w:val="00D40C39"/>
    <w:rsid w:val="00D41F92"/>
    <w:rsid w:val="00D429F0"/>
    <w:rsid w:val="00D42C8C"/>
    <w:rsid w:val="00D45057"/>
    <w:rsid w:val="00D45CAF"/>
    <w:rsid w:val="00D45EFC"/>
    <w:rsid w:val="00D4654F"/>
    <w:rsid w:val="00D467EF"/>
    <w:rsid w:val="00D51B97"/>
    <w:rsid w:val="00D523B3"/>
    <w:rsid w:val="00D52DA8"/>
    <w:rsid w:val="00D54140"/>
    <w:rsid w:val="00D54784"/>
    <w:rsid w:val="00D54942"/>
    <w:rsid w:val="00D54F7E"/>
    <w:rsid w:val="00D56336"/>
    <w:rsid w:val="00D56FAE"/>
    <w:rsid w:val="00D5718E"/>
    <w:rsid w:val="00D5771F"/>
    <w:rsid w:val="00D57799"/>
    <w:rsid w:val="00D577B2"/>
    <w:rsid w:val="00D608E7"/>
    <w:rsid w:val="00D60E38"/>
    <w:rsid w:val="00D60F10"/>
    <w:rsid w:val="00D61715"/>
    <w:rsid w:val="00D62070"/>
    <w:rsid w:val="00D62BF4"/>
    <w:rsid w:val="00D634FD"/>
    <w:rsid w:val="00D64314"/>
    <w:rsid w:val="00D64567"/>
    <w:rsid w:val="00D646D8"/>
    <w:rsid w:val="00D659FA"/>
    <w:rsid w:val="00D65D3B"/>
    <w:rsid w:val="00D665F6"/>
    <w:rsid w:val="00D67EBE"/>
    <w:rsid w:val="00D7039D"/>
    <w:rsid w:val="00D704B0"/>
    <w:rsid w:val="00D7100F"/>
    <w:rsid w:val="00D7161A"/>
    <w:rsid w:val="00D72336"/>
    <w:rsid w:val="00D72BD3"/>
    <w:rsid w:val="00D72EF0"/>
    <w:rsid w:val="00D73215"/>
    <w:rsid w:val="00D744BC"/>
    <w:rsid w:val="00D75C55"/>
    <w:rsid w:val="00D75C78"/>
    <w:rsid w:val="00D76B29"/>
    <w:rsid w:val="00D76D98"/>
    <w:rsid w:val="00D77AFA"/>
    <w:rsid w:val="00D77FB1"/>
    <w:rsid w:val="00D8046D"/>
    <w:rsid w:val="00D80A35"/>
    <w:rsid w:val="00D81ADE"/>
    <w:rsid w:val="00D81D7C"/>
    <w:rsid w:val="00D83CCD"/>
    <w:rsid w:val="00D83D28"/>
    <w:rsid w:val="00D83E8F"/>
    <w:rsid w:val="00D83FF1"/>
    <w:rsid w:val="00D87136"/>
    <w:rsid w:val="00D87E51"/>
    <w:rsid w:val="00D907F5"/>
    <w:rsid w:val="00D908DE"/>
    <w:rsid w:val="00D917FD"/>
    <w:rsid w:val="00D9264F"/>
    <w:rsid w:val="00D92F8A"/>
    <w:rsid w:val="00D93379"/>
    <w:rsid w:val="00D938B6"/>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0C60"/>
    <w:rsid w:val="00DB119D"/>
    <w:rsid w:val="00DB1B65"/>
    <w:rsid w:val="00DB2B9B"/>
    <w:rsid w:val="00DB2C93"/>
    <w:rsid w:val="00DB2DF4"/>
    <w:rsid w:val="00DB41D8"/>
    <w:rsid w:val="00DB4D7C"/>
    <w:rsid w:val="00DB5213"/>
    <w:rsid w:val="00DB5632"/>
    <w:rsid w:val="00DB5749"/>
    <w:rsid w:val="00DB5BB9"/>
    <w:rsid w:val="00DB6038"/>
    <w:rsid w:val="00DB60AF"/>
    <w:rsid w:val="00DB64AD"/>
    <w:rsid w:val="00DB6C95"/>
    <w:rsid w:val="00DB6C9F"/>
    <w:rsid w:val="00DB7AD6"/>
    <w:rsid w:val="00DB7B8B"/>
    <w:rsid w:val="00DC026E"/>
    <w:rsid w:val="00DC0848"/>
    <w:rsid w:val="00DC157B"/>
    <w:rsid w:val="00DC287C"/>
    <w:rsid w:val="00DC2B68"/>
    <w:rsid w:val="00DC2EB4"/>
    <w:rsid w:val="00DC34D4"/>
    <w:rsid w:val="00DC3674"/>
    <w:rsid w:val="00DC3892"/>
    <w:rsid w:val="00DC3A7D"/>
    <w:rsid w:val="00DC5581"/>
    <w:rsid w:val="00DC674C"/>
    <w:rsid w:val="00DC7452"/>
    <w:rsid w:val="00DD05FF"/>
    <w:rsid w:val="00DD06EF"/>
    <w:rsid w:val="00DD0B9D"/>
    <w:rsid w:val="00DD0D00"/>
    <w:rsid w:val="00DD0DCA"/>
    <w:rsid w:val="00DD1608"/>
    <w:rsid w:val="00DD2CAD"/>
    <w:rsid w:val="00DD2CE7"/>
    <w:rsid w:val="00DD3370"/>
    <w:rsid w:val="00DD3940"/>
    <w:rsid w:val="00DD419A"/>
    <w:rsid w:val="00DD4286"/>
    <w:rsid w:val="00DD4383"/>
    <w:rsid w:val="00DD43B9"/>
    <w:rsid w:val="00DD4A52"/>
    <w:rsid w:val="00DD4F6F"/>
    <w:rsid w:val="00DD77CE"/>
    <w:rsid w:val="00DE1399"/>
    <w:rsid w:val="00DE1CDF"/>
    <w:rsid w:val="00DE2F78"/>
    <w:rsid w:val="00DE2FA9"/>
    <w:rsid w:val="00DE35EE"/>
    <w:rsid w:val="00DE39C4"/>
    <w:rsid w:val="00DE3C25"/>
    <w:rsid w:val="00DE3CF2"/>
    <w:rsid w:val="00DE44F7"/>
    <w:rsid w:val="00DE462E"/>
    <w:rsid w:val="00DE5652"/>
    <w:rsid w:val="00DE6401"/>
    <w:rsid w:val="00DE66F2"/>
    <w:rsid w:val="00DE73BD"/>
    <w:rsid w:val="00DF0D48"/>
    <w:rsid w:val="00DF1FD2"/>
    <w:rsid w:val="00DF2C55"/>
    <w:rsid w:val="00DF3590"/>
    <w:rsid w:val="00DF3D68"/>
    <w:rsid w:val="00DF4C1E"/>
    <w:rsid w:val="00DF4FB2"/>
    <w:rsid w:val="00DF5151"/>
    <w:rsid w:val="00DF5373"/>
    <w:rsid w:val="00DF64FF"/>
    <w:rsid w:val="00DF7B70"/>
    <w:rsid w:val="00E00BA4"/>
    <w:rsid w:val="00E01129"/>
    <w:rsid w:val="00E01201"/>
    <w:rsid w:val="00E01C52"/>
    <w:rsid w:val="00E024A7"/>
    <w:rsid w:val="00E025EB"/>
    <w:rsid w:val="00E0316A"/>
    <w:rsid w:val="00E06D35"/>
    <w:rsid w:val="00E07F5E"/>
    <w:rsid w:val="00E1018C"/>
    <w:rsid w:val="00E118CC"/>
    <w:rsid w:val="00E132AD"/>
    <w:rsid w:val="00E13809"/>
    <w:rsid w:val="00E13F9D"/>
    <w:rsid w:val="00E1431C"/>
    <w:rsid w:val="00E144F7"/>
    <w:rsid w:val="00E14925"/>
    <w:rsid w:val="00E1511D"/>
    <w:rsid w:val="00E1537B"/>
    <w:rsid w:val="00E171E9"/>
    <w:rsid w:val="00E171F6"/>
    <w:rsid w:val="00E20BCE"/>
    <w:rsid w:val="00E20F38"/>
    <w:rsid w:val="00E2104A"/>
    <w:rsid w:val="00E22B2A"/>
    <w:rsid w:val="00E22CE6"/>
    <w:rsid w:val="00E233DE"/>
    <w:rsid w:val="00E236F0"/>
    <w:rsid w:val="00E23922"/>
    <w:rsid w:val="00E2443B"/>
    <w:rsid w:val="00E2487A"/>
    <w:rsid w:val="00E25255"/>
    <w:rsid w:val="00E252B2"/>
    <w:rsid w:val="00E25481"/>
    <w:rsid w:val="00E25483"/>
    <w:rsid w:val="00E256F5"/>
    <w:rsid w:val="00E259B8"/>
    <w:rsid w:val="00E261EE"/>
    <w:rsid w:val="00E27141"/>
    <w:rsid w:val="00E27F67"/>
    <w:rsid w:val="00E316DD"/>
    <w:rsid w:val="00E32883"/>
    <w:rsid w:val="00E3316D"/>
    <w:rsid w:val="00E33CAD"/>
    <w:rsid w:val="00E35A22"/>
    <w:rsid w:val="00E36A5F"/>
    <w:rsid w:val="00E36FC1"/>
    <w:rsid w:val="00E404D3"/>
    <w:rsid w:val="00E40516"/>
    <w:rsid w:val="00E410BA"/>
    <w:rsid w:val="00E41762"/>
    <w:rsid w:val="00E41A8B"/>
    <w:rsid w:val="00E42601"/>
    <w:rsid w:val="00E4467B"/>
    <w:rsid w:val="00E45359"/>
    <w:rsid w:val="00E45626"/>
    <w:rsid w:val="00E45EEA"/>
    <w:rsid w:val="00E4631A"/>
    <w:rsid w:val="00E46C04"/>
    <w:rsid w:val="00E4769F"/>
    <w:rsid w:val="00E47A93"/>
    <w:rsid w:val="00E50C5D"/>
    <w:rsid w:val="00E50EBA"/>
    <w:rsid w:val="00E51114"/>
    <w:rsid w:val="00E512ED"/>
    <w:rsid w:val="00E51595"/>
    <w:rsid w:val="00E534C8"/>
    <w:rsid w:val="00E53C14"/>
    <w:rsid w:val="00E541A0"/>
    <w:rsid w:val="00E56602"/>
    <w:rsid w:val="00E56D48"/>
    <w:rsid w:val="00E571DA"/>
    <w:rsid w:val="00E5799C"/>
    <w:rsid w:val="00E60F41"/>
    <w:rsid w:val="00E61F35"/>
    <w:rsid w:val="00E61FB6"/>
    <w:rsid w:val="00E62B88"/>
    <w:rsid w:val="00E63861"/>
    <w:rsid w:val="00E63881"/>
    <w:rsid w:val="00E6464E"/>
    <w:rsid w:val="00E6512C"/>
    <w:rsid w:val="00E663B5"/>
    <w:rsid w:val="00E66EE1"/>
    <w:rsid w:val="00E675A2"/>
    <w:rsid w:val="00E67E41"/>
    <w:rsid w:val="00E70007"/>
    <w:rsid w:val="00E70552"/>
    <w:rsid w:val="00E70838"/>
    <w:rsid w:val="00E7161A"/>
    <w:rsid w:val="00E71681"/>
    <w:rsid w:val="00E72586"/>
    <w:rsid w:val="00E73FD9"/>
    <w:rsid w:val="00E7402E"/>
    <w:rsid w:val="00E801B6"/>
    <w:rsid w:val="00E80CF8"/>
    <w:rsid w:val="00E816C9"/>
    <w:rsid w:val="00E817DA"/>
    <w:rsid w:val="00E81D4B"/>
    <w:rsid w:val="00E83271"/>
    <w:rsid w:val="00E83AEE"/>
    <w:rsid w:val="00E84406"/>
    <w:rsid w:val="00E849E3"/>
    <w:rsid w:val="00E84B0C"/>
    <w:rsid w:val="00E85F8D"/>
    <w:rsid w:val="00E86053"/>
    <w:rsid w:val="00E86566"/>
    <w:rsid w:val="00E867CC"/>
    <w:rsid w:val="00E86987"/>
    <w:rsid w:val="00E86E65"/>
    <w:rsid w:val="00E86EBD"/>
    <w:rsid w:val="00E87129"/>
    <w:rsid w:val="00E87130"/>
    <w:rsid w:val="00E87F5B"/>
    <w:rsid w:val="00E91EBC"/>
    <w:rsid w:val="00E9237C"/>
    <w:rsid w:val="00E92D94"/>
    <w:rsid w:val="00E9398B"/>
    <w:rsid w:val="00E93AA4"/>
    <w:rsid w:val="00E941B8"/>
    <w:rsid w:val="00E942B7"/>
    <w:rsid w:val="00E94F81"/>
    <w:rsid w:val="00E952F3"/>
    <w:rsid w:val="00E95A72"/>
    <w:rsid w:val="00E95A93"/>
    <w:rsid w:val="00E95E05"/>
    <w:rsid w:val="00E965B8"/>
    <w:rsid w:val="00E96746"/>
    <w:rsid w:val="00E975FC"/>
    <w:rsid w:val="00EA012C"/>
    <w:rsid w:val="00EA02C5"/>
    <w:rsid w:val="00EA06C2"/>
    <w:rsid w:val="00EA0800"/>
    <w:rsid w:val="00EA0B57"/>
    <w:rsid w:val="00EA1072"/>
    <w:rsid w:val="00EA1D64"/>
    <w:rsid w:val="00EA2AE8"/>
    <w:rsid w:val="00EA342F"/>
    <w:rsid w:val="00EA415F"/>
    <w:rsid w:val="00EA46E3"/>
    <w:rsid w:val="00EA4999"/>
    <w:rsid w:val="00EA513C"/>
    <w:rsid w:val="00EA576B"/>
    <w:rsid w:val="00EA5D05"/>
    <w:rsid w:val="00EA69E4"/>
    <w:rsid w:val="00EA7670"/>
    <w:rsid w:val="00EB083C"/>
    <w:rsid w:val="00EB20D2"/>
    <w:rsid w:val="00EB2242"/>
    <w:rsid w:val="00EB2305"/>
    <w:rsid w:val="00EB2C96"/>
    <w:rsid w:val="00EB3DE4"/>
    <w:rsid w:val="00EB4580"/>
    <w:rsid w:val="00EB4650"/>
    <w:rsid w:val="00EB4DDB"/>
    <w:rsid w:val="00EB6C2E"/>
    <w:rsid w:val="00EB79C7"/>
    <w:rsid w:val="00EB7E92"/>
    <w:rsid w:val="00EC09D7"/>
    <w:rsid w:val="00EC0A46"/>
    <w:rsid w:val="00EC220B"/>
    <w:rsid w:val="00EC27C1"/>
    <w:rsid w:val="00EC287D"/>
    <w:rsid w:val="00EC36C5"/>
    <w:rsid w:val="00EC3BF9"/>
    <w:rsid w:val="00EC4755"/>
    <w:rsid w:val="00EC4BC3"/>
    <w:rsid w:val="00EC5D20"/>
    <w:rsid w:val="00EC5DFE"/>
    <w:rsid w:val="00EC63A1"/>
    <w:rsid w:val="00EC66C4"/>
    <w:rsid w:val="00EC72AE"/>
    <w:rsid w:val="00EC7BA5"/>
    <w:rsid w:val="00EC7EB4"/>
    <w:rsid w:val="00ED0C88"/>
    <w:rsid w:val="00ED11CC"/>
    <w:rsid w:val="00ED1EB8"/>
    <w:rsid w:val="00ED2D76"/>
    <w:rsid w:val="00ED3919"/>
    <w:rsid w:val="00ED438A"/>
    <w:rsid w:val="00ED43AC"/>
    <w:rsid w:val="00ED54F5"/>
    <w:rsid w:val="00ED5DD4"/>
    <w:rsid w:val="00ED7A70"/>
    <w:rsid w:val="00EE0A05"/>
    <w:rsid w:val="00EE0E28"/>
    <w:rsid w:val="00EE211C"/>
    <w:rsid w:val="00EE4D20"/>
    <w:rsid w:val="00EE5BEF"/>
    <w:rsid w:val="00EE646B"/>
    <w:rsid w:val="00EE6962"/>
    <w:rsid w:val="00EE6D18"/>
    <w:rsid w:val="00EE78F6"/>
    <w:rsid w:val="00EF0C74"/>
    <w:rsid w:val="00EF0D9F"/>
    <w:rsid w:val="00EF1ECC"/>
    <w:rsid w:val="00EF2B3F"/>
    <w:rsid w:val="00EF3E73"/>
    <w:rsid w:val="00EF4A3D"/>
    <w:rsid w:val="00EF5303"/>
    <w:rsid w:val="00EF5801"/>
    <w:rsid w:val="00EF63A9"/>
    <w:rsid w:val="00EF6DB2"/>
    <w:rsid w:val="00EF6F37"/>
    <w:rsid w:val="00F003BF"/>
    <w:rsid w:val="00F02DBA"/>
    <w:rsid w:val="00F0315C"/>
    <w:rsid w:val="00F0389C"/>
    <w:rsid w:val="00F03B42"/>
    <w:rsid w:val="00F040E4"/>
    <w:rsid w:val="00F04313"/>
    <w:rsid w:val="00F048DA"/>
    <w:rsid w:val="00F06009"/>
    <w:rsid w:val="00F06086"/>
    <w:rsid w:val="00F0726F"/>
    <w:rsid w:val="00F07B12"/>
    <w:rsid w:val="00F07D69"/>
    <w:rsid w:val="00F1034D"/>
    <w:rsid w:val="00F10540"/>
    <w:rsid w:val="00F106D8"/>
    <w:rsid w:val="00F1079F"/>
    <w:rsid w:val="00F117ED"/>
    <w:rsid w:val="00F11876"/>
    <w:rsid w:val="00F1193D"/>
    <w:rsid w:val="00F12A31"/>
    <w:rsid w:val="00F132B1"/>
    <w:rsid w:val="00F148C3"/>
    <w:rsid w:val="00F15A83"/>
    <w:rsid w:val="00F15DEB"/>
    <w:rsid w:val="00F213B8"/>
    <w:rsid w:val="00F21D22"/>
    <w:rsid w:val="00F223DB"/>
    <w:rsid w:val="00F229E1"/>
    <w:rsid w:val="00F23AB2"/>
    <w:rsid w:val="00F24BC9"/>
    <w:rsid w:val="00F25592"/>
    <w:rsid w:val="00F2572F"/>
    <w:rsid w:val="00F25A5C"/>
    <w:rsid w:val="00F27375"/>
    <w:rsid w:val="00F27CDB"/>
    <w:rsid w:val="00F300EC"/>
    <w:rsid w:val="00F30B77"/>
    <w:rsid w:val="00F31036"/>
    <w:rsid w:val="00F311E3"/>
    <w:rsid w:val="00F33F9D"/>
    <w:rsid w:val="00F34B11"/>
    <w:rsid w:val="00F35399"/>
    <w:rsid w:val="00F37298"/>
    <w:rsid w:val="00F373EB"/>
    <w:rsid w:val="00F37BD3"/>
    <w:rsid w:val="00F4040B"/>
    <w:rsid w:val="00F420A1"/>
    <w:rsid w:val="00F4354F"/>
    <w:rsid w:val="00F43732"/>
    <w:rsid w:val="00F43E2A"/>
    <w:rsid w:val="00F45152"/>
    <w:rsid w:val="00F45668"/>
    <w:rsid w:val="00F459E1"/>
    <w:rsid w:val="00F45BAE"/>
    <w:rsid w:val="00F460E0"/>
    <w:rsid w:val="00F466D3"/>
    <w:rsid w:val="00F47254"/>
    <w:rsid w:val="00F47378"/>
    <w:rsid w:val="00F50CDA"/>
    <w:rsid w:val="00F50D4E"/>
    <w:rsid w:val="00F50E87"/>
    <w:rsid w:val="00F5192F"/>
    <w:rsid w:val="00F52610"/>
    <w:rsid w:val="00F52876"/>
    <w:rsid w:val="00F52B6A"/>
    <w:rsid w:val="00F52CA0"/>
    <w:rsid w:val="00F52FA7"/>
    <w:rsid w:val="00F5316C"/>
    <w:rsid w:val="00F53389"/>
    <w:rsid w:val="00F542C1"/>
    <w:rsid w:val="00F54518"/>
    <w:rsid w:val="00F5457A"/>
    <w:rsid w:val="00F547D0"/>
    <w:rsid w:val="00F547D4"/>
    <w:rsid w:val="00F557D6"/>
    <w:rsid w:val="00F558AF"/>
    <w:rsid w:val="00F558F7"/>
    <w:rsid w:val="00F559D8"/>
    <w:rsid w:val="00F55A60"/>
    <w:rsid w:val="00F56354"/>
    <w:rsid w:val="00F57267"/>
    <w:rsid w:val="00F61966"/>
    <w:rsid w:val="00F621E0"/>
    <w:rsid w:val="00F623EA"/>
    <w:rsid w:val="00F628A5"/>
    <w:rsid w:val="00F62992"/>
    <w:rsid w:val="00F63194"/>
    <w:rsid w:val="00F636F2"/>
    <w:rsid w:val="00F6395E"/>
    <w:rsid w:val="00F640AA"/>
    <w:rsid w:val="00F64BD2"/>
    <w:rsid w:val="00F64DCE"/>
    <w:rsid w:val="00F64DF4"/>
    <w:rsid w:val="00F6516C"/>
    <w:rsid w:val="00F654ED"/>
    <w:rsid w:val="00F65F9E"/>
    <w:rsid w:val="00F66653"/>
    <w:rsid w:val="00F66C59"/>
    <w:rsid w:val="00F6725A"/>
    <w:rsid w:val="00F67A29"/>
    <w:rsid w:val="00F67DA6"/>
    <w:rsid w:val="00F702EB"/>
    <w:rsid w:val="00F70380"/>
    <w:rsid w:val="00F70674"/>
    <w:rsid w:val="00F708ED"/>
    <w:rsid w:val="00F710D6"/>
    <w:rsid w:val="00F717E1"/>
    <w:rsid w:val="00F71D7D"/>
    <w:rsid w:val="00F727AC"/>
    <w:rsid w:val="00F72BDF"/>
    <w:rsid w:val="00F72FA8"/>
    <w:rsid w:val="00F735A7"/>
    <w:rsid w:val="00F74441"/>
    <w:rsid w:val="00F745D9"/>
    <w:rsid w:val="00F76965"/>
    <w:rsid w:val="00F76BB3"/>
    <w:rsid w:val="00F76D4E"/>
    <w:rsid w:val="00F772DA"/>
    <w:rsid w:val="00F7781E"/>
    <w:rsid w:val="00F816EE"/>
    <w:rsid w:val="00F81708"/>
    <w:rsid w:val="00F81F1D"/>
    <w:rsid w:val="00F82D68"/>
    <w:rsid w:val="00F8304F"/>
    <w:rsid w:val="00F847B5"/>
    <w:rsid w:val="00F85DFD"/>
    <w:rsid w:val="00F868BC"/>
    <w:rsid w:val="00F875DE"/>
    <w:rsid w:val="00F879B1"/>
    <w:rsid w:val="00F90D95"/>
    <w:rsid w:val="00F90F9D"/>
    <w:rsid w:val="00F91054"/>
    <w:rsid w:val="00F92653"/>
    <w:rsid w:val="00F92C69"/>
    <w:rsid w:val="00F9332E"/>
    <w:rsid w:val="00F94962"/>
    <w:rsid w:val="00F9521E"/>
    <w:rsid w:val="00F95E15"/>
    <w:rsid w:val="00F961DD"/>
    <w:rsid w:val="00F96E5E"/>
    <w:rsid w:val="00F97015"/>
    <w:rsid w:val="00F9746E"/>
    <w:rsid w:val="00F974A9"/>
    <w:rsid w:val="00FA03B6"/>
    <w:rsid w:val="00FA1144"/>
    <w:rsid w:val="00FA226B"/>
    <w:rsid w:val="00FA2DC5"/>
    <w:rsid w:val="00FA3486"/>
    <w:rsid w:val="00FA36DB"/>
    <w:rsid w:val="00FA4D82"/>
    <w:rsid w:val="00FA528E"/>
    <w:rsid w:val="00FA52E7"/>
    <w:rsid w:val="00FA5DD2"/>
    <w:rsid w:val="00FA63FC"/>
    <w:rsid w:val="00FA70D4"/>
    <w:rsid w:val="00FA75E0"/>
    <w:rsid w:val="00FB092A"/>
    <w:rsid w:val="00FB0B5E"/>
    <w:rsid w:val="00FB0BC2"/>
    <w:rsid w:val="00FB2F90"/>
    <w:rsid w:val="00FB308E"/>
    <w:rsid w:val="00FB32D4"/>
    <w:rsid w:val="00FB3461"/>
    <w:rsid w:val="00FB54B4"/>
    <w:rsid w:val="00FB5CA3"/>
    <w:rsid w:val="00FB65CE"/>
    <w:rsid w:val="00FB7BFB"/>
    <w:rsid w:val="00FC006A"/>
    <w:rsid w:val="00FC12B5"/>
    <w:rsid w:val="00FC1882"/>
    <w:rsid w:val="00FC1AD6"/>
    <w:rsid w:val="00FC1C2D"/>
    <w:rsid w:val="00FC264D"/>
    <w:rsid w:val="00FC2803"/>
    <w:rsid w:val="00FC2B2D"/>
    <w:rsid w:val="00FC2CDB"/>
    <w:rsid w:val="00FC3263"/>
    <w:rsid w:val="00FC38FF"/>
    <w:rsid w:val="00FC3A48"/>
    <w:rsid w:val="00FC49C1"/>
    <w:rsid w:val="00FC5058"/>
    <w:rsid w:val="00FC525D"/>
    <w:rsid w:val="00FC54B8"/>
    <w:rsid w:val="00FC735E"/>
    <w:rsid w:val="00FC78E8"/>
    <w:rsid w:val="00FC7F42"/>
    <w:rsid w:val="00FD0883"/>
    <w:rsid w:val="00FD0CEF"/>
    <w:rsid w:val="00FD1263"/>
    <w:rsid w:val="00FD1EA4"/>
    <w:rsid w:val="00FD273B"/>
    <w:rsid w:val="00FD2B18"/>
    <w:rsid w:val="00FD34B2"/>
    <w:rsid w:val="00FD350C"/>
    <w:rsid w:val="00FD3DBB"/>
    <w:rsid w:val="00FD4A4B"/>
    <w:rsid w:val="00FD4B1F"/>
    <w:rsid w:val="00FD4ED0"/>
    <w:rsid w:val="00FD52B5"/>
    <w:rsid w:val="00FD5D94"/>
    <w:rsid w:val="00FD65DE"/>
    <w:rsid w:val="00FD6DF2"/>
    <w:rsid w:val="00FD75B3"/>
    <w:rsid w:val="00FE0D70"/>
    <w:rsid w:val="00FE1039"/>
    <w:rsid w:val="00FE1A06"/>
    <w:rsid w:val="00FE27F4"/>
    <w:rsid w:val="00FE2E8D"/>
    <w:rsid w:val="00FE3738"/>
    <w:rsid w:val="00FE3ACE"/>
    <w:rsid w:val="00FE3DF9"/>
    <w:rsid w:val="00FE4F1F"/>
    <w:rsid w:val="00FE513E"/>
    <w:rsid w:val="00FE531F"/>
    <w:rsid w:val="00FE5E36"/>
    <w:rsid w:val="00FE5F67"/>
    <w:rsid w:val="00FE65F9"/>
    <w:rsid w:val="00FE7764"/>
    <w:rsid w:val="00FF0F14"/>
    <w:rsid w:val="00FF249C"/>
    <w:rsid w:val="00FF2551"/>
    <w:rsid w:val="00FF2EA1"/>
    <w:rsid w:val="00FF35F6"/>
    <w:rsid w:val="00FF3958"/>
    <w:rsid w:val="00FF467A"/>
    <w:rsid w:val="00FF4933"/>
    <w:rsid w:val="00FF4CE1"/>
    <w:rsid w:val="00FF5285"/>
    <w:rsid w:val="00FF5967"/>
    <w:rsid w:val="00FF5C39"/>
    <w:rsid w:val="00FF5D67"/>
    <w:rsid w:val="00FF6321"/>
    <w:rsid w:val="00FF7622"/>
    <w:rsid w:val="00FF771B"/>
    <w:rsid w:val="010115CC"/>
    <w:rsid w:val="0281577A"/>
    <w:rsid w:val="02C4533D"/>
    <w:rsid w:val="02FB6E41"/>
    <w:rsid w:val="03945F58"/>
    <w:rsid w:val="04000C75"/>
    <w:rsid w:val="040C4638"/>
    <w:rsid w:val="040D61CA"/>
    <w:rsid w:val="054F51F5"/>
    <w:rsid w:val="05C92C5C"/>
    <w:rsid w:val="05F613A4"/>
    <w:rsid w:val="0663771D"/>
    <w:rsid w:val="067F1DA1"/>
    <w:rsid w:val="0716088F"/>
    <w:rsid w:val="077305E3"/>
    <w:rsid w:val="07CD0531"/>
    <w:rsid w:val="087E010D"/>
    <w:rsid w:val="087E7CCC"/>
    <w:rsid w:val="09697F38"/>
    <w:rsid w:val="0AE23ACF"/>
    <w:rsid w:val="0B242CDB"/>
    <w:rsid w:val="0B454D4F"/>
    <w:rsid w:val="0BD42FE1"/>
    <w:rsid w:val="0C7F02EC"/>
    <w:rsid w:val="0D761519"/>
    <w:rsid w:val="0DAA555C"/>
    <w:rsid w:val="0EF6761A"/>
    <w:rsid w:val="0F807901"/>
    <w:rsid w:val="0FD65AF1"/>
    <w:rsid w:val="1008009C"/>
    <w:rsid w:val="102054FF"/>
    <w:rsid w:val="107523C9"/>
    <w:rsid w:val="10A6029D"/>
    <w:rsid w:val="10AC5398"/>
    <w:rsid w:val="10D4508F"/>
    <w:rsid w:val="1106208D"/>
    <w:rsid w:val="118F1659"/>
    <w:rsid w:val="13A52D99"/>
    <w:rsid w:val="14B44E8D"/>
    <w:rsid w:val="154B4BA0"/>
    <w:rsid w:val="160B3CB7"/>
    <w:rsid w:val="161E6569"/>
    <w:rsid w:val="1654755C"/>
    <w:rsid w:val="16E94B76"/>
    <w:rsid w:val="17C61147"/>
    <w:rsid w:val="17CE7886"/>
    <w:rsid w:val="17EA6E8D"/>
    <w:rsid w:val="18435D20"/>
    <w:rsid w:val="184D5BFC"/>
    <w:rsid w:val="1877546F"/>
    <w:rsid w:val="187C5BCF"/>
    <w:rsid w:val="192024BD"/>
    <w:rsid w:val="19AB4B34"/>
    <w:rsid w:val="1A2D1F2E"/>
    <w:rsid w:val="1A6640D3"/>
    <w:rsid w:val="1BFB16C7"/>
    <w:rsid w:val="1C0248AA"/>
    <w:rsid w:val="1CA412AE"/>
    <w:rsid w:val="1F2D4E8E"/>
    <w:rsid w:val="1F383BF1"/>
    <w:rsid w:val="201110DA"/>
    <w:rsid w:val="20C80F67"/>
    <w:rsid w:val="210B3CCF"/>
    <w:rsid w:val="21D05464"/>
    <w:rsid w:val="21E1238E"/>
    <w:rsid w:val="22756777"/>
    <w:rsid w:val="2327375C"/>
    <w:rsid w:val="232B785A"/>
    <w:rsid w:val="237B5AC0"/>
    <w:rsid w:val="24775F76"/>
    <w:rsid w:val="249C7F51"/>
    <w:rsid w:val="24EF0158"/>
    <w:rsid w:val="262C5F44"/>
    <w:rsid w:val="263D73A6"/>
    <w:rsid w:val="289D6AE5"/>
    <w:rsid w:val="28BF4E88"/>
    <w:rsid w:val="28E87A9F"/>
    <w:rsid w:val="28F903FF"/>
    <w:rsid w:val="294C0CFB"/>
    <w:rsid w:val="29AF7DDC"/>
    <w:rsid w:val="2A4B0A3C"/>
    <w:rsid w:val="2A7E4E8A"/>
    <w:rsid w:val="2A9F5694"/>
    <w:rsid w:val="2C4A547A"/>
    <w:rsid w:val="2D030EC1"/>
    <w:rsid w:val="2D9F0E49"/>
    <w:rsid w:val="2DB326D0"/>
    <w:rsid w:val="2E0760C8"/>
    <w:rsid w:val="2F37683A"/>
    <w:rsid w:val="2F42484C"/>
    <w:rsid w:val="2F465ED2"/>
    <w:rsid w:val="2FE2247E"/>
    <w:rsid w:val="2FFA5576"/>
    <w:rsid w:val="301577DB"/>
    <w:rsid w:val="30794A4F"/>
    <w:rsid w:val="30A2366A"/>
    <w:rsid w:val="30B7518F"/>
    <w:rsid w:val="30F42028"/>
    <w:rsid w:val="31B85919"/>
    <w:rsid w:val="31F660DF"/>
    <w:rsid w:val="32471663"/>
    <w:rsid w:val="330F26D0"/>
    <w:rsid w:val="332D0432"/>
    <w:rsid w:val="334425B7"/>
    <w:rsid w:val="3384694F"/>
    <w:rsid w:val="33EB3CEE"/>
    <w:rsid w:val="347F2492"/>
    <w:rsid w:val="34A53AC8"/>
    <w:rsid w:val="36FF5E87"/>
    <w:rsid w:val="3918491E"/>
    <w:rsid w:val="39FF2D8D"/>
    <w:rsid w:val="3A2417D0"/>
    <w:rsid w:val="3AB25FA8"/>
    <w:rsid w:val="3ABF338F"/>
    <w:rsid w:val="3B5D48D7"/>
    <w:rsid w:val="3BDB6CD7"/>
    <w:rsid w:val="3C13326A"/>
    <w:rsid w:val="3C225E1A"/>
    <w:rsid w:val="3CB755C0"/>
    <w:rsid w:val="3E116E93"/>
    <w:rsid w:val="3E12355E"/>
    <w:rsid w:val="3F0A3C54"/>
    <w:rsid w:val="3FEB18AA"/>
    <w:rsid w:val="414E2577"/>
    <w:rsid w:val="41642242"/>
    <w:rsid w:val="41895B29"/>
    <w:rsid w:val="42275A11"/>
    <w:rsid w:val="423957FE"/>
    <w:rsid w:val="424B4100"/>
    <w:rsid w:val="42A356F8"/>
    <w:rsid w:val="434E0E48"/>
    <w:rsid w:val="435D2FCD"/>
    <w:rsid w:val="43EC5313"/>
    <w:rsid w:val="44535FBC"/>
    <w:rsid w:val="45516164"/>
    <w:rsid w:val="45C67B08"/>
    <w:rsid w:val="46525E57"/>
    <w:rsid w:val="46DE426F"/>
    <w:rsid w:val="47123F13"/>
    <w:rsid w:val="47AC50F6"/>
    <w:rsid w:val="480C5B3E"/>
    <w:rsid w:val="487F76F7"/>
    <w:rsid w:val="4AE3419E"/>
    <w:rsid w:val="4B175B8D"/>
    <w:rsid w:val="4B1C2ED9"/>
    <w:rsid w:val="4BDC0D91"/>
    <w:rsid w:val="4C7E6ABD"/>
    <w:rsid w:val="4DD638C9"/>
    <w:rsid w:val="4DDD7694"/>
    <w:rsid w:val="4DFD77B3"/>
    <w:rsid w:val="4E717F57"/>
    <w:rsid w:val="50010ED2"/>
    <w:rsid w:val="505E3C23"/>
    <w:rsid w:val="50D83995"/>
    <w:rsid w:val="516F69C5"/>
    <w:rsid w:val="51CF3E87"/>
    <w:rsid w:val="52F007CA"/>
    <w:rsid w:val="53215681"/>
    <w:rsid w:val="53C461A9"/>
    <w:rsid w:val="55747923"/>
    <w:rsid w:val="559D1740"/>
    <w:rsid w:val="58234282"/>
    <w:rsid w:val="58324C34"/>
    <w:rsid w:val="587D13BE"/>
    <w:rsid w:val="589F701D"/>
    <w:rsid w:val="59080FA5"/>
    <w:rsid w:val="598627A3"/>
    <w:rsid w:val="5AB827CA"/>
    <w:rsid w:val="5AF65560"/>
    <w:rsid w:val="5BA936C1"/>
    <w:rsid w:val="5BC40593"/>
    <w:rsid w:val="5BF71602"/>
    <w:rsid w:val="5BF80B62"/>
    <w:rsid w:val="5C503013"/>
    <w:rsid w:val="5C6F55CE"/>
    <w:rsid w:val="5D00390A"/>
    <w:rsid w:val="5E536551"/>
    <w:rsid w:val="5E6B1629"/>
    <w:rsid w:val="5EB714F6"/>
    <w:rsid w:val="5FA96EE3"/>
    <w:rsid w:val="5FEB136A"/>
    <w:rsid w:val="5FF655F4"/>
    <w:rsid w:val="6079486C"/>
    <w:rsid w:val="62A853E9"/>
    <w:rsid w:val="635204D1"/>
    <w:rsid w:val="63550F47"/>
    <w:rsid w:val="63B5245A"/>
    <w:rsid w:val="64875805"/>
    <w:rsid w:val="65835B4E"/>
    <w:rsid w:val="6586736A"/>
    <w:rsid w:val="66A36E07"/>
    <w:rsid w:val="66EB3B3E"/>
    <w:rsid w:val="67F45FCB"/>
    <w:rsid w:val="680D58E3"/>
    <w:rsid w:val="684628FB"/>
    <w:rsid w:val="68640283"/>
    <w:rsid w:val="689A6F54"/>
    <w:rsid w:val="68C347F7"/>
    <w:rsid w:val="697065CB"/>
    <w:rsid w:val="69926D22"/>
    <w:rsid w:val="6AD716CD"/>
    <w:rsid w:val="6BBE0AEE"/>
    <w:rsid w:val="6CE66CDE"/>
    <w:rsid w:val="6D2E1241"/>
    <w:rsid w:val="6D343EA3"/>
    <w:rsid w:val="6D460F5A"/>
    <w:rsid w:val="6D5029AC"/>
    <w:rsid w:val="6DD174CE"/>
    <w:rsid w:val="6EFC09F4"/>
    <w:rsid w:val="6F3E2759"/>
    <w:rsid w:val="6FA678F9"/>
    <w:rsid w:val="70486664"/>
    <w:rsid w:val="70B811AC"/>
    <w:rsid w:val="71300979"/>
    <w:rsid w:val="7269710B"/>
    <w:rsid w:val="73481408"/>
    <w:rsid w:val="73D15566"/>
    <w:rsid w:val="74024FB5"/>
    <w:rsid w:val="740E3374"/>
    <w:rsid w:val="74747B58"/>
    <w:rsid w:val="749D5FC0"/>
    <w:rsid w:val="74D239B7"/>
    <w:rsid w:val="752C0818"/>
    <w:rsid w:val="753D2397"/>
    <w:rsid w:val="755B0192"/>
    <w:rsid w:val="762A1882"/>
    <w:rsid w:val="780C317B"/>
    <w:rsid w:val="78B91058"/>
    <w:rsid w:val="79537C18"/>
    <w:rsid w:val="79C77174"/>
    <w:rsid w:val="7A5133D6"/>
    <w:rsid w:val="7ABC770F"/>
    <w:rsid w:val="7BE844D1"/>
    <w:rsid w:val="7D42679A"/>
    <w:rsid w:val="7E655830"/>
    <w:rsid w:val="7EAD5A8C"/>
    <w:rsid w:val="7EDD7B47"/>
    <w:rsid w:val="7FEC03A3"/>
    <w:rsid w:val="7FF7501A"/>
    <w:rsid w:val="F7B98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8"/>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spacing w:before="260" w:after="260" w:line="416" w:lineRule="auto"/>
      <w:outlineLvl w:val="2"/>
    </w:pPr>
    <w:rPr>
      <w:b/>
      <w:bCs/>
      <w:sz w:val="32"/>
      <w:szCs w:val="32"/>
    </w:rPr>
  </w:style>
  <w:style w:type="paragraph" w:styleId="6">
    <w:name w:val="heading 4"/>
    <w:basedOn w:val="1"/>
    <w:next w:val="1"/>
    <w:link w:val="60"/>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2"/>
    <w:qFormat/>
    <w:uiPriority w:val="0"/>
    <w:pPr>
      <w:keepNext/>
      <w:keepLines/>
      <w:ind w:firstLine="200" w:firstLineChars="200"/>
      <w:outlineLvl w:val="5"/>
    </w:pPr>
    <w:rPr>
      <w:rFonts w:hAnsi="Arial"/>
    </w:rPr>
  </w:style>
  <w:style w:type="paragraph" w:styleId="10">
    <w:name w:val="heading 7"/>
    <w:basedOn w:val="1"/>
    <w:next w:val="1"/>
    <w:link w:val="6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4"/>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5"/>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5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66"/>
    <w:qFormat/>
    <w:uiPriority w:val="0"/>
    <w:pPr>
      <w:shd w:val="clear" w:color="auto" w:fill="000080"/>
    </w:pPr>
  </w:style>
  <w:style w:type="paragraph" w:styleId="16">
    <w:name w:val="annotation text"/>
    <w:basedOn w:val="1"/>
    <w:link w:val="67"/>
    <w:qFormat/>
    <w:uiPriority w:val="0"/>
    <w:pPr>
      <w:jc w:val="left"/>
    </w:pPr>
  </w:style>
  <w:style w:type="paragraph" w:styleId="17">
    <w:name w:val="Body Text 3"/>
    <w:basedOn w:val="1"/>
    <w:link w:val="68"/>
    <w:qFormat/>
    <w:uiPriority w:val="0"/>
    <w:pPr>
      <w:spacing w:after="120"/>
    </w:pPr>
    <w:rPr>
      <w:sz w:val="16"/>
      <w:szCs w:val="16"/>
    </w:rPr>
  </w:style>
  <w:style w:type="paragraph" w:styleId="18">
    <w:name w:val="Body Text Indent"/>
    <w:basedOn w:val="1"/>
    <w:link w:val="69"/>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0"/>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1"/>
    <w:qFormat/>
    <w:uiPriority w:val="0"/>
    <w:pPr>
      <w:ind w:left="100" w:leftChars="2500"/>
    </w:pPr>
  </w:style>
  <w:style w:type="paragraph" w:styleId="26">
    <w:name w:val="Body Text Indent 2"/>
    <w:basedOn w:val="1"/>
    <w:link w:val="72"/>
    <w:qFormat/>
    <w:uiPriority w:val="0"/>
    <w:pPr>
      <w:widowControl/>
      <w:spacing w:line="480" w:lineRule="auto"/>
      <w:ind w:firstLine="560"/>
      <w:jc w:val="left"/>
    </w:pPr>
    <w:rPr>
      <w:kern w:val="0"/>
      <w:sz w:val="28"/>
    </w:rPr>
  </w:style>
  <w:style w:type="paragraph" w:styleId="27">
    <w:name w:val="endnote text"/>
    <w:basedOn w:val="1"/>
    <w:link w:val="73"/>
    <w:qFormat/>
    <w:uiPriority w:val="0"/>
    <w:pPr>
      <w:widowControl/>
      <w:snapToGrid w:val="0"/>
      <w:jc w:val="left"/>
    </w:pPr>
    <w:rPr>
      <w:rFonts w:ascii="Arial" w:hAnsi="Arial" w:cs="Arial"/>
      <w:kern w:val="0"/>
      <w:sz w:val="20"/>
      <w:lang w:eastAsia="en-US"/>
    </w:rPr>
  </w:style>
  <w:style w:type="paragraph" w:styleId="28">
    <w:name w:val="Balloon Text"/>
    <w:basedOn w:val="1"/>
    <w:link w:val="74"/>
    <w:qFormat/>
    <w:uiPriority w:val="0"/>
    <w:rPr>
      <w:sz w:val="18"/>
      <w:szCs w:val="18"/>
    </w:rPr>
  </w:style>
  <w:style w:type="paragraph" w:styleId="29">
    <w:name w:val="footer"/>
    <w:basedOn w:val="1"/>
    <w:link w:val="75"/>
    <w:qFormat/>
    <w:uiPriority w:val="0"/>
    <w:pPr>
      <w:tabs>
        <w:tab w:val="center" w:pos="4153"/>
        <w:tab w:val="right" w:pos="8306"/>
      </w:tabs>
      <w:snapToGrid w:val="0"/>
      <w:jc w:val="left"/>
    </w:pPr>
    <w:rPr>
      <w:sz w:val="18"/>
      <w:szCs w:val="18"/>
    </w:rPr>
  </w:style>
  <w:style w:type="paragraph" w:styleId="30">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77"/>
    <w:qFormat/>
    <w:uiPriority w:val="0"/>
    <w:pPr>
      <w:widowControl/>
      <w:jc w:val="center"/>
    </w:pPr>
    <w:rPr>
      <w:kern w:val="0"/>
      <w:sz w:val="20"/>
      <w:u w:val="single"/>
      <w:lang w:eastAsia="en-US"/>
    </w:rPr>
  </w:style>
  <w:style w:type="paragraph" w:styleId="34">
    <w:name w:val="footnote text"/>
    <w:basedOn w:val="1"/>
    <w:link w:val="78"/>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79"/>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0"/>
    <w:qFormat/>
    <w:uiPriority w:val="0"/>
    <w:rPr>
      <w:i/>
      <w:iCs/>
      <w:sz w:val="26"/>
    </w:rPr>
  </w:style>
  <w:style w:type="paragraph" w:styleId="40">
    <w:name w:val="HTML Preformatted"/>
    <w:basedOn w:val="1"/>
    <w:link w:val="8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2"/>
    <w:qFormat/>
    <w:uiPriority w:val="0"/>
    <w:pPr>
      <w:widowControl/>
      <w:jc w:val="center"/>
    </w:pPr>
    <w:rPr>
      <w:kern w:val="0"/>
      <w:sz w:val="20"/>
      <w:u w:val="single"/>
      <w:lang w:eastAsia="en-US"/>
    </w:rPr>
  </w:style>
  <w:style w:type="paragraph" w:styleId="44">
    <w:name w:val="annotation subject"/>
    <w:basedOn w:val="16"/>
    <w:next w:val="16"/>
    <w:link w:val="83"/>
    <w:qFormat/>
    <w:uiPriority w:val="0"/>
    <w:rPr>
      <w:b/>
      <w:bCs/>
    </w:rPr>
  </w:style>
  <w:style w:type="table" w:styleId="46">
    <w:name w:val="Table Grid"/>
    <w:basedOn w:val="45"/>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8">
    <w:name w:val="Strong"/>
    <w:qFormat/>
    <w:uiPriority w:val="22"/>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character" w:customStyle="1" w:styleId="56">
    <w:name w:val="正文文本 Char4"/>
    <w:link w:val="2"/>
    <w:qFormat/>
    <w:uiPriority w:val="0"/>
    <w:rPr>
      <w:rFonts w:eastAsia="宋体"/>
      <w:kern w:val="2"/>
      <w:sz w:val="21"/>
      <w:szCs w:val="24"/>
      <w:lang w:val="en-US" w:eastAsia="zh-CN" w:bidi="ar-SA"/>
    </w:rPr>
  </w:style>
  <w:style w:type="character" w:customStyle="1" w:styleId="57">
    <w:name w:val="标题 1 Char2"/>
    <w:link w:val="3"/>
    <w:qFormat/>
    <w:uiPriority w:val="0"/>
    <w:rPr>
      <w:rFonts w:eastAsia="宋体"/>
      <w:b/>
      <w:bCs/>
      <w:kern w:val="44"/>
      <w:sz w:val="44"/>
      <w:szCs w:val="44"/>
      <w:lang w:val="en-US" w:eastAsia="zh-CN" w:bidi="ar-SA"/>
    </w:rPr>
  </w:style>
  <w:style w:type="character" w:customStyle="1" w:styleId="58">
    <w:name w:val="标题 2 Char2"/>
    <w:link w:val="4"/>
    <w:qFormat/>
    <w:uiPriority w:val="0"/>
    <w:rPr>
      <w:rFonts w:ascii="Cambria" w:hAnsi="Cambria" w:eastAsia="宋体"/>
      <w:b/>
      <w:bCs/>
      <w:kern w:val="2"/>
      <w:sz w:val="32"/>
      <w:szCs w:val="32"/>
      <w:lang w:val="en-US" w:eastAsia="zh-CN" w:bidi="ar-SA"/>
    </w:rPr>
  </w:style>
  <w:style w:type="character" w:customStyle="1" w:styleId="59">
    <w:name w:val="标题 3 Char2"/>
    <w:link w:val="5"/>
    <w:qFormat/>
    <w:uiPriority w:val="0"/>
    <w:rPr>
      <w:rFonts w:eastAsia="宋体"/>
      <w:b/>
      <w:bCs/>
      <w:kern w:val="2"/>
      <w:sz w:val="32"/>
      <w:szCs w:val="32"/>
      <w:lang w:val="en-US" w:eastAsia="zh-CN" w:bidi="ar-SA"/>
    </w:rPr>
  </w:style>
  <w:style w:type="character" w:customStyle="1" w:styleId="60">
    <w:name w:val="标题 4 Char2"/>
    <w:link w:val="6"/>
    <w:qFormat/>
    <w:uiPriority w:val="0"/>
    <w:rPr>
      <w:rFonts w:ascii="宋体" w:hAnsi="宋体" w:eastAsia="宋体" w:cs="宋体"/>
      <w:b/>
      <w:bCs/>
      <w:sz w:val="24"/>
      <w:szCs w:val="24"/>
      <w:lang w:val="en-US" w:eastAsia="zh-CN" w:bidi="ar-SA"/>
    </w:rPr>
  </w:style>
  <w:style w:type="character" w:customStyle="1" w:styleId="61">
    <w:name w:val="标题 5 Char2"/>
    <w:link w:val="7"/>
    <w:qFormat/>
    <w:uiPriority w:val="0"/>
    <w:rPr>
      <w:rFonts w:ascii="宋体" w:hAnsi="宋体" w:eastAsia="宋体" w:cs="宋体"/>
      <w:b/>
      <w:bCs/>
      <w:lang w:val="en-US" w:eastAsia="zh-CN" w:bidi="ar-SA"/>
    </w:rPr>
  </w:style>
  <w:style w:type="character" w:customStyle="1" w:styleId="62">
    <w:name w:val="标题 6 Char2"/>
    <w:link w:val="8"/>
    <w:qFormat/>
    <w:uiPriority w:val="0"/>
    <w:rPr>
      <w:rFonts w:hAnsi="Arial" w:eastAsia="仿宋_GB2312"/>
      <w:sz w:val="30"/>
      <w:lang w:val="en-US" w:eastAsia="zh-CN" w:bidi="ar-SA"/>
    </w:rPr>
  </w:style>
  <w:style w:type="character" w:customStyle="1" w:styleId="63">
    <w:name w:val="标题 7 Char2"/>
    <w:link w:val="10"/>
    <w:qFormat/>
    <w:uiPriority w:val="0"/>
    <w:rPr>
      <w:rFonts w:eastAsia="仿宋_GB2312"/>
      <w:sz w:val="30"/>
      <w:lang w:val="en-US" w:eastAsia="zh-CN" w:bidi="ar-SA"/>
    </w:rPr>
  </w:style>
  <w:style w:type="character" w:customStyle="1" w:styleId="64">
    <w:name w:val="标题 8 Char2"/>
    <w:link w:val="11"/>
    <w:qFormat/>
    <w:uiPriority w:val="0"/>
    <w:rPr>
      <w:rFonts w:hAnsi="Arial" w:eastAsia="仿宋_GB2312"/>
      <w:sz w:val="30"/>
      <w:lang w:val="en-US" w:eastAsia="zh-CN" w:bidi="ar-SA"/>
    </w:rPr>
  </w:style>
  <w:style w:type="character" w:customStyle="1" w:styleId="65">
    <w:name w:val="标题 9 Char2"/>
    <w:link w:val="12"/>
    <w:qFormat/>
    <w:uiPriority w:val="0"/>
    <w:rPr>
      <w:rFonts w:eastAsia="仿宋_GB2312"/>
      <w:sz w:val="30"/>
      <w:lang w:val="en-US" w:eastAsia="zh-CN" w:bidi="ar-SA"/>
    </w:rPr>
  </w:style>
  <w:style w:type="character" w:customStyle="1" w:styleId="66">
    <w:name w:val="文档结构图 Char4"/>
    <w:link w:val="15"/>
    <w:qFormat/>
    <w:uiPriority w:val="0"/>
    <w:rPr>
      <w:rFonts w:eastAsia="宋体"/>
      <w:kern w:val="2"/>
      <w:sz w:val="21"/>
      <w:szCs w:val="24"/>
      <w:lang w:val="en-US" w:eastAsia="zh-CN" w:bidi="ar-SA"/>
    </w:rPr>
  </w:style>
  <w:style w:type="character" w:customStyle="1" w:styleId="67">
    <w:name w:val="批注文字 Char3"/>
    <w:link w:val="16"/>
    <w:qFormat/>
    <w:uiPriority w:val="99"/>
    <w:rPr>
      <w:rFonts w:eastAsia="宋体"/>
      <w:kern w:val="2"/>
      <w:sz w:val="21"/>
      <w:szCs w:val="24"/>
      <w:lang w:val="en-US" w:eastAsia="zh-CN" w:bidi="ar-SA"/>
    </w:rPr>
  </w:style>
  <w:style w:type="character" w:customStyle="1" w:styleId="68">
    <w:name w:val="正文文本 3 Char3"/>
    <w:link w:val="17"/>
    <w:qFormat/>
    <w:uiPriority w:val="0"/>
    <w:rPr>
      <w:rFonts w:eastAsia="宋体"/>
      <w:kern w:val="2"/>
      <w:sz w:val="16"/>
      <w:szCs w:val="16"/>
      <w:lang w:val="en-US" w:eastAsia="zh-CN" w:bidi="ar-SA"/>
    </w:rPr>
  </w:style>
  <w:style w:type="character" w:customStyle="1" w:styleId="69">
    <w:name w:val="正文文本缩进 Char3"/>
    <w:link w:val="18"/>
    <w:qFormat/>
    <w:uiPriority w:val="0"/>
    <w:rPr>
      <w:rFonts w:eastAsia="宋体"/>
      <w:kern w:val="2"/>
      <w:sz w:val="21"/>
      <w:szCs w:val="24"/>
      <w:lang w:val="en-US" w:eastAsia="zh-CN" w:bidi="ar-SA"/>
    </w:rPr>
  </w:style>
  <w:style w:type="character" w:customStyle="1" w:styleId="70">
    <w:name w:val="纯文本 Char3"/>
    <w:link w:val="23"/>
    <w:qFormat/>
    <w:uiPriority w:val="0"/>
    <w:rPr>
      <w:rFonts w:ascii="宋体" w:hAnsi="Courier New" w:eastAsia="宋体" w:cs="Courier New"/>
      <w:kern w:val="2"/>
      <w:sz w:val="21"/>
      <w:szCs w:val="21"/>
      <w:lang w:val="en-US" w:eastAsia="zh-CN" w:bidi="ar-SA"/>
    </w:rPr>
  </w:style>
  <w:style w:type="character" w:customStyle="1" w:styleId="71">
    <w:name w:val="日期 Char4"/>
    <w:link w:val="25"/>
    <w:qFormat/>
    <w:uiPriority w:val="0"/>
    <w:rPr>
      <w:rFonts w:eastAsia="宋体"/>
      <w:kern w:val="2"/>
      <w:sz w:val="21"/>
      <w:szCs w:val="24"/>
      <w:lang w:val="en-US" w:eastAsia="zh-CN" w:bidi="ar-SA"/>
    </w:rPr>
  </w:style>
  <w:style w:type="character" w:customStyle="1" w:styleId="72">
    <w:name w:val="正文文本缩进 2 Char3"/>
    <w:link w:val="26"/>
    <w:qFormat/>
    <w:uiPriority w:val="0"/>
    <w:rPr>
      <w:rFonts w:eastAsia="宋体"/>
      <w:sz w:val="28"/>
      <w:szCs w:val="24"/>
      <w:lang w:val="en-US" w:eastAsia="zh-CN" w:bidi="ar-SA"/>
    </w:rPr>
  </w:style>
  <w:style w:type="character" w:customStyle="1" w:styleId="73">
    <w:name w:val="尾注文本 Char3"/>
    <w:link w:val="27"/>
    <w:qFormat/>
    <w:uiPriority w:val="0"/>
    <w:rPr>
      <w:rFonts w:ascii="Arial" w:hAnsi="Arial" w:eastAsia="宋体" w:cs="Arial"/>
      <w:szCs w:val="24"/>
      <w:lang w:val="en-US" w:eastAsia="en-US" w:bidi="ar-SA"/>
    </w:rPr>
  </w:style>
  <w:style w:type="character" w:customStyle="1" w:styleId="74">
    <w:name w:val="批注框文本 Char4"/>
    <w:link w:val="28"/>
    <w:qFormat/>
    <w:uiPriority w:val="0"/>
    <w:rPr>
      <w:rFonts w:eastAsia="宋体"/>
      <w:kern w:val="2"/>
      <w:sz w:val="18"/>
      <w:szCs w:val="18"/>
      <w:lang w:val="en-US" w:eastAsia="zh-CN" w:bidi="ar-SA"/>
    </w:rPr>
  </w:style>
  <w:style w:type="character" w:customStyle="1" w:styleId="75">
    <w:name w:val="页脚 Char2"/>
    <w:link w:val="29"/>
    <w:qFormat/>
    <w:uiPriority w:val="0"/>
    <w:rPr>
      <w:rFonts w:eastAsia="宋体"/>
      <w:kern w:val="2"/>
      <w:sz w:val="18"/>
      <w:szCs w:val="18"/>
      <w:lang w:val="en-US" w:eastAsia="zh-CN" w:bidi="ar-SA"/>
    </w:rPr>
  </w:style>
  <w:style w:type="character" w:customStyle="1" w:styleId="76">
    <w:name w:val="页眉 Char2"/>
    <w:link w:val="30"/>
    <w:qFormat/>
    <w:uiPriority w:val="0"/>
    <w:rPr>
      <w:rFonts w:eastAsia="宋体"/>
      <w:kern w:val="2"/>
      <w:sz w:val="18"/>
      <w:szCs w:val="18"/>
      <w:lang w:val="en-US" w:eastAsia="zh-CN" w:bidi="ar-SA"/>
    </w:rPr>
  </w:style>
  <w:style w:type="character" w:customStyle="1" w:styleId="77">
    <w:name w:val="副标题 Char3"/>
    <w:link w:val="33"/>
    <w:qFormat/>
    <w:uiPriority w:val="0"/>
    <w:rPr>
      <w:rFonts w:eastAsia="宋体"/>
      <w:szCs w:val="24"/>
      <w:u w:val="single"/>
      <w:lang w:val="en-US" w:eastAsia="en-US" w:bidi="ar-SA"/>
    </w:rPr>
  </w:style>
  <w:style w:type="character" w:customStyle="1" w:styleId="78">
    <w:name w:val="脚注文本 Char3"/>
    <w:link w:val="34"/>
    <w:qFormat/>
    <w:uiPriority w:val="0"/>
    <w:rPr>
      <w:rFonts w:ascii="Arial" w:hAnsi="Arial" w:eastAsia="宋体" w:cs="Arial"/>
      <w:sz w:val="18"/>
      <w:szCs w:val="18"/>
      <w:lang w:val="en-US" w:eastAsia="en-US" w:bidi="ar-SA"/>
    </w:rPr>
  </w:style>
  <w:style w:type="character" w:customStyle="1" w:styleId="79">
    <w:name w:val="正文文本缩进 3 Char3"/>
    <w:link w:val="36"/>
    <w:qFormat/>
    <w:uiPriority w:val="0"/>
    <w:rPr>
      <w:rFonts w:ascii="宋体" w:hAnsi="宋体" w:eastAsia="宋体"/>
      <w:kern w:val="2"/>
      <w:sz w:val="28"/>
      <w:szCs w:val="28"/>
      <w:lang w:val="en-US" w:eastAsia="zh-CN" w:bidi="ar-SA"/>
    </w:rPr>
  </w:style>
  <w:style w:type="character" w:customStyle="1" w:styleId="80">
    <w:name w:val="正文文本 2 Char"/>
    <w:link w:val="39"/>
    <w:qFormat/>
    <w:uiPriority w:val="0"/>
    <w:rPr>
      <w:i/>
      <w:iCs/>
      <w:kern w:val="2"/>
      <w:sz w:val="26"/>
      <w:szCs w:val="24"/>
    </w:rPr>
  </w:style>
  <w:style w:type="character" w:customStyle="1" w:styleId="81">
    <w:name w:val="HTML 预设格式 Char3"/>
    <w:link w:val="40"/>
    <w:qFormat/>
    <w:uiPriority w:val="0"/>
    <w:rPr>
      <w:rFonts w:ascii="宋体" w:hAnsi="宋体" w:eastAsia="宋体" w:cs="宋体"/>
      <w:color w:val="000000"/>
      <w:sz w:val="24"/>
      <w:szCs w:val="24"/>
      <w:lang w:val="en-US" w:eastAsia="zh-CN" w:bidi="ar-SA"/>
    </w:rPr>
  </w:style>
  <w:style w:type="character" w:customStyle="1" w:styleId="82">
    <w:name w:val="标题 Char3"/>
    <w:link w:val="43"/>
    <w:qFormat/>
    <w:uiPriority w:val="0"/>
    <w:rPr>
      <w:rFonts w:eastAsia="宋体"/>
      <w:szCs w:val="24"/>
      <w:u w:val="single"/>
      <w:lang w:val="en-US" w:eastAsia="en-US" w:bidi="ar-SA"/>
    </w:rPr>
  </w:style>
  <w:style w:type="character" w:customStyle="1" w:styleId="83">
    <w:name w:val="批注主题 Char4"/>
    <w:link w:val="44"/>
    <w:qFormat/>
    <w:uiPriority w:val="0"/>
    <w:rPr>
      <w:rFonts w:eastAsia="宋体"/>
      <w:b/>
      <w:bCs/>
      <w:kern w:val="2"/>
      <w:sz w:val="21"/>
      <w:szCs w:val="24"/>
      <w:lang w:val="en-US" w:eastAsia="zh-CN" w:bidi="ar-SA"/>
    </w:rPr>
  </w:style>
  <w:style w:type="character" w:customStyle="1" w:styleId="84">
    <w:name w:val="批注主题 Char1"/>
    <w:qFormat/>
    <w:uiPriority w:val="0"/>
    <w:rPr>
      <w:b/>
      <w:bCs/>
      <w:kern w:val="2"/>
      <w:sz w:val="21"/>
      <w:szCs w:val="22"/>
    </w:rPr>
  </w:style>
  <w:style w:type="character" w:customStyle="1" w:styleId="85">
    <w:name w:val="标题 7 Char"/>
    <w:qFormat/>
    <w:uiPriority w:val="0"/>
    <w:rPr>
      <w:rFonts w:ascii="Calibri" w:hAnsi="Calibri" w:eastAsia="宋体" w:cs="Times New Roman"/>
      <w:b/>
      <w:bCs/>
      <w:sz w:val="24"/>
      <w:szCs w:val="24"/>
    </w:rPr>
  </w:style>
  <w:style w:type="character" w:customStyle="1" w:styleId="86">
    <w:name w:val="style161"/>
    <w:qFormat/>
    <w:uiPriority w:val="0"/>
    <w:rPr>
      <w:b/>
      <w:bCs/>
      <w:color w:val="333333"/>
    </w:rPr>
  </w:style>
  <w:style w:type="character" w:customStyle="1" w:styleId="87">
    <w:name w:val="标题 Char"/>
    <w:qFormat/>
    <w:uiPriority w:val="0"/>
    <w:rPr>
      <w:rFonts w:ascii="Cambria" w:hAnsi="Cambria" w:eastAsia="宋体" w:cs="Times New Roman"/>
      <w:b/>
      <w:bCs/>
      <w:kern w:val="2"/>
      <w:sz w:val="32"/>
      <w:szCs w:val="32"/>
    </w:rPr>
  </w:style>
  <w:style w:type="character" w:customStyle="1" w:styleId="88">
    <w:name w:val="正文文本 2 Char1"/>
    <w:semiHidden/>
    <w:qFormat/>
    <w:uiPriority w:val="99"/>
    <w:rPr>
      <w:rFonts w:ascii="Calibri" w:hAnsi="Calibri" w:eastAsia="宋体" w:cs="Times New Roman"/>
      <w:szCs w:val="24"/>
    </w:rPr>
  </w:style>
  <w:style w:type="character" w:customStyle="1" w:styleId="89">
    <w:name w:val="docpro"/>
    <w:basedOn w:val="47"/>
    <w:qFormat/>
    <w:uiPriority w:val="0"/>
  </w:style>
  <w:style w:type="character" w:customStyle="1" w:styleId="90">
    <w:name w:val="标题 9 Char"/>
    <w:qFormat/>
    <w:uiPriority w:val="0"/>
    <w:rPr>
      <w:rFonts w:ascii="Arial" w:hAnsi="Arial" w:eastAsia="黑体" w:cs="Times New Roman"/>
      <w:szCs w:val="21"/>
    </w:rPr>
  </w:style>
  <w:style w:type="character" w:customStyle="1" w:styleId="91">
    <w:name w:val="标题 3 Char"/>
    <w:qFormat/>
    <w:uiPriority w:val="0"/>
    <w:rPr>
      <w:rFonts w:ascii="仿宋_GB2312" w:hAnsi="Calibri" w:eastAsia="仿宋_GB2312" w:cs="Times New Roman"/>
      <w:b/>
      <w:kern w:val="0"/>
      <w:sz w:val="24"/>
      <w:szCs w:val="28"/>
    </w:rPr>
  </w:style>
  <w:style w:type="character" w:customStyle="1" w:styleId="92">
    <w:name w:val="脚注文本 Char1"/>
    <w:qFormat/>
    <w:uiPriority w:val="0"/>
    <w:rPr>
      <w:rFonts w:ascii="Arial" w:hAnsi="Arial" w:cs="Arial"/>
      <w:sz w:val="18"/>
      <w:szCs w:val="18"/>
      <w:lang w:eastAsia="en-US"/>
    </w:rPr>
  </w:style>
  <w:style w:type="character" w:customStyle="1" w:styleId="93">
    <w:name w:val="纯文本 Char1"/>
    <w:qFormat/>
    <w:uiPriority w:val="0"/>
    <w:rPr>
      <w:rFonts w:ascii="宋体" w:hAnsi="Courier New" w:cs="Courier New"/>
      <w:kern w:val="2"/>
      <w:sz w:val="21"/>
      <w:szCs w:val="21"/>
    </w:rPr>
  </w:style>
  <w:style w:type="character" w:customStyle="1" w:styleId="94">
    <w:name w:val="正文文本 3 Char1"/>
    <w:qFormat/>
    <w:uiPriority w:val="0"/>
    <w:rPr>
      <w:kern w:val="2"/>
      <w:sz w:val="16"/>
      <w:szCs w:val="16"/>
    </w:rPr>
  </w:style>
  <w:style w:type="character" w:customStyle="1" w:styleId="95">
    <w:name w:val="副标题 Char"/>
    <w:qFormat/>
    <w:uiPriority w:val="0"/>
    <w:rPr>
      <w:rFonts w:ascii="Cambria" w:hAnsi="Cambria" w:eastAsia="宋体" w:cs="Times New Roman"/>
      <w:b/>
      <w:bCs/>
      <w:kern w:val="28"/>
      <w:sz w:val="32"/>
      <w:szCs w:val="32"/>
    </w:rPr>
  </w:style>
  <w:style w:type="character" w:customStyle="1" w:styleId="96">
    <w:name w:val="标题 Char2"/>
    <w:qFormat/>
    <w:uiPriority w:val="10"/>
    <w:rPr>
      <w:rFonts w:ascii="Cambria" w:hAnsi="Cambria" w:eastAsia="宋体" w:cs="Times New Roman"/>
      <w:b/>
      <w:bCs/>
      <w:sz w:val="32"/>
      <w:szCs w:val="32"/>
    </w:rPr>
  </w:style>
  <w:style w:type="character" w:customStyle="1" w:styleId="97">
    <w:name w:val="Char Char32"/>
    <w:qFormat/>
    <w:uiPriority w:val="0"/>
    <w:rPr>
      <w:rFonts w:ascii="仿宋_GB2312" w:eastAsia="仿宋_GB2312" w:cs="MingLiU"/>
      <w:b/>
      <w:spacing w:val="1"/>
      <w:w w:val="99"/>
      <w:sz w:val="28"/>
      <w:szCs w:val="32"/>
    </w:rPr>
  </w:style>
  <w:style w:type="character" w:customStyle="1" w:styleId="98">
    <w:name w:val="不明显参考1"/>
    <w:qFormat/>
    <w:uiPriority w:val="0"/>
    <w:rPr>
      <w:smallCaps/>
      <w:color w:val="C0504D"/>
      <w:u w:val="single"/>
    </w:rPr>
  </w:style>
  <w:style w:type="character" w:customStyle="1" w:styleId="99">
    <w:name w:val="color_red1"/>
    <w:qFormat/>
    <w:uiPriority w:val="0"/>
    <w:rPr>
      <w:color w:val="FA0004"/>
    </w:rPr>
  </w:style>
  <w:style w:type="character" w:customStyle="1" w:styleId="100">
    <w:name w:val="HTML 预设格式 Char2"/>
    <w:semiHidden/>
    <w:qFormat/>
    <w:uiPriority w:val="99"/>
    <w:rPr>
      <w:rFonts w:ascii="Courier New" w:hAnsi="Courier New" w:eastAsia="宋体" w:cs="Courier New"/>
      <w:sz w:val="20"/>
      <w:szCs w:val="20"/>
    </w:rPr>
  </w:style>
  <w:style w:type="character" w:customStyle="1" w:styleId="101">
    <w:name w:val="批注文字 Char"/>
    <w:qFormat/>
    <w:uiPriority w:val="0"/>
    <w:rPr>
      <w:rFonts w:ascii="Times New Roman" w:hAnsi="Times New Roman" w:eastAsia="宋体" w:cs="Times New Roman"/>
      <w:kern w:val="2"/>
      <w:sz w:val="21"/>
      <w:szCs w:val="24"/>
    </w:rPr>
  </w:style>
  <w:style w:type="character" w:customStyle="1" w:styleId="102">
    <w:name w:val="不明显强调1"/>
    <w:qFormat/>
    <w:uiPriority w:val="0"/>
    <w:rPr>
      <w:i/>
      <w:iCs/>
      <w:color w:val="808080"/>
    </w:rPr>
  </w:style>
  <w:style w:type="character" w:customStyle="1" w:styleId="103">
    <w:name w:val="批注框文本 Char3"/>
    <w:semiHidden/>
    <w:qFormat/>
    <w:uiPriority w:val="99"/>
    <w:rPr>
      <w:rFonts w:ascii="Calibri" w:hAnsi="Calibri" w:eastAsia="宋体" w:cs="Times New Roman"/>
      <w:sz w:val="18"/>
      <w:szCs w:val="18"/>
    </w:rPr>
  </w:style>
  <w:style w:type="character" w:customStyle="1" w:styleId="104">
    <w:name w:val="unnamed1"/>
    <w:basedOn w:val="47"/>
    <w:qFormat/>
    <w:uiPriority w:val="0"/>
  </w:style>
  <w:style w:type="character" w:customStyle="1" w:styleId="105">
    <w:name w:val="14t1"/>
    <w:qFormat/>
    <w:uiPriority w:val="0"/>
    <w:rPr>
      <w:rFonts w:hint="eastAsia" w:ascii="宋体" w:hAnsi="宋体" w:eastAsia="宋体"/>
      <w:sz w:val="11"/>
      <w:szCs w:val="11"/>
    </w:rPr>
  </w:style>
  <w:style w:type="character" w:customStyle="1" w:styleId="106">
    <w:name w:val="日期 Char1"/>
    <w:qFormat/>
    <w:uiPriority w:val="0"/>
    <w:rPr>
      <w:kern w:val="2"/>
      <w:sz w:val="21"/>
      <w:szCs w:val="22"/>
    </w:rPr>
  </w:style>
  <w:style w:type="character" w:customStyle="1" w:styleId="107">
    <w:name w:val="subhead1"/>
    <w:qFormat/>
    <w:uiPriority w:val="0"/>
    <w:rPr>
      <w:rFonts w:hint="default" w:ascii="Tahoma" w:hAnsi="Tahoma" w:cs="Tahoma"/>
      <w:color w:val="000000"/>
      <w:sz w:val="18"/>
      <w:szCs w:val="18"/>
      <w:u w:val="none"/>
      <w:shd w:val="clear" w:color="auto" w:fill="FFFFFF"/>
    </w:rPr>
  </w:style>
  <w:style w:type="character" w:customStyle="1" w:styleId="108">
    <w:name w:val="文档结构图 Char"/>
    <w:qFormat/>
    <w:uiPriority w:val="0"/>
    <w:rPr>
      <w:rFonts w:ascii="宋体"/>
      <w:kern w:val="2"/>
      <w:sz w:val="18"/>
      <w:szCs w:val="18"/>
    </w:rPr>
  </w:style>
  <w:style w:type="character" w:customStyle="1" w:styleId="109">
    <w:name w:val="不明显参考11"/>
    <w:qFormat/>
    <w:uiPriority w:val="0"/>
    <w:rPr>
      <w:smallCaps/>
      <w:color w:val="C0504D"/>
      <w:u w:val="single"/>
    </w:rPr>
  </w:style>
  <w:style w:type="character" w:customStyle="1" w:styleId="110">
    <w:name w:val="引用 字符"/>
    <w:link w:val="111"/>
    <w:qFormat/>
    <w:uiPriority w:val="0"/>
    <w:rPr>
      <w:i/>
      <w:iCs/>
      <w:color w:val="000000"/>
      <w:kern w:val="2"/>
      <w:sz w:val="21"/>
      <w:szCs w:val="22"/>
      <w:lang w:bidi="ar-SA"/>
    </w:rPr>
  </w:style>
  <w:style w:type="paragraph" w:customStyle="1" w:styleId="111">
    <w:name w:val="引用1"/>
    <w:basedOn w:val="1"/>
    <w:next w:val="1"/>
    <w:link w:val="110"/>
    <w:qFormat/>
    <w:uiPriority w:val="0"/>
    <w:rPr>
      <w:i/>
      <w:iCs/>
      <w:color w:val="000000"/>
      <w:szCs w:val="22"/>
    </w:rPr>
  </w:style>
  <w:style w:type="character" w:customStyle="1" w:styleId="112">
    <w:name w:val="标题 3 Char1"/>
    <w:qFormat/>
    <w:uiPriority w:val="0"/>
    <w:rPr>
      <w:rFonts w:ascii="Times New Roman" w:hAnsi="Times New Roman" w:eastAsia="宋体" w:cs="Times New Roman"/>
      <w:b/>
      <w:bCs/>
      <w:kern w:val="2"/>
      <w:sz w:val="32"/>
      <w:szCs w:val="32"/>
    </w:rPr>
  </w:style>
  <w:style w:type="character" w:customStyle="1" w:styleId="113">
    <w:name w:val="Char Char23"/>
    <w:qFormat/>
    <w:uiPriority w:val="0"/>
    <w:rPr>
      <w:rFonts w:ascii="Cambria" w:hAnsi="Cambria" w:eastAsia="宋体" w:cs="Times New Roman"/>
      <w:b/>
      <w:bCs/>
      <w:kern w:val="2"/>
      <w:sz w:val="32"/>
      <w:szCs w:val="32"/>
    </w:rPr>
  </w:style>
  <w:style w:type="character" w:customStyle="1" w:styleId="114">
    <w:name w:val="明显引用 Char2"/>
    <w:qFormat/>
    <w:uiPriority w:val="99"/>
    <w:rPr>
      <w:b/>
      <w:bCs/>
      <w:i/>
      <w:iCs/>
      <w:color w:val="4F81BD"/>
      <w:kern w:val="2"/>
      <w:sz w:val="21"/>
      <w:szCs w:val="24"/>
    </w:rPr>
  </w:style>
  <w:style w:type="character" w:customStyle="1" w:styleId="115">
    <w:name w:val="引用 Char"/>
    <w:link w:val="116"/>
    <w:qFormat/>
    <w:uiPriority w:val="0"/>
    <w:rPr>
      <w:rFonts w:ascii="Times New Roman" w:hAnsi="Times New Roman" w:eastAsia="宋体" w:cs="Times New Roman"/>
      <w:i/>
      <w:iCs/>
      <w:color w:val="000000"/>
      <w:kern w:val="2"/>
      <w:sz w:val="21"/>
      <w:szCs w:val="24"/>
    </w:rPr>
  </w:style>
  <w:style w:type="paragraph" w:customStyle="1" w:styleId="116">
    <w:name w:val="引用2"/>
    <w:basedOn w:val="1"/>
    <w:next w:val="1"/>
    <w:link w:val="115"/>
    <w:qFormat/>
    <w:uiPriority w:val="0"/>
    <w:rPr>
      <w:i/>
      <w:iCs/>
      <w:color w:val="000000"/>
    </w:rPr>
  </w:style>
  <w:style w:type="character" w:customStyle="1" w:styleId="117">
    <w:name w:val="副标题 Char1"/>
    <w:qFormat/>
    <w:uiPriority w:val="0"/>
    <w:rPr>
      <w:szCs w:val="24"/>
      <w:u w:val="single"/>
      <w:lang w:eastAsia="en-US"/>
    </w:rPr>
  </w:style>
  <w:style w:type="character" w:customStyle="1" w:styleId="118">
    <w:name w:val="标题5 Char Char"/>
    <w:link w:val="119"/>
    <w:qFormat/>
    <w:uiPriority w:val="0"/>
    <w:rPr>
      <w:rFonts w:ascii="Arial" w:hAnsi="Arial"/>
      <w:b/>
      <w:bCs/>
      <w:sz w:val="24"/>
      <w:szCs w:val="32"/>
      <w:lang w:bidi="ar-SA"/>
    </w:rPr>
  </w:style>
  <w:style w:type="paragraph" w:customStyle="1" w:styleId="119">
    <w:name w:val="标题5"/>
    <w:basedOn w:val="5"/>
    <w:link w:val="118"/>
    <w:qFormat/>
    <w:uiPriority w:val="0"/>
    <w:pPr>
      <w:spacing w:line="413" w:lineRule="auto"/>
    </w:pPr>
    <w:rPr>
      <w:rFonts w:ascii="Arial" w:hAnsi="Arial"/>
      <w:kern w:val="0"/>
      <w:sz w:val="24"/>
    </w:rPr>
  </w:style>
  <w:style w:type="character" w:customStyle="1" w:styleId="120">
    <w:name w:val="Char Char17"/>
    <w:qFormat/>
    <w:uiPriority w:val="0"/>
    <w:rPr>
      <w:kern w:val="2"/>
      <w:sz w:val="26"/>
      <w:szCs w:val="24"/>
    </w:rPr>
  </w:style>
  <w:style w:type="character" w:customStyle="1" w:styleId="121">
    <w:name w:val="页眉 Char1"/>
    <w:semiHidden/>
    <w:qFormat/>
    <w:uiPriority w:val="99"/>
    <w:rPr>
      <w:kern w:val="2"/>
      <w:sz w:val="18"/>
      <w:szCs w:val="18"/>
    </w:rPr>
  </w:style>
  <w:style w:type="character" w:customStyle="1" w:styleId="122">
    <w:name w:val="引用 Char3"/>
    <w:qFormat/>
    <w:uiPriority w:val="29"/>
    <w:rPr>
      <w:rFonts w:ascii="Calibri" w:hAnsi="Calibri" w:eastAsia="宋体" w:cs="Times New Roman"/>
      <w:i/>
      <w:iCs/>
      <w:color w:val="000000"/>
      <w:szCs w:val="24"/>
    </w:rPr>
  </w:style>
  <w:style w:type="character" w:customStyle="1" w:styleId="123">
    <w:name w:val="HTML 预设格式 Char"/>
    <w:qFormat/>
    <w:uiPriority w:val="0"/>
    <w:rPr>
      <w:rFonts w:ascii="宋体" w:hAnsi="宋体" w:eastAsia="宋体" w:cs="宋体"/>
      <w:color w:val="000000"/>
      <w:sz w:val="24"/>
      <w:szCs w:val="24"/>
    </w:rPr>
  </w:style>
  <w:style w:type="character" w:customStyle="1" w:styleId="124">
    <w:name w:val="文档结构图 Char3"/>
    <w:semiHidden/>
    <w:qFormat/>
    <w:uiPriority w:val="99"/>
    <w:rPr>
      <w:rFonts w:ascii="宋体" w:hAnsi="Calibri" w:eastAsia="宋体" w:cs="Times New Roman"/>
      <w:sz w:val="18"/>
      <w:szCs w:val="18"/>
    </w:rPr>
  </w:style>
  <w:style w:type="character" w:customStyle="1" w:styleId="125">
    <w:name w:val="ss16"/>
    <w:qFormat/>
    <w:uiPriority w:val="0"/>
    <w:rPr>
      <w:rFonts w:hint="eastAsia" w:ascii="宋体" w:hAnsi="宋体" w:eastAsia="宋体"/>
      <w:color w:val="000000"/>
      <w:sz w:val="9"/>
      <w:szCs w:val="9"/>
    </w:rPr>
  </w:style>
  <w:style w:type="character" w:customStyle="1" w:styleId="126">
    <w:name w:val="引用 Char2"/>
    <w:qFormat/>
    <w:uiPriority w:val="99"/>
    <w:rPr>
      <w:i/>
      <w:iCs/>
      <w:color w:val="000000"/>
      <w:kern w:val="2"/>
      <w:sz w:val="21"/>
      <w:szCs w:val="24"/>
    </w:rPr>
  </w:style>
  <w:style w:type="character" w:customStyle="1" w:styleId="127">
    <w:name w:val="纯文本 Char"/>
    <w:qFormat/>
    <w:uiPriority w:val="0"/>
    <w:rPr>
      <w:rFonts w:ascii="宋体" w:hAnsi="Courier New"/>
      <w:sz w:val="28"/>
      <w:szCs w:val="28"/>
    </w:rPr>
  </w:style>
  <w:style w:type="character" w:customStyle="1" w:styleId="128">
    <w:name w:val="正文文本 Char2"/>
    <w:qFormat/>
    <w:uiPriority w:val="99"/>
    <w:rPr>
      <w:kern w:val="2"/>
      <w:sz w:val="21"/>
      <w:szCs w:val="24"/>
    </w:rPr>
  </w:style>
  <w:style w:type="character" w:customStyle="1" w:styleId="129">
    <w:name w:val="文档结构图 Char1"/>
    <w:qFormat/>
    <w:uiPriority w:val="0"/>
    <w:rPr>
      <w:rFonts w:ascii="宋体"/>
      <w:kern w:val="2"/>
      <w:sz w:val="18"/>
      <w:szCs w:val="18"/>
    </w:rPr>
  </w:style>
  <w:style w:type="character" w:customStyle="1" w:styleId="130">
    <w:name w:val="ht1"/>
    <w:qFormat/>
    <w:uiPriority w:val="0"/>
    <w:rPr>
      <w:rFonts w:ascii="黑体" w:eastAsia="黑体"/>
      <w:b/>
      <w:bCs/>
    </w:rPr>
  </w:style>
  <w:style w:type="character" w:customStyle="1" w:styleId="131">
    <w:name w:val="页眉 Char"/>
    <w:qFormat/>
    <w:uiPriority w:val="0"/>
    <w:rPr>
      <w:sz w:val="18"/>
      <w:szCs w:val="18"/>
    </w:rPr>
  </w:style>
  <w:style w:type="character" w:customStyle="1" w:styleId="132">
    <w:name w:val="明显参考1"/>
    <w:qFormat/>
    <w:uiPriority w:val="0"/>
    <w:rPr>
      <w:b/>
      <w:bCs/>
      <w:smallCaps/>
      <w:color w:val="C0504D"/>
      <w:spacing w:val="5"/>
      <w:u w:val="single"/>
    </w:rPr>
  </w:style>
  <w:style w:type="character" w:customStyle="1" w:styleId="133">
    <w:name w:val="正文文本 Char1"/>
    <w:qFormat/>
    <w:uiPriority w:val="0"/>
    <w:rPr>
      <w:kern w:val="2"/>
      <w:sz w:val="21"/>
      <w:szCs w:val="22"/>
    </w:rPr>
  </w:style>
  <w:style w:type="character" w:customStyle="1" w:styleId="134">
    <w:name w:val="Section Char"/>
    <w:qFormat/>
    <w:uiPriority w:val="0"/>
    <w:rPr>
      <w:rFonts w:ascii="仿宋_GB2312" w:eastAsia="仿宋_GB2312" w:cs="MingLiU"/>
      <w:b/>
      <w:sz w:val="24"/>
      <w:szCs w:val="28"/>
      <w:lang w:val="en-US" w:eastAsia="zh-CN" w:bidi="ar-SA"/>
    </w:rPr>
  </w:style>
  <w:style w:type="character" w:customStyle="1" w:styleId="135">
    <w:name w:val="页脚 Char"/>
    <w:qFormat/>
    <w:uiPriority w:val="0"/>
    <w:rPr>
      <w:sz w:val="18"/>
      <w:szCs w:val="18"/>
    </w:rPr>
  </w:style>
  <w:style w:type="character" w:customStyle="1" w:styleId="136">
    <w:name w:val="Char Char35"/>
    <w:qFormat/>
    <w:uiPriority w:val="0"/>
    <w:rPr>
      <w:rFonts w:ascii="仿宋_GB2312" w:eastAsia="仿宋_GB2312" w:cs="MingLiU"/>
      <w:b/>
      <w:sz w:val="24"/>
      <w:szCs w:val="28"/>
    </w:rPr>
  </w:style>
  <w:style w:type="character" w:customStyle="1" w:styleId="137">
    <w:name w:val="标题4 Char Char"/>
    <w:link w:val="138"/>
    <w:qFormat/>
    <w:uiPriority w:val="0"/>
    <w:rPr>
      <w:rFonts w:ascii="Arial" w:hAnsi="Arial"/>
      <w:b/>
      <w:bCs/>
      <w:sz w:val="24"/>
      <w:szCs w:val="32"/>
      <w:lang w:bidi="ar-SA"/>
    </w:rPr>
  </w:style>
  <w:style w:type="paragraph" w:customStyle="1" w:styleId="138">
    <w:name w:val="标题4"/>
    <w:basedOn w:val="4"/>
    <w:next w:val="20"/>
    <w:link w:val="137"/>
    <w:qFormat/>
    <w:uiPriority w:val="0"/>
    <w:pPr>
      <w:spacing w:line="413" w:lineRule="auto"/>
    </w:pPr>
    <w:rPr>
      <w:rFonts w:ascii="Arial" w:hAnsi="Arial"/>
      <w:kern w:val="0"/>
      <w:sz w:val="24"/>
    </w:rPr>
  </w:style>
  <w:style w:type="character" w:customStyle="1" w:styleId="139">
    <w:name w:val="普通文字 Char Char1"/>
    <w:qFormat/>
    <w:uiPriority w:val="0"/>
    <w:rPr>
      <w:rFonts w:ascii="宋体" w:hAnsi="Courier New"/>
      <w:kern w:val="2"/>
      <w:sz w:val="28"/>
      <w:szCs w:val="28"/>
    </w:rPr>
  </w:style>
  <w:style w:type="character" w:customStyle="1" w:styleId="140">
    <w:name w:val="尾注文本 Char"/>
    <w:qFormat/>
    <w:uiPriority w:val="0"/>
    <w:rPr>
      <w:kern w:val="2"/>
      <w:sz w:val="21"/>
      <w:szCs w:val="24"/>
    </w:rPr>
  </w:style>
  <w:style w:type="character" w:customStyle="1" w:styleId="141">
    <w:name w:val="Char Char34"/>
    <w:qFormat/>
    <w:uiPriority w:val="0"/>
    <w:rPr>
      <w:rFonts w:ascii="仿宋_GB2312" w:eastAsia="仿宋_GB2312" w:cs="MingLiU"/>
      <w:b/>
      <w:spacing w:val="1"/>
      <w:w w:val="99"/>
      <w:sz w:val="28"/>
      <w:szCs w:val="32"/>
    </w:rPr>
  </w:style>
  <w:style w:type="character" w:customStyle="1" w:styleId="142">
    <w:name w:val="Char Char9"/>
    <w:qFormat/>
    <w:locked/>
    <w:uiPriority w:val="0"/>
    <w:rPr>
      <w:rFonts w:ascii="仿宋_GB2312" w:eastAsia="仿宋_GB2312" w:cs="MingLiU"/>
      <w:b/>
      <w:sz w:val="24"/>
      <w:szCs w:val="28"/>
      <w:lang w:val="en-US" w:eastAsia="zh-CN" w:bidi="ar-SA"/>
    </w:rPr>
  </w:style>
  <w:style w:type="character" w:customStyle="1" w:styleId="143">
    <w:name w:val="标题 1 Char"/>
    <w:qFormat/>
    <w:uiPriority w:val="0"/>
    <w:rPr>
      <w:rFonts w:ascii="Times New Roman" w:hAnsi="Times New Roman" w:eastAsia="宋体" w:cs="Times New Roman"/>
      <w:b/>
      <w:bCs/>
      <w:kern w:val="44"/>
      <w:sz w:val="44"/>
      <w:szCs w:val="44"/>
    </w:rPr>
  </w:style>
  <w:style w:type="character" w:customStyle="1" w:styleId="144">
    <w:name w:val="明显引用 Char"/>
    <w:qFormat/>
    <w:uiPriority w:val="0"/>
    <w:rPr>
      <w:rFonts w:ascii="Times New Roman" w:hAnsi="Times New Roman" w:eastAsia="宋体" w:cs="Times New Roman"/>
      <w:b/>
      <w:bCs/>
      <w:i/>
      <w:iCs/>
      <w:color w:val="4F81BD"/>
      <w:kern w:val="2"/>
      <w:sz w:val="21"/>
      <w:szCs w:val="24"/>
    </w:rPr>
  </w:style>
  <w:style w:type="character" w:customStyle="1" w:styleId="145">
    <w:name w:val="Char Char24"/>
    <w:qFormat/>
    <w:uiPriority w:val="0"/>
    <w:rPr>
      <w:b/>
      <w:bCs/>
      <w:kern w:val="44"/>
      <w:sz w:val="44"/>
      <w:szCs w:val="44"/>
    </w:rPr>
  </w:style>
  <w:style w:type="character" w:customStyle="1" w:styleId="146">
    <w:name w:val="书籍标题1"/>
    <w:qFormat/>
    <w:uiPriority w:val="0"/>
    <w:rPr>
      <w:b/>
      <w:bCs/>
      <w:smallCaps/>
      <w:spacing w:val="5"/>
    </w:rPr>
  </w:style>
  <w:style w:type="character" w:customStyle="1" w:styleId="147">
    <w:name w:val="批注文字 Char1"/>
    <w:qFormat/>
    <w:uiPriority w:val="99"/>
    <w:rPr>
      <w:rFonts w:ascii="Times New Roman" w:hAnsi="Times New Roman" w:eastAsia="宋体" w:cs="Times New Roman"/>
      <w:szCs w:val="24"/>
    </w:rPr>
  </w:style>
  <w:style w:type="character" w:customStyle="1" w:styleId="148">
    <w:name w:val="Char Char13"/>
    <w:qFormat/>
    <w:uiPriority w:val="0"/>
    <w:rPr>
      <w:kern w:val="2"/>
      <w:sz w:val="18"/>
      <w:szCs w:val="18"/>
    </w:rPr>
  </w:style>
  <w:style w:type="character" w:customStyle="1" w:styleId="149">
    <w:name w:val="正文文本缩进 3 Char"/>
    <w:qFormat/>
    <w:uiPriority w:val="0"/>
    <w:rPr>
      <w:kern w:val="2"/>
      <w:sz w:val="16"/>
      <w:szCs w:val="16"/>
    </w:rPr>
  </w:style>
  <w:style w:type="character" w:customStyle="1" w:styleId="150">
    <w:name w:val="引用 Char1"/>
    <w:link w:val="151"/>
    <w:qFormat/>
    <w:uiPriority w:val="29"/>
    <w:rPr>
      <w:i/>
      <w:iCs/>
      <w:color w:val="000000"/>
      <w:kern w:val="2"/>
      <w:sz w:val="21"/>
    </w:rPr>
  </w:style>
  <w:style w:type="paragraph" w:customStyle="1" w:styleId="151">
    <w:name w:val="引用11"/>
    <w:basedOn w:val="1"/>
    <w:next w:val="1"/>
    <w:link w:val="150"/>
    <w:qFormat/>
    <w:uiPriority w:val="29"/>
    <w:rPr>
      <w:i/>
      <w:iCs/>
      <w:color w:val="000000"/>
      <w:szCs w:val="20"/>
    </w:rPr>
  </w:style>
  <w:style w:type="character" w:customStyle="1" w:styleId="152">
    <w:name w:val="Char Char21"/>
    <w:qFormat/>
    <w:uiPriority w:val="0"/>
    <w:rPr>
      <w:rFonts w:ascii="宋体" w:hAnsi="宋体" w:cs="宋体"/>
      <w:b/>
      <w:bCs/>
      <w:sz w:val="24"/>
      <w:szCs w:val="24"/>
    </w:rPr>
  </w:style>
  <w:style w:type="character" w:customStyle="1" w:styleId="153">
    <w:name w:val="正文文本缩进 2 Char1"/>
    <w:qFormat/>
    <w:uiPriority w:val="0"/>
    <w:rPr>
      <w:sz w:val="28"/>
      <w:szCs w:val="24"/>
    </w:rPr>
  </w:style>
  <w:style w:type="character" w:customStyle="1" w:styleId="154">
    <w:name w:val="ITTHEADER2 Char"/>
    <w:qFormat/>
    <w:uiPriority w:val="0"/>
    <w:rPr>
      <w:rFonts w:ascii="仿宋_GB2312" w:eastAsia="仿宋_GB2312" w:cs="MingLiU"/>
      <w:b/>
      <w:spacing w:val="1"/>
      <w:w w:val="99"/>
      <w:sz w:val="28"/>
      <w:szCs w:val="32"/>
      <w:lang w:val="en-US" w:eastAsia="zh-CN" w:bidi="ar-SA"/>
    </w:rPr>
  </w:style>
  <w:style w:type="character" w:customStyle="1" w:styleId="155">
    <w:name w:val="Char Char36"/>
    <w:qFormat/>
    <w:uiPriority w:val="0"/>
    <w:rPr>
      <w:rFonts w:ascii="仿宋_GB2312" w:eastAsia="仿宋_GB2312" w:cs="MingLiU"/>
      <w:b/>
      <w:sz w:val="24"/>
      <w:szCs w:val="28"/>
    </w:rPr>
  </w:style>
  <w:style w:type="character" w:customStyle="1" w:styleId="156">
    <w:name w:val="0d1471"/>
    <w:qFormat/>
    <w:uiPriority w:val="0"/>
    <w:rPr>
      <w:color w:val="000000"/>
      <w:sz w:val="11"/>
      <w:szCs w:val="11"/>
      <w:u w:val="none"/>
    </w:rPr>
  </w:style>
  <w:style w:type="character" w:customStyle="1" w:styleId="157">
    <w:name w:val="标题 7 Char1"/>
    <w:qFormat/>
    <w:uiPriority w:val="0"/>
    <w:rPr>
      <w:rFonts w:ascii="Times New Roman" w:hAnsi="Times New Roman" w:eastAsia="仿宋_GB2312" w:cs="Times New Roman"/>
      <w:sz w:val="30"/>
      <w:szCs w:val="20"/>
    </w:rPr>
  </w:style>
  <w:style w:type="character" w:customStyle="1" w:styleId="158">
    <w:name w:val="手改 Char Char"/>
    <w:qFormat/>
    <w:uiPriority w:val="0"/>
    <w:rPr>
      <w:kern w:val="2"/>
      <w:sz w:val="21"/>
      <w:szCs w:val="24"/>
    </w:rPr>
  </w:style>
  <w:style w:type="character" w:customStyle="1" w:styleId="159">
    <w:name w:val="s3"/>
    <w:qFormat/>
    <w:uiPriority w:val="0"/>
  </w:style>
  <w:style w:type="character" w:customStyle="1" w:styleId="160">
    <w:name w:val="ITTHEADER1 Char"/>
    <w:qFormat/>
    <w:uiPriority w:val="0"/>
    <w:rPr>
      <w:rFonts w:eastAsia="黑体"/>
      <w:kern w:val="2"/>
      <w:sz w:val="44"/>
      <w:szCs w:val="44"/>
      <w:lang w:val="en-US" w:eastAsia="zh-CN" w:bidi="ar-SA"/>
    </w:rPr>
  </w:style>
  <w:style w:type="character" w:customStyle="1" w:styleId="161">
    <w:name w:val="脚注文本 Char2"/>
    <w:semiHidden/>
    <w:qFormat/>
    <w:uiPriority w:val="99"/>
    <w:rPr>
      <w:rFonts w:ascii="Calibri" w:hAnsi="Calibri" w:eastAsia="宋体" w:cs="Times New Roman"/>
      <w:sz w:val="18"/>
      <w:szCs w:val="18"/>
    </w:rPr>
  </w:style>
  <w:style w:type="character" w:customStyle="1" w:styleId="162">
    <w:name w:val="Char Char22"/>
    <w:qFormat/>
    <w:uiPriority w:val="0"/>
    <w:rPr>
      <w:b/>
      <w:bCs/>
      <w:kern w:val="2"/>
      <w:sz w:val="32"/>
      <w:szCs w:val="32"/>
    </w:rPr>
  </w:style>
  <w:style w:type="character" w:customStyle="1" w:styleId="163">
    <w:name w:val="标题 4 Char"/>
    <w:qFormat/>
    <w:uiPriority w:val="0"/>
    <w:rPr>
      <w:rFonts w:ascii="仿宋_GB2312" w:hAnsi="Calibri" w:eastAsia="仿宋_GB2312" w:cs="Times New Roman"/>
      <w:b/>
      <w:kern w:val="0"/>
      <w:sz w:val="24"/>
      <w:szCs w:val="28"/>
    </w:rPr>
  </w:style>
  <w:style w:type="character" w:customStyle="1" w:styleId="164">
    <w:name w:val="文档结构图 Char2"/>
    <w:qFormat/>
    <w:uiPriority w:val="99"/>
    <w:rPr>
      <w:kern w:val="2"/>
      <w:sz w:val="21"/>
      <w:szCs w:val="24"/>
      <w:shd w:val="clear" w:color="auto" w:fill="000080"/>
    </w:rPr>
  </w:style>
  <w:style w:type="character" w:customStyle="1" w:styleId="165">
    <w:name w:val="textcontents"/>
    <w:qFormat/>
    <w:uiPriority w:val="0"/>
    <w:rPr>
      <w:rFonts w:cs="Times New Roman"/>
    </w:rPr>
  </w:style>
  <w:style w:type="character" w:customStyle="1" w:styleId="166">
    <w:name w:val="Char Char12"/>
    <w:qFormat/>
    <w:uiPriority w:val="0"/>
    <w:rPr>
      <w:rFonts w:eastAsia="黑体"/>
      <w:kern w:val="2"/>
      <w:sz w:val="44"/>
      <w:szCs w:val="44"/>
      <w:lang w:val="en-US" w:eastAsia="zh-CN" w:bidi="ar-SA"/>
    </w:rPr>
  </w:style>
  <w:style w:type="character" w:customStyle="1" w:styleId="167">
    <w:name w:val="脚注文本 Char"/>
    <w:qFormat/>
    <w:uiPriority w:val="0"/>
    <w:rPr>
      <w:rFonts w:ascii="Arial" w:hAnsi="Arial" w:eastAsia="宋体" w:cs="Arial"/>
      <w:sz w:val="18"/>
      <w:szCs w:val="18"/>
      <w:lang w:eastAsia="en-US"/>
    </w:rPr>
  </w:style>
  <w:style w:type="character" w:customStyle="1" w:styleId="168">
    <w:name w:val="明显强调1"/>
    <w:qFormat/>
    <w:uiPriority w:val="0"/>
    <w:rPr>
      <w:b/>
      <w:bCs/>
      <w:i/>
      <w:iCs/>
      <w:color w:val="4F81BD"/>
    </w:rPr>
  </w:style>
  <w:style w:type="character" w:customStyle="1" w:styleId="169">
    <w:name w:val="书籍标题11"/>
    <w:qFormat/>
    <w:uiPriority w:val="0"/>
    <w:rPr>
      <w:b/>
      <w:bCs/>
      <w:smallCaps/>
      <w:spacing w:val="5"/>
    </w:rPr>
  </w:style>
  <w:style w:type="character" w:customStyle="1" w:styleId="170">
    <w:name w:val="标题 6 Char1"/>
    <w:qFormat/>
    <w:uiPriority w:val="0"/>
    <w:rPr>
      <w:rFonts w:ascii="Times New Roman" w:hAnsi="Arial" w:eastAsia="仿宋_GB2312" w:cs="Times New Roman"/>
      <w:sz w:val="30"/>
      <w:szCs w:val="20"/>
    </w:rPr>
  </w:style>
  <w:style w:type="character" w:customStyle="1" w:styleId="171">
    <w:name w:val="批注框文本 Char1"/>
    <w:qFormat/>
    <w:uiPriority w:val="0"/>
    <w:rPr>
      <w:kern w:val="2"/>
      <w:sz w:val="18"/>
      <w:szCs w:val="18"/>
    </w:rPr>
  </w:style>
  <w:style w:type="character" w:customStyle="1" w:styleId="172">
    <w:name w:val="style121"/>
    <w:qFormat/>
    <w:uiPriority w:val="0"/>
    <w:rPr>
      <w:rFonts w:hint="eastAsia" w:ascii="宋体" w:hAnsi="宋体" w:eastAsia="宋体"/>
      <w:sz w:val="18"/>
      <w:szCs w:val="18"/>
    </w:rPr>
  </w:style>
  <w:style w:type="character" w:customStyle="1" w:styleId="173">
    <w:name w:val="标题 9 Char1"/>
    <w:qFormat/>
    <w:uiPriority w:val="0"/>
    <w:rPr>
      <w:rFonts w:ascii="Times New Roman" w:hAnsi="Times New Roman" w:eastAsia="仿宋_GB2312" w:cs="Times New Roman"/>
      <w:sz w:val="30"/>
      <w:szCs w:val="20"/>
    </w:rPr>
  </w:style>
  <w:style w:type="character" w:customStyle="1" w:styleId="174">
    <w:name w:val="normaltext1"/>
    <w:qFormat/>
    <w:uiPriority w:val="0"/>
    <w:rPr>
      <w:rFonts w:hint="default" w:ascii="ˎ̥" w:hAnsi="ˎ̥"/>
      <w:sz w:val="9"/>
      <w:szCs w:val="9"/>
    </w:rPr>
  </w:style>
  <w:style w:type="character" w:customStyle="1" w:styleId="175">
    <w:name w:val="页脚 Char1"/>
    <w:semiHidden/>
    <w:qFormat/>
    <w:uiPriority w:val="99"/>
    <w:rPr>
      <w:kern w:val="2"/>
      <w:sz w:val="18"/>
      <w:szCs w:val="18"/>
    </w:rPr>
  </w:style>
  <w:style w:type="character" w:customStyle="1" w:styleId="176">
    <w:name w:val="正文文本缩进 2 Char"/>
    <w:qFormat/>
    <w:uiPriority w:val="0"/>
    <w:rPr>
      <w:kern w:val="2"/>
      <w:sz w:val="21"/>
      <w:szCs w:val="24"/>
    </w:rPr>
  </w:style>
  <w:style w:type="character" w:customStyle="1" w:styleId="177">
    <w:name w:val="ca-141"/>
    <w:qFormat/>
    <w:uiPriority w:val="0"/>
    <w:rPr>
      <w:rFonts w:hint="eastAsia" w:ascii="仿宋_GB2312" w:eastAsia="仿宋_GB2312"/>
      <w:sz w:val="21"/>
      <w:szCs w:val="21"/>
    </w:rPr>
  </w:style>
  <w:style w:type="character" w:customStyle="1" w:styleId="178">
    <w:name w:val="intel3"/>
    <w:basedOn w:val="47"/>
    <w:qFormat/>
    <w:uiPriority w:val="0"/>
  </w:style>
  <w:style w:type="character" w:customStyle="1" w:styleId="179">
    <w:name w:val="标题 Char1"/>
    <w:qFormat/>
    <w:uiPriority w:val="10"/>
    <w:rPr>
      <w:szCs w:val="24"/>
      <w:u w:val="single"/>
      <w:lang w:eastAsia="en-US"/>
    </w:rPr>
  </w:style>
  <w:style w:type="character" w:customStyle="1" w:styleId="180">
    <w:name w:val="style21"/>
    <w:qFormat/>
    <w:uiPriority w:val="0"/>
    <w:rPr>
      <w:b/>
      <w:bCs/>
      <w:sz w:val="28"/>
      <w:szCs w:val="28"/>
    </w:rPr>
  </w:style>
  <w:style w:type="character" w:customStyle="1" w:styleId="181">
    <w:name w:val="main_tdbg_7601"/>
    <w:qFormat/>
    <w:uiPriority w:val="0"/>
    <w:rPr>
      <w:sz w:val="14"/>
      <w:szCs w:val="14"/>
    </w:rPr>
  </w:style>
  <w:style w:type="character" w:customStyle="1" w:styleId="182">
    <w:name w:val="正文文本缩进 Char"/>
    <w:qFormat/>
    <w:uiPriority w:val="0"/>
    <w:rPr>
      <w:rFonts w:ascii="黑体" w:hAnsi="宋体" w:eastAsia="黑体"/>
      <w:color w:val="000000"/>
      <w:sz w:val="28"/>
      <w:szCs w:val="32"/>
    </w:rPr>
  </w:style>
  <w:style w:type="character" w:customStyle="1" w:styleId="183">
    <w:name w:val="批注文字 Char2"/>
    <w:qFormat/>
    <w:uiPriority w:val="0"/>
    <w:rPr>
      <w:rFonts w:ascii="Calibri" w:hAnsi="Calibri" w:eastAsia="宋体" w:cs="Times New Roman"/>
      <w:szCs w:val="24"/>
    </w:rPr>
  </w:style>
  <w:style w:type="character" w:customStyle="1" w:styleId="184">
    <w:name w:val="批注文字 Char Char"/>
    <w:qFormat/>
    <w:uiPriority w:val="0"/>
    <w:rPr>
      <w:rFonts w:ascii="宋体" w:hAnsi="Times New Roman" w:eastAsia="宋体" w:cs="Times New Roman"/>
      <w:sz w:val="28"/>
      <w:szCs w:val="20"/>
    </w:rPr>
  </w:style>
  <w:style w:type="character" w:customStyle="1" w:styleId="185">
    <w:name w:val="明显引用 Char3"/>
    <w:qFormat/>
    <w:uiPriority w:val="30"/>
    <w:rPr>
      <w:rFonts w:ascii="Calibri" w:hAnsi="Calibri" w:eastAsia="宋体" w:cs="Times New Roman"/>
      <w:b/>
      <w:bCs/>
      <w:i/>
      <w:iCs/>
      <w:color w:val="4F81BD"/>
      <w:szCs w:val="24"/>
    </w:rPr>
  </w:style>
  <w:style w:type="character" w:customStyle="1" w:styleId="186">
    <w:name w:val="HTML 预设格式 Char1"/>
    <w:qFormat/>
    <w:uiPriority w:val="0"/>
    <w:rPr>
      <w:rFonts w:ascii="宋体" w:hAnsi="宋体" w:cs="宋体"/>
      <w:color w:val="000000"/>
      <w:sz w:val="24"/>
      <w:szCs w:val="24"/>
    </w:rPr>
  </w:style>
  <w:style w:type="character" w:customStyle="1" w:styleId="187">
    <w:name w:val="批注主题 Char"/>
    <w:qFormat/>
    <w:uiPriority w:val="0"/>
    <w:rPr>
      <w:rFonts w:ascii="宋体" w:hAnsi="宋体" w:eastAsia="宋体"/>
      <w:kern w:val="2"/>
      <w:sz w:val="24"/>
      <w:szCs w:val="28"/>
      <w:lang w:val="en-US" w:eastAsia="zh-CN" w:bidi="ar-SA"/>
    </w:rPr>
  </w:style>
  <w:style w:type="character" w:customStyle="1" w:styleId="188">
    <w:name w:val="正文文本缩进 Char2"/>
    <w:semiHidden/>
    <w:qFormat/>
    <w:uiPriority w:val="99"/>
    <w:rPr>
      <w:rFonts w:ascii="Calibri" w:hAnsi="Calibri" w:eastAsia="宋体" w:cs="Times New Roman"/>
      <w:szCs w:val="24"/>
    </w:rPr>
  </w:style>
  <w:style w:type="character" w:customStyle="1" w:styleId="189">
    <w:name w:val="标题 2 Char"/>
    <w:qFormat/>
    <w:uiPriority w:val="0"/>
    <w:rPr>
      <w:rFonts w:ascii="仿宋_GB2312" w:hAnsi="Calibri" w:eastAsia="仿宋_GB2312" w:cs="Times New Roman"/>
      <w:b/>
      <w:spacing w:val="1"/>
      <w:w w:val="99"/>
      <w:kern w:val="0"/>
      <w:sz w:val="28"/>
      <w:szCs w:val="32"/>
    </w:rPr>
  </w:style>
  <w:style w:type="character" w:customStyle="1" w:styleId="190">
    <w:name w:val="title11"/>
    <w:qFormat/>
    <w:uiPriority w:val="0"/>
    <w:rPr>
      <w:b/>
      <w:bCs/>
      <w:color w:val="FFFFFF"/>
      <w:sz w:val="11"/>
      <w:szCs w:val="11"/>
    </w:rPr>
  </w:style>
  <w:style w:type="character" w:customStyle="1" w:styleId="191">
    <w:name w:val="l1"/>
    <w:basedOn w:val="47"/>
    <w:qFormat/>
    <w:uiPriority w:val="0"/>
  </w:style>
  <w:style w:type="character" w:customStyle="1" w:styleId="192">
    <w:name w:val="正文文本 Char3"/>
    <w:semiHidden/>
    <w:qFormat/>
    <w:uiPriority w:val="99"/>
    <w:rPr>
      <w:rFonts w:ascii="Calibri" w:hAnsi="Calibri" w:eastAsia="宋体" w:cs="Times New Roman"/>
      <w:szCs w:val="24"/>
    </w:rPr>
  </w:style>
  <w:style w:type="character" w:customStyle="1" w:styleId="193">
    <w:name w:val="标题 2 Char1"/>
    <w:qFormat/>
    <w:uiPriority w:val="0"/>
    <w:rPr>
      <w:rFonts w:ascii="Cambria" w:hAnsi="Cambria" w:eastAsia="宋体" w:cs="Times New Roman"/>
      <w:b/>
      <w:bCs/>
      <w:kern w:val="2"/>
      <w:sz w:val="32"/>
      <w:szCs w:val="32"/>
    </w:rPr>
  </w:style>
  <w:style w:type="character" w:customStyle="1" w:styleId="194">
    <w:name w:val="标题 6 Char"/>
    <w:qFormat/>
    <w:uiPriority w:val="0"/>
    <w:rPr>
      <w:rFonts w:ascii="Arial" w:hAnsi="Arial" w:eastAsia="黑体" w:cs="Times New Roman"/>
      <w:b/>
      <w:bCs/>
      <w:sz w:val="24"/>
      <w:szCs w:val="24"/>
    </w:rPr>
  </w:style>
  <w:style w:type="character" w:customStyle="1" w:styleId="195">
    <w:name w:val="Char Char11"/>
    <w:qFormat/>
    <w:locked/>
    <w:uiPriority w:val="0"/>
    <w:rPr>
      <w:rFonts w:eastAsia="黑体"/>
      <w:kern w:val="2"/>
      <w:sz w:val="44"/>
      <w:szCs w:val="44"/>
      <w:lang w:val="en-US" w:eastAsia="zh-CN" w:bidi="ar-SA"/>
    </w:rPr>
  </w:style>
  <w:style w:type="character" w:customStyle="1" w:styleId="196">
    <w:name w:val="标题 8 Char1"/>
    <w:qFormat/>
    <w:uiPriority w:val="0"/>
    <w:rPr>
      <w:rFonts w:ascii="Times New Roman" w:hAnsi="Arial" w:eastAsia="仿宋_GB2312" w:cs="Times New Roman"/>
      <w:sz w:val="30"/>
      <w:szCs w:val="20"/>
    </w:rPr>
  </w:style>
  <w:style w:type="character" w:customStyle="1" w:styleId="197">
    <w:name w:val="明显引用 字符"/>
    <w:link w:val="198"/>
    <w:qFormat/>
    <w:uiPriority w:val="0"/>
    <w:rPr>
      <w:b/>
      <w:bCs/>
      <w:i/>
      <w:iCs/>
      <w:color w:val="4F81BD"/>
      <w:kern w:val="2"/>
      <w:sz w:val="21"/>
      <w:szCs w:val="22"/>
      <w:lang w:bidi="ar-SA"/>
    </w:rPr>
  </w:style>
  <w:style w:type="paragraph" w:customStyle="1" w:styleId="198">
    <w:name w:val="明显引用1"/>
    <w:basedOn w:val="1"/>
    <w:next w:val="1"/>
    <w:link w:val="197"/>
    <w:qFormat/>
    <w:uiPriority w:val="0"/>
    <w:pPr>
      <w:pBdr>
        <w:bottom w:val="single" w:color="4F81BD" w:sz="4" w:space="4"/>
      </w:pBdr>
      <w:spacing w:before="200" w:after="280"/>
      <w:ind w:left="936" w:right="936"/>
    </w:pPr>
    <w:rPr>
      <w:b/>
      <w:bCs/>
      <w:i/>
      <w:iCs/>
      <w:color w:val="4F81BD"/>
      <w:szCs w:val="22"/>
    </w:rPr>
  </w:style>
  <w:style w:type="character" w:customStyle="1" w:styleId="199">
    <w:name w:val="普通文字 Char Char2"/>
    <w:qFormat/>
    <w:uiPriority w:val="0"/>
    <w:rPr>
      <w:rFonts w:ascii="宋体" w:hAnsi="Courier New"/>
      <w:kern w:val="2"/>
      <w:sz w:val="28"/>
      <w:szCs w:val="28"/>
    </w:rPr>
  </w:style>
  <w:style w:type="character" w:customStyle="1" w:styleId="200">
    <w:name w:val="明显强调2"/>
    <w:qFormat/>
    <w:uiPriority w:val="0"/>
    <w:rPr>
      <w:b/>
      <w:bCs/>
      <w:i/>
      <w:iCs/>
      <w:color w:val="4F81BD"/>
    </w:rPr>
  </w:style>
  <w:style w:type="character" w:customStyle="1" w:styleId="201">
    <w:name w:val="批注框文本 Char2"/>
    <w:qFormat/>
    <w:uiPriority w:val="99"/>
    <w:rPr>
      <w:kern w:val="2"/>
      <w:sz w:val="18"/>
      <w:szCs w:val="18"/>
    </w:rPr>
  </w:style>
  <w:style w:type="character" w:customStyle="1" w:styleId="202">
    <w:name w:val="未处理的提及1"/>
    <w:unhideWhenUsed/>
    <w:qFormat/>
    <w:uiPriority w:val="99"/>
    <w:rPr>
      <w:color w:val="808080"/>
      <w:shd w:val="clear" w:color="auto" w:fill="E6E6E6"/>
    </w:rPr>
  </w:style>
  <w:style w:type="character" w:customStyle="1" w:styleId="203">
    <w:name w:val="批注主题 Char2"/>
    <w:qFormat/>
    <w:uiPriority w:val="99"/>
    <w:rPr>
      <w:b/>
      <w:bCs/>
      <w:kern w:val="2"/>
      <w:sz w:val="21"/>
      <w:szCs w:val="24"/>
    </w:rPr>
  </w:style>
  <w:style w:type="character" w:customStyle="1" w:styleId="204">
    <w:name w:val="正文文本缩进 2 Char2"/>
    <w:semiHidden/>
    <w:qFormat/>
    <w:uiPriority w:val="99"/>
    <w:rPr>
      <w:rFonts w:ascii="Calibri" w:hAnsi="Calibri" w:eastAsia="宋体" w:cs="Times New Roman"/>
      <w:szCs w:val="24"/>
    </w:rPr>
  </w:style>
  <w:style w:type="character" w:customStyle="1" w:styleId="205">
    <w:name w:val="标题 5 Char"/>
    <w:qFormat/>
    <w:uiPriority w:val="0"/>
    <w:rPr>
      <w:rFonts w:ascii="Calibri" w:hAnsi="Calibri" w:eastAsia="宋体" w:cs="Times New Roman"/>
      <w:b/>
      <w:bCs/>
      <w:sz w:val="28"/>
      <w:szCs w:val="28"/>
    </w:rPr>
  </w:style>
  <w:style w:type="character" w:customStyle="1" w:styleId="206">
    <w:name w:val="标题 4 Char1"/>
    <w:qFormat/>
    <w:uiPriority w:val="0"/>
    <w:rPr>
      <w:rFonts w:ascii="宋体" w:hAnsi="宋体" w:eastAsia="宋体" w:cs="宋体"/>
      <w:b/>
      <w:bCs/>
      <w:sz w:val="24"/>
      <w:szCs w:val="24"/>
    </w:rPr>
  </w:style>
  <w:style w:type="character" w:customStyle="1" w:styleId="207">
    <w:name w:val="明显引用 Char1"/>
    <w:link w:val="208"/>
    <w:qFormat/>
    <w:uiPriority w:val="30"/>
    <w:rPr>
      <w:b/>
      <w:bCs/>
      <w:i/>
      <w:iCs/>
      <w:color w:val="4F81BD"/>
      <w:kern w:val="2"/>
      <w:sz w:val="21"/>
    </w:rPr>
  </w:style>
  <w:style w:type="paragraph" w:customStyle="1" w:styleId="208">
    <w:name w:val="明显引用111"/>
    <w:basedOn w:val="1"/>
    <w:next w:val="1"/>
    <w:link w:val="207"/>
    <w:qFormat/>
    <w:uiPriority w:val="0"/>
    <w:pPr>
      <w:pBdr>
        <w:bottom w:val="single" w:color="4F81BD" w:sz="4" w:space="4"/>
      </w:pBdr>
      <w:spacing w:before="200" w:after="280"/>
      <w:ind w:left="936" w:right="936"/>
    </w:pPr>
    <w:rPr>
      <w:b/>
      <w:bCs/>
      <w:i/>
      <w:iCs/>
      <w:color w:val="4F81BD"/>
      <w:szCs w:val="20"/>
    </w:rPr>
  </w:style>
  <w:style w:type="character" w:customStyle="1" w:styleId="209">
    <w:name w:val="正文文本 Char"/>
    <w:qFormat/>
    <w:uiPriority w:val="0"/>
    <w:rPr>
      <w:sz w:val="26"/>
      <w:szCs w:val="24"/>
    </w:rPr>
  </w:style>
  <w:style w:type="character" w:customStyle="1" w:styleId="210">
    <w:name w:val="正文文本缩进 3 Char1"/>
    <w:qFormat/>
    <w:uiPriority w:val="0"/>
    <w:rPr>
      <w:rFonts w:ascii="宋体" w:hAnsi="宋体"/>
      <w:kern w:val="2"/>
      <w:sz w:val="28"/>
      <w:szCs w:val="28"/>
    </w:rPr>
  </w:style>
  <w:style w:type="character" w:customStyle="1" w:styleId="211">
    <w:name w:val="font161"/>
    <w:qFormat/>
    <w:uiPriority w:val="0"/>
    <w:rPr>
      <w:b/>
      <w:bCs/>
      <w:sz w:val="32"/>
      <w:szCs w:val="32"/>
    </w:rPr>
  </w:style>
  <w:style w:type="character" w:customStyle="1" w:styleId="212">
    <w:name w:val="纯文本 Char2"/>
    <w:semiHidden/>
    <w:qFormat/>
    <w:uiPriority w:val="99"/>
    <w:rPr>
      <w:rFonts w:ascii="宋体" w:hAnsi="Courier New" w:eastAsia="宋体" w:cs="Courier New"/>
      <w:szCs w:val="21"/>
    </w:rPr>
  </w:style>
  <w:style w:type="character" w:customStyle="1" w:styleId="213">
    <w:name w:val="日期 Char"/>
    <w:qFormat/>
    <w:uiPriority w:val="0"/>
    <w:rPr>
      <w:rFonts w:eastAsia="宋体"/>
      <w:szCs w:val="24"/>
    </w:rPr>
  </w:style>
  <w:style w:type="character" w:customStyle="1" w:styleId="214">
    <w:name w:val="Char Char14"/>
    <w:qFormat/>
    <w:uiPriority w:val="0"/>
    <w:rPr>
      <w:kern w:val="2"/>
      <w:sz w:val="18"/>
      <w:szCs w:val="18"/>
    </w:rPr>
  </w:style>
  <w:style w:type="character" w:customStyle="1" w:styleId="215">
    <w:name w:val="正文文本缩进 3 Char2"/>
    <w:semiHidden/>
    <w:qFormat/>
    <w:uiPriority w:val="99"/>
    <w:rPr>
      <w:rFonts w:ascii="Calibri" w:hAnsi="Calibri" w:eastAsia="宋体" w:cs="Times New Roman"/>
      <w:sz w:val="16"/>
      <w:szCs w:val="16"/>
    </w:rPr>
  </w:style>
  <w:style w:type="character" w:customStyle="1" w:styleId="216">
    <w:name w:val="不明显强调11"/>
    <w:qFormat/>
    <w:uiPriority w:val="0"/>
    <w:rPr>
      <w:i/>
      <w:iCs/>
      <w:color w:val="808080"/>
    </w:rPr>
  </w:style>
  <w:style w:type="character" w:customStyle="1" w:styleId="217">
    <w:name w:val="批注主题 Char3"/>
    <w:semiHidden/>
    <w:qFormat/>
    <w:uiPriority w:val="99"/>
    <w:rPr>
      <w:rFonts w:ascii="Calibri" w:hAnsi="Calibri" w:eastAsia="宋体" w:cs="Times New Roman"/>
      <w:b/>
      <w:bCs/>
      <w:szCs w:val="24"/>
    </w:rPr>
  </w:style>
  <w:style w:type="character" w:customStyle="1" w:styleId="218">
    <w:name w:val="标题 8 Char"/>
    <w:qFormat/>
    <w:uiPriority w:val="0"/>
    <w:rPr>
      <w:rFonts w:ascii="Arial" w:hAnsi="Arial" w:eastAsia="黑体" w:cs="Times New Roman"/>
      <w:sz w:val="24"/>
      <w:szCs w:val="24"/>
    </w:rPr>
  </w:style>
  <w:style w:type="character" w:customStyle="1" w:styleId="219">
    <w:name w:val="明显参考2"/>
    <w:qFormat/>
    <w:uiPriority w:val="0"/>
    <w:rPr>
      <w:b/>
      <w:bCs/>
      <w:smallCaps/>
      <w:color w:val="C0504D"/>
      <w:spacing w:val="5"/>
      <w:u w:val="single"/>
    </w:rPr>
  </w:style>
  <w:style w:type="character" w:customStyle="1" w:styleId="220">
    <w:name w:val="尾注文本 Char2"/>
    <w:semiHidden/>
    <w:qFormat/>
    <w:uiPriority w:val="99"/>
    <w:rPr>
      <w:rFonts w:ascii="Calibri" w:hAnsi="Calibri" w:eastAsia="宋体" w:cs="Times New Roman"/>
      <w:szCs w:val="24"/>
    </w:rPr>
  </w:style>
  <w:style w:type="character" w:customStyle="1" w:styleId="221">
    <w:name w:val="正文文本 3 Char"/>
    <w:qFormat/>
    <w:uiPriority w:val="0"/>
    <w:rPr>
      <w:kern w:val="2"/>
      <w:sz w:val="16"/>
      <w:szCs w:val="16"/>
    </w:rPr>
  </w:style>
  <w:style w:type="character" w:customStyle="1" w:styleId="222">
    <w:name w:val="批注框文本 Char"/>
    <w:qFormat/>
    <w:uiPriority w:val="0"/>
    <w:rPr>
      <w:sz w:val="18"/>
      <w:szCs w:val="18"/>
    </w:rPr>
  </w:style>
  <w:style w:type="character" w:customStyle="1" w:styleId="223">
    <w:name w:val="标题 5 Char1"/>
    <w:qFormat/>
    <w:uiPriority w:val="0"/>
    <w:rPr>
      <w:rFonts w:ascii="宋体" w:hAnsi="宋体" w:eastAsia="宋体" w:cs="宋体"/>
      <w:b/>
      <w:bCs/>
      <w:sz w:val="20"/>
      <w:szCs w:val="20"/>
    </w:rPr>
  </w:style>
  <w:style w:type="character" w:customStyle="1" w:styleId="224">
    <w:name w:val="正文文本缩进 Char1"/>
    <w:qFormat/>
    <w:uiPriority w:val="0"/>
    <w:rPr>
      <w:kern w:val="2"/>
      <w:sz w:val="21"/>
      <w:szCs w:val="24"/>
    </w:rPr>
  </w:style>
  <w:style w:type="character" w:customStyle="1" w:styleId="225">
    <w:name w:val="日期 Char3"/>
    <w:semiHidden/>
    <w:qFormat/>
    <w:uiPriority w:val="99"/>
    <w:rPr>
      <w:rFonts w:ascii="Calibri" w:hAnsi="Calibri" w:eastAsia="宋体" w:cs="Times New Roman"/>
      <w:szCs w:val="24"/>
    </w:rPr>
  </w:style>
  <w:style w:type="character" w:customStyle="1" w:styleId="226">
    <w:name w:val="正文文本 3 Char2"/>
    <w:semiHidden/>
    <w:qFormat/>
    <w:uiPriority w:val="99"/>
    <w:rPr>
      <w:rFonts w:ascii="Calibri" w:hAnsi="Calibri" w:eastAsia="宋体" w:cs="Times New Roman"/>
      <w:sz w:val="16"/>
      <w:szCs w:val="16"/>
    </w:rPr>
  </w:style>
  <w:style w:type="character" w:customStyle="1" w:styleId="227">
    <w:name w:val="副标题 Char2"/>
    <w:qFormat/>
    <w:uiPriority w:val="11"/>
    <w:rPr>
      <w:rFonts w:ascii="Cambria" w:hAnsi="Cambria" w:eastAsia="宋体" w:cs="Times New Roman"/>
      <w:b/>
      <w:bCs/>
      <w:kern w:val="28"/>
      <w:sz w:val="32"/>
      <w:szCs w:val="32"/>
    </w:rPr>
  </w:style>
  <w:style w:type="character" w:customStyle="1" w:styleId="228">
    <w:name w:val="尾注文本 Char1"/>
    <w:qFormat/>
    <w:uiPriority w:val="0"/>
    <w:rPr>
      <w:rFonts w:ascii="Arial" w:hAnsi="Arial" w:cs="Arial"/>
      <w:szCs w:val="24"/>
      <w:lang w:eastAsia="en-US"/>
    </w:rPr>
  </w:style>
  <w:style w:type="character" w:customStyle="1" w:styleId="229">
    <w:name w:val="标题 1 Char1"/>
    <w:qFormat/>
    <w:uiPriority w:val="0"/>
    <w:rPr>
      <w:rFonts w:ascii="Times New Roman" w:hAnsi="Times New Roman" w:eastAsia="宋体" w:cs="Times New Roman"/>
      <w:b/>
      <w:bCs/>
      <w:kern w:val="44"/>
      <w:sz w:val="44"/>
      <w:szCs w:val="44"/>
    </w:rPr>
  </w:style>
  <w:style w:type="character" w:customStyle="1" w:styleId="230">
    <w:name w:val="日期 Char2"/>
    <w:qFormat/>
    <w:uiPriority w:val="99"/>
    <w:rPr>
      <w:kern w:val="2"/>
      <w:sz w:val="21"/>
      <w:szCs w:val="24"/>
    </w:rPr>
  </w:style>
  <w:style w:type="character" w:customStyle="1" w:styleId="231">
    <w:name w:val="style31"/>
    <w:qFormat/>
    <w:uiPriority w:val="0"/>
    <w:rPr>
      <w:sz w:val="10"/>
      <w:szCs w:val="10"/>
    </w:rPr>
  </w:style>
  <w:style w:type="character" w:customStyle="1" w:styleId="232">
    <w:name w:val="Char Char33"/>
    <w:qFormat/>
    <w:uiPriority w:val="0"/>
    <w:rPr>
      <w:rFonts w:ascii="仿宋_GB2312" w:eastAsia="仿宋_GB2312" w:cs="MingLiU"/>
      <w:b/>
      <w:sz w:val="24"/>
      <w:szCs w:val="28"/>
    </w:rPr>
  </w:style>
  <w:style w:type="paragraph" w:customStyle="1" w:styleId="233">
    <w:name w:val="Char"/>
    <w:basedOn w:val="1"/>
    <w:qFormat/>
    <w:uiPriority w:val="0"/>
  </w:style>
  <w:style w:type="paragraph" w:customStyle="1" w:styleId="234">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236">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237">
    <w:name w:val="pa-27"/>
    <w:basedOn w:val="1"/>
    <w:qFormat/>
    <w:uiPriority w:val="0"/>
    <w:pPr>
      <w:widowControl/>
      <w:spacing w:line="360" w:lineRule="atLeast"/>
      <w:ind w:firstLine="420"/>
    </w:pPr>
    <w:rPr>
      <w:rFonts w:ascii="宋体" w:hAnsi="宋体" w:cs="宋体"/>
      <w:kern w:val="0"/>
      <w:sz w:val="24"/>
    </w:rPr>
  </w:style>
  <w:style w:type="paragraph" w:customStyle="1" w:styleId="238">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23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240">
    <w:name w:val="p15"/>
    <w:basedOn w:val="1"/>
    <w:qFormat/>
    <w:uiPriority w:val="0"/>
    <w:pPr>
      <w:widowControl/>
      <w:spacing w:after="120"/>
    </w:pPr>
    <w:rPr>
      <w:kern w:val="0"/>
      <w:szCs w:val="21"/>
    </w:rPr>
  </w:style>
  <w:style w:type="paragraph" w:customStyle="1" w:styleId="241">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2">
    <w:name w:val="p16"/>
    <w:basedOn w:val="1"/>
    <w:qFormat/>
    <w:uiPriority w:val="0"/>
    <w:pPr>
      <w:widowControl/>
    </w:pPr>
    <w:rPr>
      <w:rFonts w:ascii="Calibri" w:hAnsi="Calibri" w:cs="宋体"/>
      <w:kern w:val="0"/>
      <w:szCs w:val="21"/>
    </w:rPr>
  </w:style>
  <w:style w:type="paragraph" w:customStyle="1" w:styleId="24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244">
    <w:name w:val="WW-表格内容"/>
    <w:basedOn w:val="1"/>
    <w:qFormat/>
    <w:uiPriority w:val="0"/>
    <w:pPr>
      <w:suppressLineNumbers/>
      <w:suppressAutoHyphens/>
    </w:pPr>
  </w:style>
  <w:style w:type="paragraph" w:customStyle="1" w:styleId="245">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4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47">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24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49">
    <w:name w:val="表体"/>
    <w:basedOn w:val="1"/>
    <w:next w:val="1"/>
    <w:qFormat/>
    <w:uiPriority w:val="0"/>
    <w:pPr>
      <w:spacing w:line="0" w:lineRule="atLeast"/>
    </w:pPr>
    <w:rPr>
      <w:rFonts w:ascii="Calibri" w:hAnsi="Calibri"/>
      <w:b/>
      <w:snapToGrid w:val="0"/>
      <w:szCs w:val="20"/>
    </w:rPr>
  </w:style>
  <w:style w:type="paragraph" w:customStyle="1" w:styleId="250">
    <w:name w:val="表格"/>
    <w:basedOn w:val="1"/>
    <w:qFormat/>
    <w:uiPriority w:val="0"/>
    <w:pPr>
      <w:jc w:val="center"/>
      <w:textAlignment w:val="center"/>
    </w:pPr>
    <w:rPr>
      <w:rFonts w:ascii="华文细黑" w:hAnsi="华文细黑"/>
      <w:kern w:val="0"/>
      <w:szCs w:val="20"/>
    </w:rPr>
  </w:style>
  <w:style w:type="paragraph" w:customStyle="1" w:styleId="251">
    <w:name w:val="表格标题"/>
    <w:basedOn w:val="252"/>
    <w:qFormat/>
    <w:uiPriority w:val="0"/>
  </w:style>
  <w:style w:type="paragraph" w:customStyle="1" w:styleId="252">
    <w:name w:val="表格内容"/>
    <w:basedOn w:val="1"/>
    <w:qFormat/>
    <w:uiPriority w:val="0"/>
    <w:pPr>
      <w:suppressLineNumbers/>
      <w:suppressAutoHyphens/>
    </w:pPr>
  </w:style>
  <w:style w:type="paragraph" w:customStyle="1" w:styleId="253">
    <w:name w:val="标准样式1"/>
    <w:basedOn w:val="1"/>
    <w:qFormat/>
    <w:uiPriority w:val="0"/>
    <w:pPr>
      <w:spacing w:line="600" w:lineRule="exact"/>
      <w:ind w:firstLine="567"/>
    </w:pPr>
    <w:rPr>
      <w:rFonts w:ascii="Calibri" w:hAnsi="Calibri"/>
      <w:sz w:val="28"/>
    </w:rPr>
  </w:style>
  <w:style w:type="paragraph" w:customStyle="1" w:styleId="254">
    <w:name w:val="WW-表格标题"/>
    <w:basedOn w:val="244"/>
    <w:qFormat/>
    <w:uiPriority w:val="0"/>
  </w:style>
  <w:style w:type="paragraph" w:customStyle="1" w:styleId="25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5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57">
    <w:name w:val="_Style 87"/>
    <w:basedOn w:val="1"/>
    <w:qFormat/>
    <w:uiPriority w:val="99"/>
    <w:pPr>
      <w:ind w:firstLine="420" w:firstLineChars="200"/>
    </w:pPr>
    <w:rPr>
      <w:rFonts w:ascii="Calibri" w:hAnsi="Calibri"/>
      <w:sz w:val="28"/>
      <w:szCs w:val="28"/>
    </w:rPr>
  </w:style>
  <w:style w:type="paragraph" w:customStyle="1" w:styleId="258">
    <w:name w:val="列出段落1"/>
    <w:basedOn w:val="1"/>
    <w:qFormat/>
    <w:uiPriority w:val="99"/>
    <w:pPr>
      <w:ind w:firstLine="420" w:firstLineChars="200"/>
    </w:pPr>
    <w:rPr>
      <w:sz w:val="28"/>
      <w:szCs w:val="28"/>
    </w:rPr>
  </w:style>
  <w:style w:type="paragraph" w:customStyle="1" w:styleId="259">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0">
    <w:name w:val="_Style 96"/>
    <w:semiHidden/>
    <w:qFormat/>
    <w:uiPriority w:val="99"/>
    <w:rPr>
      <w:rFonts w:ascii="Calibri" w:hAnsi="Calibri" w:eastAsia="宋体" w:cs="Times New Roman"/>
      <w:kern w:val="2"/>
      <w:sz w:val="21"/>
      <w:szCs w:val="24"/>
      <w:lang w:val="en-US" w:eastAsia="zh-CN" w:bidi="ar-SA"/>
    </w:rPr>
  </w:style>
  <w:style w:type="paragraph" w:customStyle="1" w:styleId="26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62">
    <w:name w:val="列出段落111"/>
    <w:basedOn w:val="1"/>
    <w:qFormat/>
    <w:uiPriority w:val="0"/>
    <w:pPr>
      <w:ind w:firstLine="420" w:firstLineChars="200"/>
    </w:pPr>
    <w:rPr>
      <w:sz w:val="28"/>
      <w:szCs w:val="28"/>
    </w:rPr>
  </w:style>
  <w:style w:type="paragraph" w:customStyle="1" w:styleId="263">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26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267">
    <w:name w:val="修订1"/>
    <w:qFormat/>
    <w:uiPriority w:val="0"/>
    <w:rPr>
      <w:rFonts w:ascii="Times New Roman" w:hAnsi="Times New Roman" w:eastAsia="宋体" w:cs="Times New Roman"/>
      <w:kern w:val="2"/>
      <w:sz w:val="21"/>
      <w:szCs w:val="24"/>
      <w:lang w:val="en-US" w:eastAsia="zh-CN" w:bidi="ar-SA"/>
    </w:rPr>
  </w:style>
  <w:style w:type="paragraph" w:customStyle="1" w:styleId="26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2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270">
    <w:name w:val="Char1"/>
    <w:basedOn w:val="1"/>
    <w:qFormat/>
    <w:uiPriority w:val="0"/>
  </w:style>
  <w:style w:type="paragraph" w:customStyle="1" w:styleId="27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72">
    <w:name w:val="1 Char"/>
    <w:basedOn w:val="1"/>
    <w:qFormat/>
    <w:uiPriority w:val="0"/>
    <w:pPr>
      <w:widowControl/>
      <w:spacing w:after="160" w:line="240" w:lineRule="exact"/>
      <w:jc w:val="left"/>
    </w:pPr>
    <w:rPr>
      <w:rFonts w:ascii="Calibri" w:hAnsi="Calibri"/>
      <w:szCs w:val="20"/>
    </w:rPr>
  </w:style>
  <w:style w:type="paragraph" w:customStyle="1" w:styleId="273">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4">
    <w:name w:val="Char9 Char Char Char Char Char Char"/>
    <w:basedOn w:val="15"/>
    <w:qFormat/>
    <w:uiPriority w:val="0"/>
    <w:pPr>
      <w:spacing w:line="360" w:lineRule="auto"/>
      <w:ind w:firstLine="200" w:firstLineChars="200"/>
    </w:pPr>
    <w:rPr>
      <w:rFonts w:ascii="Tahoma" w:hAnsi="Tahoma"/>
      <w:sz w:val="24"/>
    </w:rPr>
  </w:style>
  <w:style w:type="paragraph" w:customStyle="1" w:styleId="275">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27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278">
    <w:name w:val="Char21"/>
    <w:basedOn w:val="1"/>
    <w:qFormat/>
    <w:uiPriority w:val="0"/>
  </w:style>
  <w:style w:type="paragraph" w:customStyle="1" w:styleId="279">
    <w:name w:val="表格文字"/>
    <w:basedOn w:val="1"/>
    <w:qFormat/>
    <w:uiPriority w:val="0"/>
    <w:pPr>
      <w:adjustRightInd w:val="0"/>
      <w:spacing w:line="420" w:lineRule="atLeast"/>
      <w:jc w:val="left"/>
      <w:textAlignment w:val="baseline"/>
    </w:pPr>
    <w:rPr>
      <w:kern w:val="0"/>
      <w:szCs w:val="20"/>
    </w:rPr>
  </w:style>
  <w:style w:type="paragraph" w:customStyle="1" w:styleId="280">
    <w:name w:val="TOC 标题2"/>
    <w:basedOn w:val="3"/>
    <w:next w:val="1"/>
    <w:unhideWhenUsed/>
    <w:qFormat/>
    <w:uiPriority w:val="0"/>
    <w:pPr>
      <w:outlineLvl w:val="9"/>
    </w:pPr>
    <w:rPr>
      <w:rFonts w:ascii="Calibri" w:hAnsi="Calibri"/>
    </w:rPr>
  </w:style>
  <w:style w:type="paragraph" w:customStyle="1" w:styleId="28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282">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4">
    <w:name w:val="自定样式1"/>
    <w:basedOn w:val="1"/>
    <w:qFormat/>
    <w:uiPriority w:val="0"/>
    <w:pPr>
      <w:suppressAutoHyphens/>
      <w:jc w:val="center"/>
    </w:pPr>
    <w:rPr>
      <w:rFonts w:ascii="宋体" w:hAnsi="宋体"/>
      <w:color w:val="000000"/>
      <w:sz w:val="18"/>
    </w:rPr>
  </w:style>
  <w:style w:type="paragraph" w:customStyle="1" w:styleId="285">
    <w:name w:val="Char Char Char Char"/>
    <w:basedOn w:val="15"/>
    <w:qFormat/>
    <w:uiPriority w:val="0"/>
    <w:pPr>
      <w:spacing w:line="360" w:lineRule="auto"/>
      <w:ind w:firstLine="200" w:firstLineChars="200"/>
    </w:pPr>
    <w:rPr>
      <w:rFonts w:ascii="Tahoma" w:hAnsi="Tahoma"/>
      <w:sz w:val="24"/>
    </w:rPr>
  </w:style>
  <w:style w:type="paragraph" w:customStyle="1" w:styleId="28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7">
    <w:name w:val="TOC 标题1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88">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289">
    <w:name w:val="Char Char"/>
    <w:basedOn w:val="1"/>
    <w:qFormat/>
    <w:uiPriority w:val="0"/>
    <w:pPr>
      <w:widowControl/>
      <w:jc w:val="left"/>
    </w:pPr>
    <w:rPr>
      <w:rFonts w:ascii="Verdana" w:hAnsi="Verdana" w:eastAsia="Times New Roman"/>
      <w:kern w:val="0"/>
      <w:sz w:val="16"/>
      <w:szCs w:val="20"/>
      <w:lang w:eastAsia="en-US"/>
    </w:rPr>
  </w:style>
  <w:style w:type="paragraph" w:customStyle="1" w:styleId="29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291">
    <w:name w:val="列出段落11"/>
    <w:basedOn w:val="1"/>
    <w:qFormat/>
    <w:uiPriority w:val="0"/>
    <w:pPr>
      <w:ind w:firstLine="420" w:firstLineChars="200"/>
    </w:pPr>
    <w:rPr>
      <w:sz w:val="28"/>
      <w:szCs w:val="28"/>
    </w:rPr>
  </w:style>
  <w:style w:type="paragraph" w:customStyle="1" w:styleId="292">
    <w:name w:val="标题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93">
    <w:name w:val="修订11"/>
    <w:qFormat/>
    <w:uiPriority w:val="0"/>
    <w:rPr>
      <w:rFonts w:ascii="Times New Roman" w:hAnsi="Times New Roman" w:eastAsia="宋体" w:cs="Times New Roman"/>
      <w:kern w:val="2"/>
      <w:sz w:val="21"/>
      <w:szCs w:val="24"/>
      <w:lang w:val="en-US" w:eastAsia="zh-CN" w:bidi="ar-SA"/>
    </w:rPr>
  </w:style>
  <w:style w:type="paragraph" w:customStyle="1" w:styleId="29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95">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29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297">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98">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29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30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1">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30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303">
    <w:name w:val="Char2"/>
    <w:basedOn w:val="1"/>
    <w:qFormat/>
    <w:uiPriority w:val="0"/>
    <w:rPr>
      <w:rFonts w:ascii="Calibri" w:hAnsi="Calibri"/>
    </w:rPr>
  </w:style>
  <w:style w:type="paragraph" w:customStyle="1" w:styleId="304">
    <w:name w:val="pa-34"/>
    <w:basedOn w:val="1"/>
    <w:qFormat/>
    <w:uiPriority w:val="0"/>
    <w:pPr>
      <w:widowControl/>
      <w:spacing w:line="360" w:lineRule="atLeast"/>
      <w:ind w:firstLine="420"/>
      <w:jc w:val="left"/>
    </w:pPr>
    <w:rPr>
      <w:rFonts w:ascii="宋体" w:hAnsi="宋体" w:cs="宋体"/>
      <w:kern w:val="0"/>
      <w:sz w:val="24"/>
    </w:rPr>
  </w:style>
  <w:style w:type="paragraph" w:customStyle="1" w:styleId="305">
    <w:name w:val="样式1"/>
    <w:basedOn w:val="1"/>
    <w:next w:val="6"/>
    <w:qFormat/>
    <w:uiPriority w:val="0"/>
    <w:pPr>
      <w:spacing w:line="360" w:lineRule="auto"/>
      <w:ind w:firstLine="420" w:firstLineChars="200"/>
    </w:pPr>
    <w:rPr>
      <w:rFonts w:ascii="宋体" w:hAnsi="宋体"/>
      <w:szCs w:val="21"/>
    </w:rPr>
  </w:style>
  <w:style w:type="paragraph" w:customStyle="1" w:styleId="306">
    <w:name w:val="列表段落1"/>
    <w:basedOn w:val="1"/>
    <w:qFormat/>
    <w:uiPriority w:val="34"/>
    <w:pPr>
      <w:ind w:firstLine="420" w:firstLineChars="200"/>
    </w:pPr>
    <w:rPr>
      <w:rFonts w:ascii="Calibri" w:hAnsi="Calibri"/>
    </w:rPr>
  </w:style>
  <w:style w:type="paragraph" w:customStyle="1" w:styleId="307">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08">
    <w:name w:val="正  文"/>
    <w:basedOn w:val="1"/>
    <w:qFormat/>
    <w:uiPriority w:val="0"/>
    <w:pPr>
      <w:spacing w:line="360" w:lineRule="auto"/>
      <w:ind w:firstLine="200" w:firstLineChars="200"/>
    </w:pPr>
    <w:rPr>
      <w:rFonts w:ascii="宋体" w:hAnsi="Calibri"/>
      <w:sz w:val="24"/>
    </w:rPr>
  </w:style>
  <w:style w:type="paragraph" w:customStyle="1" w:styleId="3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31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311">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312">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314">
    <w:name w:val="未处理的提及2"/>
    <w:basedOn w:val="47"/>
    <w:unhideWhenUsed/>
    <w:qFormat/>
    <w:uiPriority w:val="99"/>
    <w:rPr>
      <w:color w:val="605E5C"/>
      <w:shd w:val="clear" w:color="auto" w:fill="E1DFDD"/>
    </w:rPr>
  </w:style>
  <w:style w:type="paragraph" w:customStyle="1" w:styleId="315">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316">
    <w:name w:val="修订6"/>
    <w:hidden/>
    <w:semiHidden/>
    <w:qFormat/>
    <w:uiPriority w:val="99"/>
    <w:rPr>
      <w:rFonts w:ascii="Times New Roman" w:hAnsi="Times New Roman" w:eastAsia="宋体" w:cs="Times New Roman"/>
      <w:kern w:val="2"/>
      <w:sz w:val="21"/>
      <w:szCs w:val="24"/>
      <w:lang w:val="en-US" w:eastAsia="zh-CN" w:bidi="ar-SA"/>
    </w:rPr>
  </w:style>
  <w:style w:type="character" w:customStyle="1" w:styleId="317">
    <w:name w:val="未处理的提及3"/>
    <w:basedOn w:val="47"/>
    <w:unhideWhenUsed/>
    <w:qFormat/>
    <w:uiPriority w:val="99"/>
    <w:rPr>
      <w:color w:val="605E5C"/>
      <w:shd w:val="clear" w:color="auto" w:fill="E1DFDD"/>
    </w:rPr>
  </w:style>
  <w:style w:type="paragraph" w:customStyle="1" w:styleId="318">
    <w:name w:val="修订7"/>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file:///C:\Users\ADMINI~1\AppData\Local\Temp\ksohtml5112\wps2.jpg" TargetMode="Externa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284</Pages>
  <Words>176983</Words>
  <Characters>185095</Characters>
  <Application>WPS Office_11.8.6.8556_F1E327BC-269C-435d-A152-05C5408002CA</Application>
  <DocSecurity>0</DocSecurity>
  <Lines>340</Lines>
  <Paragraphs>428</Paragraphs>
  <ScaleCrop>false</ScaleCrop>
  <LinksUpToDate>false</LinksUpToDate>
  <CharactersWithSpaces>201864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2020-12-23T14:51:00Z</cp:lastPrinted>
  <dcterms:created xsi:type="dcterms:W3CDTF">2021-12-18T19:05:00Z</dcterms:created>
  <dcterms:modified xsi:type="dcterms:W3CDTF">2025-09-29T06:40:36Z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4647424295EF4F5ABE9612AE69A3C8FC_13</vt:lpwstr>
  </property>
  <property fmtid="{D5CDD505-2E9C-101B-9397-08002B2CF9AE}" pid="4" name="KSOTemplateDocerSaveRecord">
    <vt:lpwstr>eyJoZGlkIjoiM2VlODNhYTBiOWVjNzU1NDY4MDU1NDZmM2JjYWUwY2MiLCJ1c2VySWQiOiI0NjM5NjMwNzAifQ==</vt:lpwstr>
  </property>
</Properties>
</file>