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BB" w:rsidRPr="009968B8" w:rsidRDefault="002C32BB" w:rsidP="002C32BB">
      <w:pPr>
        <w:shd w:val="clear" w:color="auto" w:fill="FFFFFF"/>
        <w:rPr>
          <w:rFonts w:eastAsia="方正黑体_GBK"/>
          <w:sz w:val="32"/>
          <w:szCs w:val="32"/>
          <w:lang w:eastAsia="zh-CN"/>
        </w:rPr>
      </w:pPr>
      <w:r w:rsidRPr="009968B8">
        <w:rPr>
          <w:rFonts w:eastAsia="方正黑体_GBK"/>
          <w:sz w:val="32"/>
          <w:szCs w:val="32"/>
          <w:lang w:eastAsia="zh-CN"/>
        </w:rPr>
        <w:t>附件</w:t>
      </w:r>
    </w:p>
    <w:p w:rsidR="002C32BB" w:rsidRDefault="002C32BB" w:rsidP="002C32BB">
      <w:pPr>
        <w:shd w:val="clear" w:color="auto" w:fill="FFFFFF"/>
        <w:rPr>
          <w:rFonts w:eastAsia="方正黑体_GBK"/>
          <w:lang w:eastAsia="zh-CN"/>
        </w:rPr>
      </w:pPr>
    </w:p>
    <w:p w:rsidR="002C32BB" w:rsidRDefault="002C32BB" w:rsidP="002C32BB">
      <w:pPr>
        <w:pStyle w:val="10"/>
        <w:widowControl w:val="0"/>
        <w:spacing w:before="0" w:beforeAutospacing="0" w:after="0" w:afterAutospacing="0" w:line="580" w:lineRule="exact"/>
        <w:jc w:val="center"/>
        <w:rPr>
          <w:rFonts w:ascii="Times New Roman" w:eastAsia="方正小标宋_GBK" w:hAnsi="Times New Roman" w:cs="Times New Roman"/>
          <w:sz w:val="44"/>
          <w:szCs w:val="44"/>
        </w:rPr>
      </w:pPr>
      <w:r w:rsidRPr="005646D9">
        <w:rPr>
          <w:rFonts w:ascii="Times New Roman" w:eastAsia="方正小标宋_GBK" w:hAnsi="Times New Roman" w:cs="Times New Roman"/>
          <w:sz w:val="44"/>
          <w:szCs w:val="44"/>
        </w:rPr>
        <w:t>重庆市产业投资准入政策汇总表</w:t>
      </w:r>
    </w:p>
    <w:p w:rsidR="002C32BB" w:rsidRPr="00481599" w:rsidRDefault="002C32BB" w:rsidP="002C32BB">
      <w:pPr>
        <w:pStyle w:val="10"/>
        <w:widowControl w:val="0"/>
        <w:spacing w:before="0" w:beforeAutospacing="0" w:after="0" w:afterAutospacing="0"/>
        <w:jc w:val="center"/>
        <w:rPr>
          <w:rFonts w:ascii="Times New Roman" w:eastAsia="方正小标宋_GBK" w:hAnsi="Times New Roman" w:cs="Times New Roman"/>
          <w:sz w:val="32"/>
          <w:szCs w:val="32"/>
        </w:rPr>
      </w:pPr>
    </w:p>
    <w:tbl>
      <w:tblPr>
        <w:tblW w:w="5000" w:type="pct"/>
        <w:tblLook w:val="04A0"/>
      </w:tblPr>
      <w:tblGrid>
        <w:gridCol w:w="979"/>
        <w:gridCol w:w="4060"/>
        <w:gridCol w:w="2239"/>
        <w:gridCol w:w="2239"/>
        <w:gridCol w:w="2239"/>
        <w:gridCol w:w="2236"/>
      </w:tblGrid>
      <w:tr w:rsidR="002C32BB" w:rsidRPr="005646D9" w:rsidTr="00A76730">
        <w:trPr>
          <w:trHeight w:val="383"/>
          <w:tblHeader/>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黑体_GBK"/>
                <w:sz w:val="20"/>
                <w:szCs w:val="20"/>
              </w:rPr>
            </w:pPr>
            <w:proofErr w:type="spellStart"/>
            <w:r w:rsidRPr="005646D9">
              <w:rPr>
                <w:rFonts w:eastAsia="方正黑体_GBK"/>
                <w:sz w:val="20"/>
                <w:szCs w:val="20"/>
              </w:rPr>
              <w:t>行业、项目</w:t>
            </w:r>
            <w:proofErr w:type="spellEnd"/>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rFonts w:eastAsia="方正黑体_GBK"/>
                <w:sz w:val="20"/>
                <w:szCs w:val="20"/>
              </w:rPr>
            </w:pPr>
            <w:proofErr w:type="spellStart"/>
            <w:r w:rsidRPr="005646D9">
              <w:rPr>
                <w:rFonts w:eastAsia="方正黑体_GBK"/>
                <w:sz w:val="20"/>
                <w:szCs w:val="20"/>
              </w:rPr>
              <w:t>主城区</w:t>
            </w:r>
            <w:proofErr w:type="spellEnd"/>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rFonts w:eastAsia="方正黑体_GBK"/>
                <w:sz w:val="20"/>
                <w:szCs w:val="20"/>
              </w:rPr>
            </w:pPr>
            <w:proofErr w:type="spellStart"/>
            <w:r w:rsidRPr="005646D9">
              <w:rPr>
                <w:rFonts w:eastAsia="方正黑体_GBK"/>
                <w:sz w:val="20"/>
                <w:szCs w:val="20"/>
              </w:rPr>
              <w:t>东北部地区</w:t>
            </w:r>
            <w:proofErr w:type="spellEnd"/>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rFonts w:eastAsia="方正黑体_GBK"/>
                <w:sz w:val="20"/>
                <w:szCs w:val="20"/>
              </w:rPr>
            </w:pPr>
            <w:proofErr w:type="spellStart"/>
            <w:r w:rsidRPr="005646D9">
              <w:rPr>
                <w:rFonts w:eastAsia="方正黑体_GBK"/>
                <w:sz w:val="20"/>
                <w:szCs w:val="20"/>
              </w:rPr>
              <w:t>东南部地区</w:t>
            </w:r>
            <w:proofErr w:type="spellEnd"/>
          </w:p>
        </w:tc>
        <w:tc>
          <w:tcPr>
            <w:tcW w:w="799"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rFonts w:eastAsia="方正黑体_GBK"/>
                <w:sz w:val="20"/>
                <w:szCs w:val="20"/>
              </w:rPr>
            </w:pPr>
            <w:proofErr w:type="spellStart"/>
            <w:r w:rsidRPr="005646D9">
              <w:rPr>
                <w:rFonts w:eastAsia="方正黑体_GBK"/>
                <w:sz w:val="20"/>
                <w:szCs w:val="20"/>
              </w:rPr>
              <w:t>其他区县</w:t>
            </w:r>
            <w:proofErr w:type="spellEnd"/>
          </w:p>
        </w:tc>
      </w:tr>
      <w:tr w:rsidR="002C32BB" w:rsidRPr="005646D9" w:rsidTr="00A76730">
        <w:trPr>
          <w:trHeight w:val="726"/>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一、农业</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内环以内不予准入，内环以外除都市现代农业以外不予准入</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560"/>
        </w:trPr>
        <w:tc>
          <w:tcPr>
            <w:tcW w:w="350"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rPr>
            </w:pPr>
            <w:proofErr w:type="spellStart"/>
            <w:r w:rsidRPr="005646D9">
              <w:rPr>
                <w:sz w:val="20"/>
                <w:szCs w:val="20"/>
              </w:rPr>
              <w:t>其中</w:t>
            </w:r>
            <w:proofErr w:type="spellEnd"/>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在二十五度以上陡坡地开垦种植农作物。</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r>
      <w:tr w:rsidR="002C32BB" w:rsidRPr="005646D9" w:rsidTr="00A76730">
        <w:trPr>
          <w:trHeight w:val="852"/>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二、林业</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内环以内不予准入，内环以外除都市现代林业以外不予准入</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401"/>
        </w:trPr>
        <w:tc>
          <w:tcPr>
            <w:tcW w:w="35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w:t>
            </w:r>
            <w:r w:rsidRPr="005646D9">
              <w:rPr>
                <w:sz w:val="20"/>
                <w:szCs w:val="20"/>
                <w:lang w:eastAsia="zh-CN"/>
              </w:rPr>
              <w:t>1000</w:t>
            </w:r>
            <w:r w:rsidRPr="005646D9">
              <w:rPr>
                <w:sz w:val="20"/>
                <w:szCs w:val="20"/>
                <w:lang w:eastAsia="zh-CN"/>
              </w:rPr>
              <w:t>吨</w:t>
            </w:r>
            <w:r w:rsidRPr="005646D9">
              <w:rPr>
                <w:sz w:val="20"/>
                <w:szCs w:val="20"/>
                <w:lang w:eastAsia="zh-CN"/>
              </w:rPr>
              <w:t>/</w:t>
            </w:r>
            <w:r w:rsidRPr="005646D9">
              <w:rPr>
                <w:sz w:val="20"/>
                <w:szCs w:val="20"/>
                <w:lang w:eastAsia="zh-CN"/>
              </w:rPr>
              <w:t>年以下的松香生产项目；</w:t>
            </w:r>
          </w:p>
        </w:tc>
        <w:tc>
          <w:tcPr>
            <w:tcW w:w="800" w:type="pct"/>
            <w:vMerge w:val="restar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r>
      <w:tr w:rsidR="002C32BB" w:rsidRPr="005646D9" w:rsidTr="00A76730">
        <w:trPr>
          <w:trHeight w:val="411"/>
        </w:trPr>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rPr>
            </w:pPr>
            <w:r w:rsidRPr="005646D9">
              <w:rPr>
                <w:sz w:val="20"/>
                <w:szCs w:val="20"/>
              </w:rPr>
              <w:t>2</w:t>
            </w:r>
            <w:r w:rsidRPr="005646D9">
              <w:rPr>
                <w:sz w:val="20"/>
                <w:szCs w:val="20"/>
              </w:rPr>
              <w:t>．松脂初加工项目；</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rPr>
            </w:pPr>
          </w:p>
        </w:tc>
      </w:tr>
      <w:tr w:rsidR="002C32BB" w:rsidRPr="005646D9" w:rsidTr="00A76730">
        <w:trPr>
          <w:trHeight w:val="486"/>
        </w:trPr>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rPr>
            </w:pPr>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rPr>
            </w:pPr>
            <w:r w:rsidRPr="005646D9">
              <w:rPr>
                <w:sz w:val="20"/>
                <w:szCs w:val="20"/>
              </w:rPr>
              <w:t xml:space="preserve">3. </w:t>
            </w:r>
            <w:proofErr w:type="spellStart"/>
            <w:r w:rsidRPr="005646D9">
              <w:rPr>
                <w:sz w:val="20"/>
                <w:szCs w:val="20"/>
              </w:rPr>
              <w:t>天然林商业性采伐</w:t>
            </w:r>
            <w:proofErr w:type="spellEnd"/>
          </w:p>
        </w:tc>
        <w:tc>
          <w:tcPr>
            <w:tcW w:w="800" w:type="pct"/>
            <w:tcBorders>
              <w:top w:val="nil"/>
              <w:left w:val="nil"/>
              <w:bottom w:val="nil"/>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r>
      <w:tr w:rsidR="002C32BB" w:rsidRPr="005646D9" w:rsidTr="00A76730">
        <w:trPr>
          <w:trHeight w:val="498"/>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三、畜牧业</w:t>
            </w:r>
            <w:proofErr w:type="spellEnd"/>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内环以内不予准入，内环以外畜禽禁养区不予准入</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畜禽禁养区不予准入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proofErr w:type="spellStart"/>
            <w:r w:rsidRPr="005646D9">
              <w:rPr>
                <w:bCs/>
                <w:sz w:val="20"/>
                <w:szCs w:val="20"/>
              </w:rPr>
              <w:t>畜禽禁养区不予准入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畜禽禁养区不予准入</w:t>
            </w:r>
            <w:proofErr w:type="spellEnd"/>
          </w:p>
        </w:tc>
      </w:tr>
      <w:tr w:rsidR="002C32BB" w:rsidRPr="005646D9" w:rsidTr="00A76730">
        <w:trPr>
          <w:trHeight w:val="889"/>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四、渔业</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内环以内不予准入，内环以外除都市现代农业以外的渔业不予准入</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rPr>
                <w:bCs/>
                <w:sz w:val="20"/>
                <w:szCs w:val="20"/>
                <w:lang w:eastAsia="zh-CN"/>
              </w:rPr>
            </w:pPr>
            <w:r w:rsidRPr="005646D9">
              <w:rPr>
                <w:bCs/>
                <w:sz w:val="20"/>
                <w:szCs w:val="20"/>
                <w:lang w:eastAsia="zh-CN"/>
              </w:rPr>
              <w:t>三峡库区干支流回水区、饮用水源保护区网箱养殖不予准入</w:t>
            </w:r>
          </w:p>
        </w:tc>
        <w:tc>
          <w:tcPr>
            <w:tcW w:w="800" w:type="pct"/>
            <w:tcBorders>
              <w:top w:val="nil"/>
              <w:left w:val="nil"/>
              <w:bottom w:val="single" w:sz="4" w:space="0" w:color="auto"/>
              <w:right w:val="nil"/>
            </w:tcBorders>
            <w:vAlign w:val="center"/>
            <w:hideMark/>
          </w:tcPr>
          <w:p w:rsidR="002C32BB" w:rsidRPr="005646D9" w:rsidRDefault="002C32BB" w:rsidP="00A76730">
            <w:pPr>
              <w:rPr>
                <w:bCs/>
                <w:sz w:val="20"/>
                <w:szCs w:val="20"/>
                <w:lang w:eastAsia="zh-CN"/>
              </w:rPr>
            </w:pPr>
            <w:r w:rsidRPr="005646D9">
              <w:rPr>
                <w:bCs/>
                <w:sz w:val="20"/>
                <w:szCs w:val="20"/>
                <w:lang w:eastAsia="zh-CN"/>
              </w:rPr>
              <w:t>三峡库区干支流回水区、饮用水源保护区网箱养殖不予准入</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bCs/>
                <w:sz w:val="20"/>
                <w:szCs w:val="20"/>
                <w:lang w:eastAsia="zh-CN"/>
              </w:rPr>
            </w:pPr>
            <w:r w:rsidRPr="005646D9">
              <w:rPr>
                <w:bCs/>
                <w:sz w:val="20"/>
                <w:szCs w:val="20"/>
                <w:lang w:eastAsia="zh-CN"/>
              </w:rPr>
              <w:t>三峡库区干支流回水区、饮用水源保护区网箱养殖不予准入</w:t>
            </w:r>
          </w:p>
        </w:tc>
      </w:tr>
      <w:tr w:rsidR="002C32BB" w:rsidRPr="005646D9" w:rsidTr="00A76730">
        <w:trPr>
          <w:trHeight w:val="840"/>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五、农、林、牧、渔服务业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pacing w:val="-12"/>
                <w:sz w:val="20"/>
                <w:szCs w:val="20"/>
                <w:lang w:eastAsia="zh-CN"/>
              </w:rPr>
            </w:pPr>
            <w:r w:rsidRPr="005646D9">
              <w:rPr>
                <w:bCs/>
                <w:spacing w:val="-12"/>
                <w:sz w:val="20"/>
                <w:szCs w:val="20"/>
                <w:lang w:eastAsia="zh-CN"/>
              </w:rPr>
              <w:t>内环以内不予准入，内环以外不予准入都市现代农业以外的农林牧渔服务业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446"/>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六、煤炭开采和</w:t>
            </w:r>
            <w:proofErr w:type="gramStart"/>
            <w:r w:rsidRPr="005646D9">
              <w:rPr>
                <w:rFonts w:eastAsia="方正黑体_GBK"/>
                <w:bCs/>
                <w:sz w:val="20"/>
                <w:szCs w:val="20"/>
                <w:lang w:eastAsia="zh-CN"/>
              </w:rPr>
              <w:t>洗选业</w:t>
            </w:r>
            <w:proofErr w:type="gram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r>
      <w:tr w:rsidR="002C32BB" w:rsidRPr="005646D9" w:rsidTr="00A76730">
        <w:trPr>
          <w:trHeight w:val="570"/>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1. </w:t>
            </w:r>
            <w:r w:rsidRPr="005646D9">
              <w:rPr>
                <w:sz w:val="20"/>
                <w:szCs w:val="20"/>
                <w:lang w:eastAsia="zh-CN"/>
              </w:rPr>
              <w:t>单井井型低于</w:t>
            </w:r>
            <w:r w:rsidRPr="005646D9">
              <w:rPr>
                <w:sz w:val="20"/>
                <w:szCs w:val="20"/>
                <w:lang w:eastAsia="zh-CN"/>
              </w:rPr>
              <w:t>15</w:t>
            </w:r>
            <w:r w:rsidRPr="005646D9">
              <w:rPr>
                <w:sz w:val="20"/>
                <w:szCs w:val="20"/>
                <w:lang w:eastAsia="zh-CN"/>
              </w:rPr>
              <w:t>万吨</w:t>
            </w:r>
            <w:r w:rsidRPr="005646D9">
              <w:rPr>
                <w:sz w:val="20"/>
                <w:szCs w:val="20"/>
                <w:lang w:eastAsia="zh-CN"/>
              </w:rPr>
              <w:t>/</w:t>
            </w:r>
            <w:r w:rsidRPr="005646D9">
              <w:rPr>
                <w:sz w:val="20"/>
                <w:szCs w:val="20"/>
                <w:lang w:eastAsia="zh-CN"/>
              </w:rPr>
              <w:t>年的煤矿项目；</w:t>
            </w:r>
          </w:p>
        </w:tc>
        <w:tc>
          <w:tcPr>
            <w:tcW w:w="800" w:type="pct"/>
            <w:tcBorders>
              <w:top w:val="nil"/>
              <w:left w:val="nil"/>
              <w:bottom w:val="nil"/>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r>
      <w:tr w:rsidR="002C32BB" w:rsidRPr="005646D9" w:rsidTr="00A76730">
        <w:trPr>
          <w:trHeight w:val="43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2. </w:t>
            </w:r>
            <w:r w:rsidRPr="005646D9">
              <w:rPr>
                <w:sz w:val="20"/>
                <w:szCs w:val="20"/>
                <w:lang w:eastAsia="zh-CN"/>
              </w:rPr>
              <w:t>生产能力在</w:t>
            </w:r>
            <w:r w:rsidRPr="005646D9">
              <w:rPr>
                <w:sz w:val="20"/>
                <w:szCs w:val="20"/>
                <w:lang w:eastAsia="zh-CN"/>
              </w:rPr>
              <w:t>9</w:t>
            </w:r>
            <w:r w:rsidRPr="005646D9">
              <w:rPr>
                <w:sz w:val="20"/>
                <w:szCs w:val="20"/>
                <w:lang w:eastAsia="zh-CN"/>
              </w:rPr>
              <w:t>万吨</w:t>
            </w:r>
            <w:r w:rsidRPr="005646D9">
              <w:rPr>
                <w:sz w:val="20"/>
                <w:szCs w:val="20"/>
                <w:lang w:eastAsia="zh-CN"/>
              </w:rPr>
              <w:t>/</w:t>
            </w:r>
            <w:r w:rsidRPr="005646D9">
              <w:rPr>
                <w:sz w:val="20"/>
                <w:szCs w:val="20"/>
                <w:lang w:eastAsia="zh-CN"/>
              </w:rPr>
              <w:t>年及以下的煤矿；</w:t>
            </w:r>
          </w:p>
        </w:tc>
        <w:tc>
          <w:tcPr>
            <w:tcW w:w="800" w:type="pct"/>
            <w:vMerge w:val="restart"/>
            <w:tcBorders>
              <w:top w:val="single" w:sz="4" w:space="0" w:color="auto"/>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vMerge w:val="restar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r>
      <w:tr w:rsidR="002C32BB" w:rsidRPr="005646D9" w:rsidTr="00A76730">
        <w:trPr>
          <w:trHeight w:val="108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3. </w:t>
            </w:r>
            <w:r w:rsidRPr="005646D9">
              <w:rPr>
                <w:sz w:val="20"/>
                <w:szCs w:val="20"/>
                <w:lang w:eastAsia="zh-CN"/>
              </w:rPr>
              <w:t>生产能力为</w:t>
            </w:r>
            <w:r w:rsidRPr="005646D9">
              <w:rPr>
                <w:sz w:val="20"/>
                <w:szCs w:val="20"/>
                <w:lang w:eastAsia="zh-CN"/>
              </w:rPr>
              <w:t>30</w:t>
            </w:r>
            <w:r w:rsidRPr="005646D9">
              <w:rPr>
                <w:sz w:val="20"/>
                <w:szCs w:val="20"/>
                <w:lang w:eastAsia="zh-CN"/>
              </w:rPr>
              <w:t>万吨</w:t>
            </w:r>
            <w:r w:rsidRPr="005646D9">
              <w:rPr>
                <w:sz w:val="20"/>
                <w:szCs w:val="20"/>
                <w:lang w:eastAsia="zh-CN"/>
              </w:rPr>
              <w:t>/</w:t>
            </w:r>
            <w:r w:rsidRPr="005646D9">
              <w:rPr>
                <w:sz w:val="20"/>
                <w:szCs w:val="20"/>
                <w:lang w:eastAsia="zh-CN"/>
              </w:rPr>
              <w:t>年以下、发生重大及以上安全生产责任事故的煤矿；生产能力为</w:t>
            </w:r>
            <w:r w:rsidRPr="005646D9">
              <w:rPr>
                <w:sz w:val="20"/>
                <w:szCs w:val="20"/>
                <w:lang w:eastAsia="zh-CN"/>
              </w:rPr>
              <w:t>15</w:t>
            </w:r>
            <w:r w:rsidRPr="005646D9">
              <w:rPr>
                <w:sz w:val="20"/>
                <w:szCs w:val="20"/>
                <w:lang w:eastAsia="zh-CN"/>
              </w:rPr>
              <w:t>万吨</w:t>
            </w:r>
            <w:r w:rsidRPr="005646D9">
              <w:rPr>
                <w:sz w:val="20"/>
                <w:szCs w:val="20"/>
                <w:lang w:eastAsia="zh-CN"/>
              </w:rPr>
              <w:t>/</w:t>
            </w:r>
            <w:r w:rsidRPr="005646D9">
              <w:rPr>
                <w:sz w:val="20"/>
                <w:szCs w:val="20"/>
                <w:lang w:eastAsia="zh-CN"/>
              </w:rPr>
              <w:t>年及以下、发生较大及以上安全生产责任事故或</w:t>
            </w:r>
            <w:r w:rsidRPr="005646D9">
              <w:rPr>
                <w:sz w:val="20"/>
                <w:szCs w:val="20"/>
                <w:lang w:eastAsia="zh-CN"/>
              </w:rPr>
              <w:t>1</w:t>
            </w:r>
            <w:r w:rsidRPr="005646D9">
              <w:rPr>
                <w:sz w:val="20"/>
                <w:szCs w:val="20"/>
                <w:lang w:eastAsia="zh-CN"/>
              </w:rPr>
              <w:t>年内发生</w:t>
            </w:r>
            <w:r w:rsidRPr="005646D9">
              <w:rPr>
                <w:sz w:val="20"/>
                <w:szCs w:val="20"/>
                <w:lang w:eastAsia="zh-CN"/>
              </w:rPr>
              <w:t>3</w:t>
            </w:r>
            <w:r w:rsidRPr="005646D9">
              <w:rPr>
                <w:sz w:val="20"/>
                <w:szCs w:val="20"/>
                <w:lang w:eastAsia="zh-CN"/>
              </w:rPr>
              <w:t>次一般安全生产责任事故的煤矿；</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81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4. </w:t>
            </w:r>
            <w:r w:rsidRPr="005646D9">
              <w:rPr>
                <w:sz w:val="20"/>
                <w:szCs w:val="20"/>
                <w:lang w:eastAsia="zh-CN"/>
              </w:rPr>
              <w:t>煤矿安全生产许可证经延期审查或执法检查，不具备安全生产条件，经停产整改仍不符合安全生产要求的煤矿；</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27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5. </w:t>
            </w:r>
            <w:r w:rsidRPr="005646D9">
              <w:rPr>
                <w:sz w:val="20"/>
                <w:szCs w:val="20"/>
                <w:lang w:eastAsia="zh-CN"/>
              </w:rPr>
              <w:t>超层越界生产或建设，拒不退回的煤矿；</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54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6. </w:t>
            </w:r>
            <w:r w:rsidRPr="005646D9">
              <w:rPr>
                <w:sz w:val="20"/>
                <w:szCs w:val="20"/>
                <w:lang w:eastAsia="zh-CN"/>
              </w:rPr>
              <w:t>未按国家规定程序报批矿区总体规划的煤矿项目；</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108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7. </w:t>
            </w:r>
            <w:r w:rsidRPr="005646D9">
              <w:rPr>
                <w:sz w:val="20"/>
                <w:szCs w:val="20"/>
                <w:lang w:eastAsia="zh-CN"/>
              </w:rPr>
              <w:t>存在瓦斯、自然发火、冲击地压、水害威胁等重大安全生产隐患，且经县级以上地方人民政府组织专家进行论证，在现有技术条件下难以有效防治的煤矿；</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54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8. </w:t>
            </w:r>
            <w:r w:rsidRPr="005646D9">
              <w:rPr>
                <w:sz w:val="20"/>
                <w:szCs w:val="20"/>
                <w:lang w:eastAsia="zh-CN"/>
              </w:rPr>
              <w:t>在限定时间内没有达到煤矿安全生产标准化三级标准的煤矿。</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372"/>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七、石油和天然气开采业</w:t>
            </w:r>
          </w:p>
        </w:tc>
        <w:tc>
          <w:tcPr>
            <w:tcW w:w="800" w:type="pct"/>
            <w:vMerge w:val="restar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内环以内不予准入，内环以外不予准入</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r>
      <w:tr w:rsidR="002C32BB" w:rsidRPr="005646D9" w:rsidTr="00A76730">
        <w:trPr>
          <w:trHeight w:val="278"/>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八、黑色金属矿采选业</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bCs/>
                <w:sz w:val="20"/>
                <w:szCs w:val="20"/>
                <w:lang w:eastAsia="zh-CN"/>
              </w:rPr>
            </w:pP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r>
      <w:tr w:rsidR="002C32BB" w:rsidRPr="005646D9" w:rsidTr="00A76730">
        <w:trPr>
          <w:trHeight w:val="240"/>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九、有色金属矿采选业</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bCs/>
                <w:sz w:val="20"/>
                <w:szCs w:val="20"/>
                <w:lang w:eastAsia="zh-CN"/>
              </w:rPr>
            </w:pP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r>
      <w:tr w:rsidR="002C32BB" w:rsidRPr="005646D9" w:rsidTr="00A76730">
        <w:trPr>
          <w:trHeight w:val="300"/>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十、非金属矿采选业</w:t>
            </w:r>
            <w:proofErr w:type="spellEnd"/>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bCs/>
                <w:sz w:val="20"/>
                <w:szCs w:val="20"/>
              </w:rPr>
            </w:pP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r>
      <w:tr w:rsidR="002C32BB" w:rsidRPr="005646D9" w:rsidTr="00A76730">
        <w:trPr>
          <w:trHeight w:val="277"/>
        </w:trPr>
        <w:tc>
          <w:tcPr>
            <w:tcW w:w="350"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60</w:t>
            </w:r>
            <w:r w:rsidRPr="005646D9">
              <w:rPr>
                <w:sz w:val="20"/>
                <w:szCs w:val="20"/>
                <w:lang w:eastAsia="zh-CN"/>
              </w:rPr>
              <w:t>万吨</w:t>
            </w:r>
            <w:r w:rsidRPr="005646D9">
              <w:rPr>
                <w:sz w:val="20"/>
                <w:szCs w:val="20"/>
                <w:lang w:eastAsia="zh-CN"/>
              </w:rPr>
              <w:t>/</w:t>
            </w:r>
            <w:r w:rsidRPr="005646D9">
              <w:rPr>
                <w:sz w:val="20"/>
                <w:szCs w:val="20"/>
                <w:lang w:eastAsia="zh-CN"/>
              </w:rPr>
              <w:t>年以下矿（井）盐项目。</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bCs/>
                <w:sz w:val="20"/>
                <w:szCs w:val="20"/>
                <w:lang w:eastAsia="zh-CN"/>
              </w:rPr>
            </w:pP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r>
      <w:tr w:rsidR="002C32BB" w:rsidRPr="005646D9" w:rsidTr="00A76730">
        <w:trPr>
          <w:trHeight w:val="304"/>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十一、开采辅助活动</w:t>
            </w:r>
            <w:proofErr w:type="spellEnd"/>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bCs/>
                <w:sz w:val="20"/>
                <w:szCs w:val="20"/>
              </w:rPr>
            </w:pP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r>
      <w:tr w:rsidR="002C32BB" w:rsidRPr="005646D9" w:rsidTr="00A76730">
        <w:trPr>
          <w:trHeight w:val="279"/>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十二、除地热、矿泉水外的其他采矿业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r>
      <w:tr w:rsidR="002C32BB" w:rsidRPr="005646D9" w:rsidTr="00A76730">
        <w:trPr>
          <w:trHeight w:val="420"/>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十三、农副食品加工业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r>
      <w:tr w:rsidR="002C32BB" w:rsidRPr="005646D9" w:rsidTr="00A76730">
        <w:trPr>
          <w:trHeight w:val="272"/>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．大豆压榨及浸出项目；</w:t>
            </w:r>
            <w:r w:rsidRPr="005646D9">
              <w:rPr>
                <w:sz w:val="20"/>
                <w:szCs w:val="20"/>
                <w:lang w:eastAsia="zh-CN"/>
              </w:rPr>
              <w:t xml:space="preserve"> </w:t>
            </w:r>
          </w:p>
        </w:tc>
        <w:tc>
          <w:tcPr>
            <w:tcW w:w="800" w:type="pct"/>
            <w:vMerge w:val="restar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54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．单线日处理油菜籽、棉籽、花生等油料</w:t>
            </w:r>
            <w:r w:rsidRPr="005646D9">
              <w:rPr>
                <w:sz w:val="20"/>
                <w:szCs w:val="20"/>
                <w:lang w:eastAsia="zh-CN"/>
              </w:rPr>
              <w:t>100</w:t>
            </w:r>
            <w:r w:rsidRPr="005646D9">
              <w:rPr>
                <w:sz w:val="20"/>
                <w:szCs w:val="20"/>
                <w:lang w:eastAsia="zh-CN"/>
              </w:rPr>
              <w:t>吨及以下的加工项目；</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838"/>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3</w:t>
            </w:r>
            <w:r w:rsidRPr="005646D9">
              <w:rPr>
                <w:sz w:val="20"/>
                <w:szCs w:val="20"/>
                <w:lang w:eastAsia="zh-CN"/>
              </w:rPr>
              <w:t>．年加工玉米</w:t>
            </w:r>
            <w:r w:rsidRPr="005646D9">
              <w:rPr>
                <w:sz w:val="20"/>
                <w:szCs w:val="20"/>
                <w:lang w:eastAsia="zh-CN"/>
              </w:rPr>
              <w:t>30</w:t>
            </w:r>
            <w:r w:rsidRPr="005646D9">
              <w:rPr>
                <w:sz w:val="20"/>
                <w:szCs w:val="20"/>
                <w:lang w:eastAsia="zh-CN"/>
              </w:rPr>
              <w:t>万吨以下、</w:t>
            </w:r>
            <w:proofErr w:type="gramStart"/>
            <w:r w:rsidRPr="005646D9">
              <w:rPr>
                <w:sz w:val="20"/>
                <w:szCs w:val="20"/>
                <w:lang w:eastAsia="zh-CN"/>
              </w:rPr>
              <w:t>绝干收率</w:t>
            </w:r>
            <w:proofErr w:type="gramEnd"/>
            <w:r w:rsidRPr="005646D9">
              <w:rPr>
                <w:sz w:val="20"/>
                <w:szCs w:val="20"/>
                <w:lang w:eastAsia="zh-CN"/>
              </w:rPr>
              <w:t>在</w:t>
            </w:r>
            <w:r w:rsidRPr="005646D9">
              <w:rPr>
                <w:sz w:val="20"/>
                <w:szCs w:val="20"/>
                <w:lang w:eastAsia="zh-CN"/>
              </w:rPr>
              <w:t>98%</w:t>
            </w:r>
            <w:r w:rsidRPr="005646D9">
              <w:rPr>
                <w:sz w:val="20"/>
                <w:szCs w:val="20"/>
                <w:lang w:eastAsia="zh-CN"/>
              </w:rPr>
              <w:t>以下玉米淀粉湿法生产线；</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422"/>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4</w:t>
            </w:r>
            <w:r w:rsidRPr="005646D9">
              <w:rPr>
                <w:sz w:val="20"/>
                <w:szCs w:val="20"/>
                <w:lang w:eastAsia="zh-CN"/>
              </w:rPr>
              <w:t>．年屠宰量达不到标准的屠宰建设项目；</w:t>
            </w:r>
          </w:p>
        </w:tc>
        <w:tc>
          <w:tcPr>
            <w:tcW w:w="800" w:type="pct"/>
            <w:vMerge w:val="restar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内环以内不予准入，内环以外允许改造升级</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416"/>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5</w:t>
            </w:r>
            <w:r w:rsidRPr="005646D9">
              <w:rPr>
                <w:sz w:val="20"/>
                <w:szCs w:val="20"/>
                <w:lang w:eastAsia="zh-CN"/>
              </w:rPr>
              <w:t>．</w:t>
            </w:r>
            <w:r w:rsidRPr="005646D9">
              <w:rPr>
                <w:sz w:val="20"/>
                <w:szCs w:val="20"/>
                <w:lang w:eastAsia="zh-CN"/>
              </w:rPr>
              <w:t>3000</w:t>
            </w:r>
            <w:r w:rsidRPr="005646D9">
              <w:rPr>
                <w:sz w:val="20"/>
                <w:szCs w:val="20"/>
                <w:lang w:eastAsia="zh-CN"/>
              </w:rPr>
              <w:t>吨</w:t>
            </w:r>
            <w:r w:rsidRPr="005646D9">
              <w:rPr>
                <w:sz w:val="20"/>
                <w:szCs w:val="20"/>
                <w:lang w:eastAsia="zh-CN"/>
              </w:rPr>
              <w:t>/</w:t>
            </w:r>
            <w:r w:rsidRPr="005646D9">
              <w:rPr>
                <w:sz w:val="20"/>
                <w:szCs w:val="20"/>
                <w:lang w:eastAsia="zh-CN"/>
              </w:rPr>
              <w:t>年及以下的西式肉制品加工项目。</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450"/>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十四、食品制造业</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r>
      <w:tr w:rsidR="002C32BB" w:rsidRPr="005646D9" w:rsidTr="00A76730">
        <w:trPr>
          <w:trHeight w:val="570"/>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w:t>
            </w:r>
            <w:r w:rsidRPr="005646D9">
              <w:rPr>
                <w:sz w:val="20"/>
                <w:szCs w:val="20"/>
                <w:lang w:eastAsia="zh-CN"/>
              </w:rPr>
              <w:t>5</w:t>
            </w:r>
            <w:r w:rsidRPr="005646D9">
              <w:rPr>
                <w:sz w:val="20"/>
                <w:szCs w:val="20"/>
                <w:lang w:eastAsia="zh-CN"/>
              </w:rPr>
              <w:t>万吨</w:t>
            </w:r>
            <w:r w:rsidRPr="005646D9">
              <w:rPr>
                <w:sz w:val="20"/>
                <w:szCs w:val="20"/>
                <w:lang w:eastAsia="zh-CN"/>
              </w:rPr>
              <w:t>/</w:t>
            </w:r>
            <w:r w:rsidRPr="005646D9">
              <w:rPr>
                <w:sz w:val="20"/>
                <w:szCs w:val="20"/>
                <w:lang w:eastAsia="zh-CN"/>
              </w:rPr>
              <w:t>年及以下且采用等电离交工艺的味精生产线；</w:t>
            </w:r>
          </w:p>
        </w:tc>
        <w:tc>
          <w:tcPr>
            <w:tcW w:w="800" w:type="pct"/>
            <w:vMerge w:val="restar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342"/>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．糖精等化学合成甜味剂生产线；</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276"/>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3</w:t>
            </w:r>
            <w:r w:rsidRPr="005646D9">
              <w:rPr>
                <w:sz w:val="20"/>
                <w:szCs w:val="20"/>
                <w:lang w:eastAsia="zh-CN"/>
              </w:rPr>
              <w:t>．</w:t>
            </w:r>
            <w:r w:rsidRPr="005646D9">
              <w:rPr>
                <w:sz w:val="20"/>
                <w:szCs w:val="20"/>
                <w:lang w:eastAsia="zh-CN"/>
              </w:rPr>
              <w:t>2000</w:t>
            </w:r>
            <w:r w:rsidRPr="005646D9">
              <w:rPr>
                <w:sz w:val="20"/>
                <w:szCs w:val="20"/>
                <w:lang w:eastAsia="zh-CN"/>
              </w:rPr>
              <w:t>吨</w:t>
            </w:r>
            <w:r w:rsidRPr="005646D9">
              <w:rPr>
                <w:sz w:val="20"/>
                <w:szCs w:val="20"/>
                <w:lang w:eastAsia="zh-CN"/>
              </w:rPr>
              <w:t>/</w:t>
            </w:r>
            <w:r w:rsidRPr="005646D9">
              <w:rPr>
                <w:sz w:val="20"/>
                <w:szCs w:val="20"/>
                <w:lang w:eastAsia="zh-CN"/>
              </w:rPr>
              <w:t>年及以下的酵母加工项目。</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448"/>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十五、酒、饮料和精制茶制造业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lang w:eastAsia="zh-CN"/>
              </w:rPr>
            </w:pPr>
            <w:r w:rsidRPr="005646D9">
              <w:rPr>
                <w:rFonts w:eastAsia="方正楷体_GBK"/>
                <w:bCs/>
                <w:sz w:val="20"/>
                <w:szCs w:val="20"/>
                <w:lang w:eastAsia="zh-CN"/>
              </w:rPr>
              <w:t xml:space="preserve">　</w:t>
            </w:r>
          </w:p>
        </w:tc>
      </w:tr>
      <w:tr w:rsidR="002C32BB" w:rsidRPr="005646D9" w:rsidTr="00A76730">
        <w:trPr>
          <w:trHeight w:val="570"/>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rPr>
            </w:pPr>
            <w:r w:rsidRPr="005646D9">
              <w:rPr>
                <w:sz w:val="20"/>
                <w:szCs w:val="20"/>
              </w:rPr>
              <w:t>1</w:t>
            </w:r>
            <w:r w:rsidRPr="005646D9">
              <w:rPr>
                <w:sz w:val="20"/>
                <w:szCs w:val="20"/>
              </w:rPr>
              <w:t>．酒精、白酒生产线</w:t>
            </w:r>
          </w:p>
        </w:tc>
        <w:tc>
          <w:tcPr>
            <w:tcW w:w="800" w:type="pct"/>
            <w:vMerge w:val="restar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限制准入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59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．生产能力小于</w:t>
            </w:r>
            <w:r w:rsidRPr="005646D9">
              <w:rPr>
                <w:sz w:val="20"/>
                <w:szCs w:val="20"/>
                <w:lang w:eastAsia="zh-CN"/>
              </w:rPr>
              <w:t>18000</w:t>
            </w:r>
            <w:r w:rsidRPr="005646D9">
              <w:rPr>
                <w:sz w:val="20"/>
                <w:szCs w:val="20"/>
                <w:lang w:eastAsia="zh-CN"/>
              </w:rPr>
              <w:t>瓶</w:t>
            </w:r>
            <w:r w:rsidRPr="005646D9">
              <w:rPr>
                <w:sz w:val="20"/>
                <w:szCs w:val="20"/>
                <w:lang w:eastAsia="zh-CN"/>
              </w:rPr>
              <w:t>/</w:t>
            </w:r>
            <w:r w:rsidRPr="005646D9">
              <w:rPr>
                <w:sz w:val="20"/>
                <w:szCs w:val="20"/>
                <w:lang w:eastAsia="zh-CN"/>
              </w:rPr>
              <w:t>时的啤酒灌装生产线。</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512"/>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十六、烟草制品业</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widowControl/>
              <w:rPr>
                <w:sz w:val="20"/>
                <w:szCs w:val="20"/>
              </w:rPr>
            </w:pP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r>
      <w:tr w:rsidR="002C32BB" w:rsidRPr="005646D9" w:rsidTr="00A76730">
        <w:trPr>
          <w:trHeight w:val="570"/>
        </w:trPr>
        <w:tc>
          <w:tcPr>
            <w:tcW w:w="350"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r w:rsidRPr="005646D9">
              <w:rPr>
                <w:sz w:val="20"/>
                <w:szCs w:val="20"/>
              </w:rPr>
              <w:t xml:space="preserve"> </w:t>
            </w:r>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rPr>
            </w:pPr>
            <w:proofErr w:type="spellStart"/>
            <w:r w:rsidRPr="005646D9">
              <w:rPr>
                <w:sz w:val="20"/>
                <w:szCs w:val="20"/>
              </w:rPr>
              <w:t>卷烟加工项目</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限制准入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300"/>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十七、纺织业</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内环以内不予准入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rPr>
                <w:rFonts w:eastAsia="方正楷体_GBK"/>
                <w:bCs/>
                <w:sz w:val="20"/>
                <w:szCs w:val="20"/>
              </w:rPr>
            </w:pPr>
            <w:r w:rsidRPr="005646D9">
              <w:rPr>
                <w:rFonts w:eastAsia="方正楷体_GBK"/>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rPr>
                <w:rFonts w:eastAsia="方正楷体_GBK"/>
                <w:bCs/>
                <w:sz w:val="20"/>
                <w:szCs w:val="20"/>
              </w:rPr>
            </w:pPr>
            <w:r w:rsidRPr="005646D9">
              <w:rPr>
                <w:rFonts w:eastAsia="方正楷体_GBK"/>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rFonts w:eastAsia="方正楷体_GBK"/>
                <w:bCs/>
                <w:sz w:val="20"/>
                <w:szCs w:val="20"/>
              </w:rPr>
            </w:pPr>
            <w:r w:rsidRPr="005646D9">
              <w:rPr>
                <w:rFonts w:eastAsia="方正楷体_GBK"/>
                <w:bCs/>
                <w:sz w:val="20"/>
                <w:szCs w:val="20"/>
              </w:rPr>
              <w:t xml:space="preserve">　</w:t>
            </w:r>
          </w:p>
        </w:tc>
      </w:tr>
      <w:tr w:rsidR="002C32BB" w:rsidRPr="005646D9" w:rsidTr="00A76730">
        <w:trPr>
          <w:trHeight w:val="1085"/>
        </w:trPr>
        <w:tc>
          <w:tcPr>
            <w:tcW w:w="350"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国家《产业结构调整指导目录（</w:t>
            </w:r>
            <w:r w:rsidRPr="005646D9">
              <w:rPr>
                <w:sz w:val="20"/>
                <w:szCs w:val="20"/>
                <w:lang w:eastAsia="zh-CN"/>
              </w:rPr>
              <w:t>2011</w:t>
            </w:r>
            <w:r w:rsidRPr="005646D9">
              <w:rPr>
                <w:sz w:val="20"/>
                <w:szCs w:val="20"/>
                <w:lang w:eastAsia="zh-CN"/>
              </w:rPr>
              <w:t>年本）（修正）》限制类</w:t>
            </w:r>
            <w:r w:rsidRPr="005646D9">
              <w:rPr>
                <w:sz w:val="20"/>
                <w:szCs w:val="20"/>
                <w:lang w:eastAsia="zh-CN"/>
              </w:rPr>
              <w:t>“</w:t>
            </w:r>
            <w:r w:rsidRPr="005646D9">
              <w:rPr>
                <w:sz w:val="20"/>
                <w:szCs w:val="20"/>
                <w:lang w:eastAsia="zh-CN"/>
              </w:rPr>
              <w:t>十三、纺织第</w:t>
            </w:r>
            <w:r w:rsidRPr="005646D9">
              <w:rPr>
                <w:sz w:val="20"/>
                <w:szCs w:val="20"/>
                <w:lang w:eastAsia="zh-CN"/>
              </w:rPr>
              <w:t>6-17</w:t>
            </w:r>
            <w:r w:rsidRPr="005646D9">
              <w:rPr>
                <w:sz w:val="20"/>
                <w:szCs w:val="20"/>
                <w:lang w:eastAsia="zh-CN"/>
              </w:rPr>
              <w:t>项等纺织品生产</w:t>
            </w:r>
            <w:r w:rsidRPr="005646D9">
              <w:rPr>
                <w:sz w:val="20"/>
                <w:szCs w:val="20"/>
                <w:lang w:eastAsia="zh-CN"/>
              </w:rPr>
              <w:t>”</w:t>
            </w:r>
            <w:r w:rsidRPr="005646D9">
              <w:rPr>
                <w:sz w:val="20"/>
                <w:szCs w:val="20"/>
                <w:lang w:eastAsia="zh-CN"/>
              </w:rPr>
              <w:t>。</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348"/>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十八、木材加工和</w:t>
            </w:r>
            <w:proofErr w:type="gramStart"/>
            <w:r w:rsidRPr="005646D9">
              <w:rPr>
                <w:rFonts w:eastAsia="方正黑体_GBK"/>
                <w:bCs/>
                <w:sz w:val="20"/>
                <w:szCs w:val="20"/>
                <w:lang w:eastAsia="zh-CN"/>
              </w:rPr>
              <w:t>木、</w:t>
            </w:r>
            <w:proofErr w:type="gramEnd"/>
            <w:r w:rsidRPr="005646D9">
              <w:rPr>
                <w:rFonts w:eastAsia="方正黑体_GBK"/>
                <w:bCs/>
                <w:sz w:val="20"/>
                <w:szCs w:val="20"/>
                <w:lang w:eastAsia="zh-CN"/>
              </w:rPr>
              <w:t>竹、藤、棕、草制品业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内环以内不予准入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rFonts w:eastAsia="方正楷体_GBK"/>
                <w:bCs/>
                <w:sz w:val="20"/>
                <w:szCs w:val="20"/>
              </w:rPr>
            </w:pPr>
            <w:r w:rsidRPr="005646D9">
              <w:rPr>
                <w:rFonts w:eastAsia="方正楷体_GBK"/>
                <w:bCs/>
                <w:sz w:val="20"/>
                <w:szCs w:val="20"/>
              </w:rPr>
              <w:t xml:space="preserve">　</w:t>
            </w:r>
          </w:p>
        </w:tc>
      </w:tr>
      <w:tr w:rsidR="002C32BB" w:rsidRPr="005646D9" w:rsidTr="00A76730">
        <w:trPr>
          <w:trHeight w:val="1216"/>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Pr>
                <w:sz w:val="20"/>
                <w:szCs w:val="20"/>
                <w:lang w:eastAsia="zh-CN"/>
              </w:rPr>
              <w:t>1.</w:t>
            </w:r>
            <w:r w:rsidRPr="005646D9">
              <w:rPr>
                <w:sz w:val="20"/>
                <w:szCs w:val="20"/>
                <w:lang w:eastAsia="zh-CN"/>
              </w:rPr>
              <w:t>单线</w:t>
            </w:r>
            <w:r w:rsidRPr="005646D9">
              <w:rPr>
                <w:sz w:val="20"/>
                <w:szCs w:val="20"/>
                <w:lang w:eastAsia="zh-CN"/>
              </w:rPr>
              <w:t>5</w:t>
            </w:r>
            <w:r w:rsidRPr="005646D9">
              <w:rPr>
                <w:sz w:val="20"/>
                <w:szCs w:val="20"/>
                <w:lang w:eastAsia="zh-CN"/>
              </w:rPr>
              <w:t>万立方米</w:t>
            </w:r>
            <w:r w:rsidRPr="005646D9">
              <w:rPr>
                <w:sz w:val="20"/>
                <w:szCs w:val="20"/>
                <w:lang w:eastAsia="zh-CN"/>
              </w:rPr>
              <w:t>/</w:t>
            </w:r>
            <w:r w:rsidRPr="005646D9">
              <w:rPr>
                <w:sz w:val="20"/>
                <w:szCs w:val="20"/>
                <w:lang w:eastAsia="zh-CN"/>
              </w:rPr>
              <w:t>年以下的普通刨花板、高中密度纤维板生产装置，单线</w:t>
            </w:r>
            <w:r w:rsidRPr="005646D9">
              <w:rPr>
                <w:sz w:val="20"/>
                <w:szCs w:val="20"/>
                <w:lang w:eastAsia="zh-CN"/>
              </w:rPr>
              <w:t>3</w:t>
            </w:r>
            <w:r w:rsidRPr="005646D9">
              <w:rPr>
                <w:sz w:val="20"/>
                <w:szCs w:val="20"/>
                <w:lang w:eastAsia="zh-CN"/>
              </w:rPr>
              <w:t>万立方米</w:t>
            </w:r>
            <w:r w:rsidRPr="005646D9">
              <w:rPr>
                <w:sz w:val="20"/>
                <w:szCs w:val="20"/>
                <w:lang w:eastAsia="zh-CN"/>
              </w:rPr>
              <w:t>/</w:t>
            </w:r>
            <w:r w:rsidRPr="005646D9">
              <w:rPr>
                <w:sz w:val="20"/>
                <w:szCs w:val="20"/>
                <w:lang w:eastAsia="zh-CN"/>
              </w:rPr>
              <w:t>年以下的木质刨花板生产装置，</w:t>
            </w:r>
            <w:r w:rsidRPr="005646D9">
              <w:rPr>
                <w:sz w:val="20"/>
                <w:szCs w:val="20"/>
                <w:lang w:eastAsia="zh-CN"/>
              </w:rPr>
              <w:t>1</w:t>
            </w:r>
            <w:r w:rsidRPr="005646D9">
              <w:rPr>
                <w:sz w:val="20"/>
                <w:szCs w:val="20"/>
                <w:lang w:eastAsia="zh-CN"/>
              </w:rPr>
              <w:t>万立方米</w:t>
            </w:r>
            <w:r w:rsidRPr="005646D9">
              <w:rPr>
                <w:sz w:val="20"/>
                <w:szCs w:val="20"/>
                <w:lang w:eastAsia="zh-CN"/>
              </w:rPr>
              <w:t>/</w:t>
            </w:r>
            <w:r w:rsidRPr="005646D9">
              <w:rPr>
                <w:sz w:val="20"/>
                <w:szCs w:val="20"/>
                <w:lang w:eastAsia="zh-CN"/>
              </w:rPr>
              <w:t>年以下的胶合板和细木工板生产线；</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979"/>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．以优质林木为原料的一次性木制品与木制包装的生产和使用以及木竹加工综合利用率偏低的木竹加工项目。</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521"/>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十九、家具制造业</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内环以内不予准入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r>
      <w:tr w:rsidR="002C32BB" w:rsidRPr="005646D9" w:rsidTr="00A76730">
        <w:trPr>
          <w:trHeight w:val="306"/>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二十、造纸和纸制品业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内环以内不予准入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r>
      <w:tr w:rsidR="002C32BB" w:rsidRPr="005646D9" w:rsidTr="00A76730">
        <w:trPr>
          <w:trHeight w:val="269"/>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．元素氯漂白制浆工艺；</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543"/>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．新建单条化学木浆</w:t>
            </w:r>
            <w:r w:rsidRPr="005646D9">
              <w:rPr>
                <w:sz w:val="20"/>
                <w:szCs w:val="20"/>
                <w:lang w:eastAsia="zh-CN"/>
              </w:rPr>
              <w:t>30</w:t>
            </w:r>
            <w:r w:rsidRPr="005646D9">
              <w:rPr>
                <w:sz w:val="20"/>
                <w:szCs w:val="20"/>
                <w:lang w:eastAsia="zh-CN"/>
              </w:rPr>
              <w:t>万吨</w:t>
            </w:r>
            <w:r w:rsidRPr="005646D9">
              <w:rPr>
                <w:sz w:val="20"/>
                <w:szCs w:val="20"/>
                <w:lang w:eastAsia="zh-CN"/>
              </w:rPr>
              <w:t>/</w:t>
            </w:r>
            <w:r w:rsidRPr="005646D9">
              <w:rPr>
                <w:sz w:val="20"/>
                <w:szCs w:val="20"/>
                <w:lang w:eastAsia="zh-CN"/>
              </w:rPr>
              <w:t>年以下、化学机械木浆</w:t>
            </w:r>
            <w:r w:rsidRPr="005646D9">
              <w:rPr>
                <w:sz w:val="20"/>
                <w:szCs w:val="20"/>
                <w:lang w:eastAsia="zh-CN"/>
              </w:rPr>
              <w:t>10</w:t>
            </w:r>
            <w:r w:rsidRPr="005646D9">
              <w:rPr>
                <w:sz w:val="20"/>
                <w:szCs w:val="20"/>
                <w:lang w:eastAsia="zh-CN"/>
              </w:rPr>
              <w:t>万吨</w:t>
            </w:r>
            <w:r w:rsidRPr="005646D9">
              <w:rPr>
                <w:sz w:val="20"/>
                <w:szCs w:val="20"/>
                <w:lang w:eastAsia="zh-CN"/>
              </w:rPr>
              <w:t>/</w:t>
            </w:r>
            <w:r w:rsidRPr="005646D9">
              <w:rPr>
                <w:sz w:val="20"/>
                <w:szCs w:val="20"/>
                <w:lang w:eastAsia="zh-CN"/>
              </w:rPr>
              <w:t>年以下、化学竹浆</w:t>
            </w:r>
            <w:r w:rsidRPr="005646D9">
              <w:rPr>
                <w:sz w:val="20"/>
                <w:szCs w:val="20"/>
                <w:lang w:eastAsia="zh-CN"/>
              </w:rPr>
              <w:t>10</w:t>
            </w:r>
            <w:r w:rsidRPr="005646D9">
              <w:rPr>
                <w:sz w:val="20"/>
                <w:szCs w:val="20"/>
                <w:lang w:eastAsia="zh-CN"/>
              </w:rPr>
              <w:t>万吨</w:t>
            </w:r>
            <w:r w:rsidRPr="005646D9">
              <w:rPr>
                <w:sz w:val="20"/>
                <w:szCs w:val="20"/>
                <w:lang w:eastAsia="zh-CN"/>
              </w:rPr>
              <w:t>/</w:t>
            </w:r>
            <w:r w:rsidRPr="005646D9">
              <w:rPr>
                <w:sz w:val="20"/>
                <w:szCs w:val="20"/>
                <w:lang w:eastAsia="zh-CN"/>
              </w:rPr>
              <w:t>年以下的生产线；</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271"/>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3</w:t>
            </w:r>
            <w:r w:rsidRPr="005646D9">
              <w:rPr>
                <w:sz w:val="20"/>
                <w:szCs w:val="20"/>
                <w:lang w:eastAsia="zh-CN"/>
              </w:rPr>
              <w:t>．新闻纸、铜版纸生产线。</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260"/>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二十一、印刷和记录媒介复制业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533"/>
        </w:trPr>
        <w:tc>
          <w:tcPr>
            <w:tcW w:w="350"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r w:rsidRPr="005646D9">
              <w:rPr>
                <w:sz w:val="20"/>
                <w:szCs w:val="20"/>
              </w:rPr>
              <w:t xml:space="preserve"> </w:t>
            </w:r>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rPr>
            </w:pPr>
            <w:proofErr w:type="spellStart"/>
            <w:r w:rsidRPr="005646D9">
              <w:rPr>
                <w:sz w:val="20"/>
                <w:szCs w:val="20"/>
              </w:rPr>
              <w:t>单色金属版胶印机</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386"/>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二十二、石油加工、炼焦和核燃料加工业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proofErr w:type="spellStart"/>
            <w:r w:rsidRPr="005646D9">
              <w:rPr>
                <w:bCs/>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r>
      <w:tr w:rsidR="002C32BB" w:rsidRPr="005646D9" w:rsidTr="00A76730">
        <w:trPr>
          <w:trHeight w:val="1129"/>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．新建</w:t>
            </w:r>
            <w:r w:rsidRPr="005646D9">
              <w:rPr>
                <w:sz w:val="20"/>
                <w:szCs w:val="20"/>
                <w:lang w:eastAsia="zh-CN"/>
              </w:rPr>
              <w:t>1000</w:t>
            </w:r>
            <w:r w:rsidRPr="005646D9">
              <w:rPr>
                <w:sz w:val="20"/>
                <w:szCs w:val="20"/>
                <w:lang w:eastAsia="zh-CN"/>
              </w:rPr>
              <w:t>万吨</w:t>
            </w:r>
            <w:r w:rsidRPr="005646D9">
              <w:rPr>
                <w:sz w:val="20"/>
                <w:szCs w:val="20"/>
                <w:lang w:eastAsia="zh-CN"/>
              </w:rPr>
              <w:t>/</w:t>
            </w:r>
            <w:r w:rsidRPr="005646D9">
              <w:rPr>
                <w:sz w:val="20"/>
                <w:szCs w:val="20"/>
                <w:lang w:eastAsia="zh-CN"/>
              </w:rPr>
              <w:t>年以下常减压、</w:t>
            </w:r>
            <w:r w:rsidRPr="005646D9">
              <w:rPr>
                <w:sz w:val="20"/>
                <w:szCs w:val="20"/>
                <w:lang w:eastAsia="zh-CN"/>
              </w:rPr>
              <w:t>150</w:t>
            </w:r>
            <w:r w:rsidRPr="005646D9">
              <w:rPr>
                <w:sz w:val="20"/>
                <w:szCs w:val="20"/>
                <w:lang w:eastAsia="zh-CN"/>
              </w:rPr>
              <w:t>万吨</w:t>
            </w:r>
            <w:r w:rsidRPr="005646D9">
              <w:rPr>
                <w:sz w:val="20"/>
                <w:szCs w:val="20"/>
                <w:lang w:eastAsia="zh-CN"/>
              </w:rPr>
              <w:t>/</w:t>
            </w:r>
            <w:r w:rsidRPr="005646D9">
              <w:rPr>
                <w:sz w:val="20"/>
                <w:szCs w:val="20"/>
                <w:lang w:eastAsia="zh-CN"/>
              </w:rPr>
              <w:t>年以下催化裂化、</w:t>
            </w:r>
            <w:r w:rsidRPr="005646D9">
              <w:rPr>
                <w:sz w:val="20"/>
                <w:szCs w:val="20"/>
                <w:lang w:eastAsia="zh-CN"/>
              </w:rPr>
              <w:t>100</w:t>
            </w:r>
            <w:r w:rsidRPr="005646D9">
              <w:rPr>
                <w:sz w:val="20"/>
                <w:szCs w:val="20"/>
                <w:lang w:eastAsia="zh-CN"/>
              </w:rPr>
              <w:t>万吨</w:t>
            </w:r>
            <w:r w:rsidRPr="005646D9">
              <w:rPr>
                <w:sz w:val="20"/>
                <w:szCs w:val="20"/>
                <w:lang w:eastAsia="zh-CN"/>
              </w:rPr>
              <w:t>/</w:t>
            </w:r>
            <w:r w:rsidRPr="005646D9">
              <w:rPr>
                <w:sz w:val="20"/>
                <w:szCs w:val="20"/>
                <w:lang w:eastAsia="zh-CN"/>
              </w:rPr>
              <w:t>年以下连续重整（含芳烃抽提）、</w:t>
            </w:r>
            <w:r w:rsidRPr="005646D9">
              <w:rPr>
                <w:sz w:val="20"/>
                <w:szCs w:val="20"/>
                <w:lang w:eastAsia="zh-CN"/>
              </w:rPr>
              <w:t>150</w:t>
            </w:r>
            <w:r w:rsidRPr="005646D9">
              <w:rPr>
                <w:sz w:val="20"/>
                <w:szCs w:val="20"/>
                <w:lang w:eastAsia="zh-CN"/>
              </w:rPr>
              <w:t>万吨</w:t>
            </w:r>
            <w:r w:rsidRPr="005646D9">
              <w:rPr>
                <w:sz w:val="20"/>
                <w:szCs w:val="20"/>
                <w:lang w:eastAsia="zh-CN"/>
              </w:rPr>
              <w:t>/</w:t>
            </w:r>
            <w:r w:rsidRPr="005646D9">
              <w:rPr>
                <w:sz w:val="20"/>
                <w:szCs w:val="20"/>
                <w:lang w:eastAsia="zh-CN"/>
              </w:rPr>
              <w:t>年以下加氢裂化生产装置；</w:t>
            </w:r>
          </w:p>
        </w:tc>
        <w:tc>
          <w:tcPr>
            <w:tcW w:w="800" w:type="pct"/>
            <w:vMerge w:val="restar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28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．冲天炉熔化采用冶金焦。</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448"/>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二十三、化学原料和化学制品制造业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不予准入（万州区除外）</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proofErr w:type="spellStart"/>
            <w:r w:rsidRPr="005646D9">
              <w:rPr>
                <w:bCs/>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r w:rsidRPr="005646D9">
              <w:rPr>
                <w:sz w:val="20"/>
                <w:szCs w:val="20"/>
              </w:rPr>
              <w:t xml:space="preserve">　</w:t>
            </w:r>
          </w:p>
        </w:tc>
      </w:tr>
      <w:tr w:rsidR="002C32BB" w:rsidRPr="005646D9" w:rsidTr="00A76730">
        <w:trPr>
          <w:trHeight w:val="979"/>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．国家《产业结构调整指导目录（</w:t>
            </w:r>
            <w:r w:rsidRPr="005646D9">
              <w:rPr>
                <w:sz w:val="20"/>
                <w:szCs w:val="20"/>
                <w:lang w:eastAsia="zh-CN"/>
              </w:rPr>
              <w:t>2011</w:t>
            </w:r>
            <w:r w:rsidRPr="005646D9">
              <w:rPr>
                <w:sz w:val="20"/>
                <w:szCs w:val="20"/>
                <w:lang w:eastAsia="zh-CN"/>
              </w:rPr>
              <w:t>年本）（修正）》限制类</w:t>
            </w:r>
            <w:r w:rsidRPr="005646D9">
              <w:rPr>
                <w:sz w:val="20"/>
                <w:szCs w:val="20"/>
                <w:lang w:eastAsia="zh-CN"/>
              </w:rPr>
              <w:t>“</w:t>
            </w:r>
            <w:r w:rsidRPr="005646D9">
              <w:rPr>
                <w:sz w:val="20"/>
                <w:szCs w:val="20"/>
                <w:lang w:eastAsia="zh-CN"/>
              </w:rPr>
              <w:t>四、石化化工</w:t>
            </w:r>
            <w:r w:rsidRPr="005646D9">
              <w:rPr>
                <w:sz w:val="20"/>
                <w:szCs w:val="20"/>
                <w:lang w:eastAsia="zh-CN"/>
              </w:rPr>
              <w:t>”</w:t>
            </w:r>
            <w:r w:rsidRPr="005646D9">
              <w:rPr>
                <w:sz w:val="20"/>
                <w:szCs w:val="20"/>
                <w:lang w:eastAsia="zh-CN"/>
              </w:rPr>
              <w:t>第</w:t>
            </w:r>
            <w:r w:rsidRPr="005646D9">
              <w:rPr>
                <w:sz w:val="20"/>
                <w:szCs w:val="20"/>
                <w:lang w:eastAsia="zh-CN"/>
              </w:rPr>
              <w:t>2―12</w:t>
            </w:r>
            <w:r w:rsidRPr="005646D9">
              <w:rPr>
                <w:sz w:val="20"/>
                <w:szCs w:val="20"/>
                <w:lang w:eastAsia="zh-CN"/>
              </w:rPr>
              <w:t>项及</w:t>
            </w:r>
            <w:r w:rsidRPr="005646D9">
              <w:rPr>
                <w:sz w:val="20"/>
                <w:szCs w:val="20"/>
                <w:lang w:eastAsia="zh-CN"/>
              </w:rPr>
              <w:t>“</w:t>
            </w:r>
            <w:r w:rsidRPr="005646D9">
              <w:rPr>
                <w:sz w:val="20"/>
                <w:szCs w:val="20"/>
                <w:lang w:eastAsia="zh-CN"/>
              </w:rPr>
              <w:t>十六、民爆产品</w:t>
            </w:r>
            <w:r w:rsidRPr="005646D9">
              <w:rPr>
                <w:sz w:val="20"/>
                <w:szCs w:val="20"/>
                <w:lang w:eastAsia="zh-CN"/>
              </w:rPr>
              <w:t>”</w:t>
            </w:r>
            <w:r w:rsidRPr="005646D9">
              <w:rPr>
                <w:sz w:val="20"/>
                <w:szCs w:val="20"/>
                <w:lang w:eastAsia="zh-CN"/>
              </w:rPr>
              <w:t>第</w:t>
            </w:r>
            <w:r w:rsidRPr="005646D9">
              <w:rPr>
                <w:sz w:val="20"/>
                <w:szCs w:val="20"/>
                <w:lang w:eastAsia="zh-CN"/>
              </w:rPr>
              <w:t>1―4</w:t>
            </w:r>
            <w:r w:rsidRPr="005646D9">
              <w:rPr>
                <w:sz w:val="20"/>
                <w:szCs w:val="20"/>
                <w:lang w:eastAsia="zh-CN"/>
              </w:rPr>
              <w:t>项等化学原料及制品生产；</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978"/>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．国家《产业结构调整指导目录（</w:t>
            </w:r>
            <w:r w:rsidRPr="005646D9">
              <w:rPr>
                <w:sz w:val="20"/>
                <w:szCs w:val="20"/>
                <w:lang w:eastAsia="zh-CN"/>
              </w:rPr>
              <w:t>2011</w:t>
            </w:r>
            <w:r w:rsidRPr="005646D9">
              <w:rPr>
                <w:sz w:val="20"/>
                <w:szCs w:val="20"/>
                <w:lang w:eastAsia="zh-CN"/>
              </w:rPr>
              <w:t>年本）（修正）》限制类</w:t>
            </w:r>
            <w:r w:rsidRPr="005646D9">
              <w:rPr>
                <w:sz w:val="20"/>
                <w:szCs w:val="20"/>
                <w:lang w:eastAsia="zh-CN"/>
              </w:rPr>
              <w:t>“</w:t>
            </w:r>
            <w:r w:rsidRPr="005646D9">
              <w:rPr>
                <w:sz w:val="20"/>
                <w:szCs w:val="20"/>
                <w:lang w:eastAsia="zh-CN"/>
              </w:rPr>
              <w:t>十二、轻工</w:t>
            </w:r>
            <w:r w:rsidRPr="005646D9">
              <w:rPr>
                <w:sz w:val="20"/>
                <w:szCs w:val="20"/>
                <w:lang w:eastAsia="zh-CN"/>
              </w:rPr>
              <w:t>”</w:t>
            </w:r>
            <w:r w:rsidRPr="005646D9">
              <w:rPr>
                <w:sz w:val="20"/>
                <w:szCs w:val="20"/>
                <w:lang w:eastAsia="zh-CN"/>
              </w:rPr>
              <w:t>第</w:t>
            </w:r>
            <w:r w:rsidRPr="005646D9">
              <w:rPr>
                <w:sz w:val="20"/>
                <w:szCs w:val="20"/>
                <w:lang w:eastAsia="zh-CN"/>
              </w:rPr>
              <w:t>15</w:t>
            </w:r>
            <w:r w:rsidRPr="005646D9">
              <w:rPr>
                <w:sz w:val="20"/>
                <w:szCs w:val="20"/>
                <w:lang w:eastAsia="zh-CN"/>
              </w:rPr>
              <w:t>、</w:t>
            </w:r>
            <w:r w:rsidRPr="005646D9">
              <w:rPr>
                <w:sz w:val="20"/>
                <w:szCs w:val="20"/>
                <w:lang w:eastAsia="zh-CN"/>
              </w:rPr>
              <w:t>16</w:t>
            </w:r>
            <w:r w:rsidRPr="005646D9">
              <w:rPr>
                <w:sz w:val="20"/>
                <w:szCs w:val="20"/>
                <w:lang w:eastAsia="zh-CN"/>
              </w:rPr>
              <w:t>、</w:t>
            </w:r>
            <w:r w:rsidRPr="005646D9">
              <w:rPr>
                <w:sz w:val="20"/>
                <w:szCs w:val="20"/>
                <w:lang w:eastAsia="zh-CN"/>
              </w:rPr>
              <w:t>19</w:t>
            </w:r>
            <w:r w:rsidRPr="005646D9">
              <w:rPr>
                <w:sz w:val="20"/>
                <w:szCs w:val="20"/>
                <w:lang w:eastAsia="zh-CN"/>
              </w:rPr>
              <w:t>项等日用化学制品生产；</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内环以内不予准入，内环以外允许改造升级</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378"/>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rPr>
            </w:pPr>
            <w:r w:rsidRPr="005646D9">
              <w:rPr>
                <w:sz w:val="20"/>
                <w:szCs w:val="20"/>
              </w:rPr>
              <w:t>3.</w:t>
            </w:r>
            <w:r w:rsidRPr="005646D9">
              <w:rPr>
                <w:sz w:val="20"/>
                <w:szCs w:val="20"/>
              </w:rPr>
              <w:t>烟花爆竹生产。</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r>
      <w:tr w:rsidR="002C32BB" w:rsidRPr="005646D9" w:rsidTr="00A76730">
        <w:trPr>
          <w:trHeight w:val="241"/>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二十四、医药制造业</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widowControl/>
              <w:rPr>
                <w:sz w:val="20"/>
                <w:szCs w:val="20"/>
              </w:rPr>
            </w:pP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r>
      <w:tr w:rsidR="002C32BB" w:rsidRPr="005646D9" w:rsidTr="00A76730">
        <w:trPr>
          <w:trHeight w:val="540"/>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．新建及改扩建原料含有尚未规模化种植或养殖的濒危动植物药材的产品生产装置；</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内环以内不予准入，内环以外允许改造升级</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57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．青霉素</w:t>
            </w:r>
            <w:r w:rsidRPr="005646D9">
              <w:rPr>
                <w:sz w:val="20"/>
                <w:szCs w:val="20"/>
                <w:lang w:eastAsia="zh-CN"/>
              </w:rPr>
              <w:t>G</w:t>
            </w:r>
            <w:r w:rsidRPr="005646D9">
              <w:rPr>
                <w:sz w:val="20"/>
                <w:szCs w:val="20"/>
                <w:lang w:eastAsia="zh-CN"/>
              </w:rPr>
              <w:t>、维生素</w:t>
            </w:r>
            <w:r w:rsidRPr="005646D9">
              <w:rPr>
                <w:sz w:val="20"/>
                <w:szCs w:val="20"/>
                <w:lang w:eastAsia="zh-CN"/>
              </w:rPr>
              <w:t>B1</w:t>
            </w:r>
            <w:r w:rsidRPr="005646D9">
              <w:rPr>
                <w:sz w:val="20"/>
                <w:szCs w:val="20"/>
                <w:lang w:eastAsia="zh-CN"/>
              </w:rPr>
              <w:t>等限制类药物及药物制剂生产；</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54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3</w:t>
            </w:r>
            <w:r w:rsidRPr="005646D9">
              <w:rPr>
                <w:sz w:val="20"/>
                <w:szCs w:val="20"/>
                <w:lang w:eastAsia="zh-CN"/>
              </w:rPr>
              <w:t>．新建紫杉醇（配套红豆</w:t>
            </w:r>
            <w:proofErr w:type="gramStart"/>
            <w:r w:rsidRPr="005646D9">
              <w:rPr>
                <w:sz w:val="20"/>
                <w:szCs w:val="20"/>
                <w:lang w:eastAsia="zh-CN"/>
              </w:rPr>
              <w:t>杉</w:t>
            </w:r>
            <w:proofErr w:type="gramEnd"/>
            <w:r w:rsidRPr="005646D9">
              <w:rPr>
                <w:sz w:val="20"/>
                <w:szCs w:val="20"/>
                <w:lang w:eastAsia="zh-CN"/>
              </w:rPr>
              <w:t>种植除外）、植物提取法黄连素（配套黄连种植除外）生产装置；</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54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4</w:t>
            </w:r>
            <w:r w:rsidRPr="005646D9">
              <w:rPr>
                <w:sz w:val="20"/>
                <w:szCs w:val="20"/>
                <w:lang w:eastAsia="zh-CN"/>
              </w:rPr>
              <w:t>．新建、改扩建药用丁基橡胶塞、二步法生产输液用塑料瓶生产装置；</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971"/>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5</w:t>
            </w:r>
            <w:r w:rsidRPr="005646D9">
              <w:rPr>
                <w:sz w:val="20"/>
                <w:szCs w:val="20"/>
                <w:lang w:eastAsia="zh-CN"/>
              </w:rPr>
              <w:t>．新建、改扩建</w:t>
            </w:r>
            <w:proofErr w:type="gramStart"/>
            <w:r w:rsidRPr="005646D9">
              <w:rPr>
                <w:sz w:val="20"/>
                <w:szCs w:val="20"/>
                <w:lang w:eastAsia="zh-CN"/>
              </w:rPr>
              <w:t>充汞式</w:t>
            </w:r>
            <w:proofErr w:type="gramEnd"/>
            <w:r w:rsidRPr="005646D9">
              <w:rPr>
                <w:sz w:val="20"/>
                <w:szCs w:val="20"/>
                <w:lang w:eastAsia="zh-CN"/>
              </w:rPr>
              <w:t>玻璃体温计、血压计生产装置、银汞齐齿科材料、新建</w:t>
            </w:r>
            <w:r w:rsidRPr="005646D9">
              <w:rPr>
                <w:sz w:val="20"/>
                <w:szCs w:val="20"/>
                <w:lang w:eastAsia="zh-CN"/>
              </w:rPr>
              <w:t>2</w:t>
            </w:r>
            <w:r w:rsidRPr="005646D9">
              <w:rPr>
                <w:sz w:val="20"/>
                <w:szCs w:val="20"/>
                <w:lang w:eastAsia="zh-CN"/>
              </w:rPr>
              <w:t>亿支</w:t>
            </w:r>
            <w:r w:rsidRPr="005646D9">
              <w:rPr>
                <w:sz w:val="20"/>
                <w:szCs w:val="20"/>
                <w:lang w:eastAsia="zh-CN"/>
              </w:rPr>
              <w:t>/</w:t>
            </w:r>
            <w:r w:rsidRPr="005646D9">
              <w:rPr>
                <w:sz w:val="20"/>
                <w:szCs w:val="20"/>
                <w:lang w:eastAsia="zh-CN"/>
              </w:rPr>
              <w:t>年以下一次性注射器、输血器、输液器生产装置；</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81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6</w:t>
            </w:r>
            <w:r w:rsidRPr="005646D9">
              <w:rPr>
                <w:sz w:val="20"/>
                <w:szCs w:val="20"/>
                <w:lang w:eastAsia="zh-CN"/>
              </w:rPr>
              <w:t>．</w:t>
            </w:r>
            <w:proofErr w:type="gramStart"/>
            <w:r w:rsidRPr="005646D9">
              <w:rPr>
                <w:sz w:val="20"/>
                <w:szCs w:val="20"/>
                <w:lang w:eastAsia="zh-CN"/>
              </w:rPr>
              <w:t>转瓶培养</w:t>
            </w:r>
            <w:proofErr w:type="gramEnd"/>
            <w:r w:rsidRPr="005646D9">
              <w:rPr>
                <w:sz w:val="20"/>
                <w:szCs w:val="20"/>
                <w:lang w:eastAsia="zh-CN"/>
              </w:rPr>
              <w:t>生产方式的兽用细胞苗生产线项目（持有新兽药证书的品种和采用新技术的除外）；</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81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7</w:t>
            </w:r>
            <w:r w:rsidRPr="005646D9">
              <w:rPr>
                <w:sz w:val="20"/>
                <w:szCs w:val="20"/>
                <w:lang w:eastAsia="zh-CN"/>
              </w:rPr>
              <w:t>．兽用粉剂</w:t>
            </w:r>
            <w:r w:rsidRPr="005646D9">
              <w:rPr>
                <w:sz w:val="20"/>
                <w:szCs w:val="20"/>
                <w:lang w:eastAsia="zh-CN"/>
              </w:rPr>
              <w:t>/</w:t>
            </w:r>
            <w:r w:rsidRPr="005646D9">
              <w:rPr>
                <w:sz w:val="20"/>
                <w:szCs w:val="20"/>
                <w:lang w:eastAsia="zh-CN"/>
              </w:rPr>
              <w:t>散剂</w:t>
            </w:r>
            <w:r w:rsidRPr="005646D9">
              <w:rPr>
                <w:sz w:val="20"/>
                <w:szCs w:val="20"/>
                <w:lang w:eastAsia="zh-CN"/>
              </w:rPr>
              <w:t>/</w:t>
            </w:r>
            <w:r w:rsidRPr="005646D9">
              <w:rPr>
                <w:sz w:val="20"/>
                <w:szCs w:val="20"/>
                <w:lang w:eastAsia="zh-CN"/>
              </w:rPr>
              <w:t>预混剂生产线项目（持有新兽药证书的品种和自动化密闭式高效率混合生产工艺除外）。</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495"/>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二十五、化学纤维制造业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r>
      <w:tr w:rsidR="002C32BB" w:rsidRPr="005646D9" w:rsidTr="00A76730">
        <w:trPr>
          <w:trHeight w:val="1127"/>
        </w:trPr>
        <w:tc>
          <w:tcPr>
            <w:tcW w:w="350"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国家《产业结构调整指导目录（</w:t>
            </w:r>
            <w:r w:rsidRPr="005646D9">
              <w:rPr>
                <w:sz w:val="20"/>
                <w:szCs w:val="20"/>
                <w:lang w:eastAsia="zh-CN"/>
              </w:rPr>
              <w:t>2011</w:t>
            </w:r>
            <w:r w:rsidRPr="005646D9">
              <w:rPr>
                <w:sz w:val="20"/>
                <w:szCs w:val="20"/>
                <w:lang w:eastAsia="zh-CN"/>
              </w:rPr>
              <w:t>年本）（修正）》限制类</w:t>
            </w:r>
            <w:r w:rsidRPr="005646D9">
              <w:rPr>
                <w:sz w:val="20"/>
                <w:szCs w:val="20"/>
                <w:lang w:eastAsia="zh-CN"/>
              </w:rPr>
              <w:t>“</w:t>
            </w:r>
            <w:r w:rsidRPr="005646D9">
              <w:rPr>
                <w:sz w:val="20"/>
                <w:szCs w:val="20"/>
                <w:lang w:eastAsia="zh-CN"/>
              </w:rPr>
              <w:t>十三、纺织第</w:t>
            </w:r>
            <w:r w:rsidRPr="005646D9">
              <w:rPr>
                <w:sz w:val="20"/>
                <w:szCs w:val="20"/>
                <w:lang w:eastAsia="zh-CN"/>
              </w:rPr>
              <w:t>1-5</w:t>
            </w:r>
            <w:r w:rsidRPr="005646D9">
              <w:rPr>
                <w:sz w:val="20"/>
                <w:szCs w:val="20"/>
                <w:lang w:eastAsia="zh-CN"/>
              </w:rPr>
              <w:t>项等化学纤维生产</w:t>
            </w:r>
            <w:r w:rsidRPr="005646D9">
              <w:rPr>
                <w:sz w:val="20"/>
                <w:szCs w:val="20"/>
                <w:lang w:eastAsia="zh-CN"/>
              </w:rPr>
              <w:t>”</w:t>
            </w:r>
            <w:r w:rsidRPr="005646D9">
              <w:rPr>
                <w:sz w:val="20"/>
                <w:szCs w:val="20"/>
                <w:lang w:eastAsia="zh-CN"/>
              </w:rPr>
              <w:t>。</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334"/>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二十六、橡胶和塑料制品业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内环以内不予准入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r>
      <w:tr w:rsidR="002C32BB" w:rsidRPr="005646D9" w:rsidTr="00A76730">
        <w:trPr>
          <w:trHeight w:val="1470"/>
        </w:trPr>
        <w:tc>
          <w:tcPr>
            <w:tcW w:w="350"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r w:rsidRPr="005646D9">
              <w:rPr>
                <w:sz w:val="20"/>
                <w:szCs w:val="20"/>
              </w:rPr>
              <w:t xml:space="preserve"> </w:t>
            </w:r>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国家《产业结构调整指导目录（</w:t>
            </w:r>
            <w:r w:rsidRPr="005646D9">
              <w:rPr>
                <w:sz w:val="20"/>
                <w:szCs w:val="20"/>
                <w:lang w:eastAsia="zh-CN"/>
              </w:rPr>
              <w:t>2011</w:t>
            </w:r>
            <w:r w:rsidRPr="005646D9">
              <w:rPr>
                <w:sz w:val="20"/>
                <w:szCs w:val="20"/>
                <w:lang w:eastAsia="zh-CN"/>
              </w:rPr>
              <w:t>年本）（修正）》限制类</w:t>
            </w:r>
            <w:r w:rsidRPr="005646D9">
              <w:rPr>
                <w:sz w:val="20"/>
                <w:szCs w:val="20"/>
                <w:lang w:eastAsia="zh-CN"/>
              </w:rPr>
              <w:t>“</w:t>
            </w:r>
            <w:r w:rsidRPr="005646D9">
              <w:rPr>
                <w:sz w:val="20"/>
                <w:szCs w:val="20"/>
                <w:lang w:eastAsia="zh-CN"/>
              </w:rPr>
              <w:t>十二、轻工</w:t>
            </w:r>
            <w:r w:rsidRPr="005646D9">
              <w:rPr>
                <w:sz w:val="20"/>
                <w:szCs w:val="20"/>
                <w:lang w:eastAsia="zh-CN"/>
              </w:rPr>
              <w:t>”</w:t>
            </w:r>
            <w:r w:rsidRPr="005646D9">
              <w:rPr>
                <w:sz w:val="20"/>
                <w:szCs w:val="20"/>
                <w:lang w:eastAsia="zh-CN"/>
              </w:rPr>
              <w:t>第</w:t>
            </w:r>
            <w:r w:rsidRPr="005646D9">
              <w:rPr>
                <w:sz w:val="20"/>
                <w:szCs w:val="20"/>
                <w:lang w:eastAsia="zh-CN"/>
              </w:rPr>
              <w:t>1</w:t>
            </w:r>
            <w:r w:rsidRPr="005646D9">
              <w:rPr>
                <w:sz w:val="20"/>
                <w:szCs w:val="20"/>
                <w:lang w:eastAsia="zh-CN"/>
              </w:rPr>
              <w:t>、</w:t>
            </w:r>
            <w:r w:rsidRPr="005646D9">
              <w:rPr>
                <w:sz w:val="20"/>
                <w:szCs w:val="20"/>
                <w:lang w:eastAsia="zh-CN"/>
              </w:rPr>
              <w:t>3―5</w:t>
            </w:r>
            <w:r w:rsidRPr="005646D9">
              <w:rPr>
                <w:sz w:val="20"/>
                <w:szCs w:val="20"/>
                <w:lang w:eastAsia="zh-CN"/>
              </w:rPr>
              <w:t>项以及新建斜交轮胎和力车胎（手推车胎）等高毒、高残留以及对环境影响大的橡胶制品及生产装置。</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489"/>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二十七、非金属矿物制品业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内环以内不予准入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r>
      <w:tr w:rsidR="002C32BB" w:rsidRPr="005646D9" w:rsidTr="00A76730">
        <w:trPr>
          <w:trHeight w:val="1095"/>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．国家《产业结构调整指导目录（</w:t>
            </w:r>
            <w:r w:rsidRPr="005646D9">
              <w:rPr>
                <w:sz w:val="20"/>
                <w:szCs w:val="20"/>
                <w:lang w:eastAsia="zh-CN"/>
              </w:rPr>
              <w:t>2011</w:t>
            </w:r>
            <w:r w:rsidRPr="005646D9">
              <w:rPr>
                <w:sz w:val="20"/>
                <w:szCs w:val="20"/>
                <w:lang w:eastAsia="zh-CN"/>
              </w:rPr>
              <w:t>年本）（修正）》限制类</w:t>
            </w:r>
            <w:r w:rsidRPr="005646D9">
              <w:rPr>
                <w:sz w:val="20"/>
                <w:szCs w:val="20"/>
                <w:lang w:eastAsia="zh-CN"/>
              </w:rPr>
              <w:t>“</w:t>
            </w:r>
            <w:r w:rsidRPr="005646D9">
              <w:rPr>
                <w:sz w:val="20"/>
                <w:szCs w:val="20"/>
                <w:lang w:eastAsia="zh-CN"/>
              </w:rPr>
              <w:t>九、建材</w:t>
            </w:r>
            <w:r w:rsidRPr="005646D9">
              <w:rPr>
                <w:sz w:val="20"/>
                <w:szCs w:val="20"/>
                <w:lang w:eastAsia="zh-CN"/>
              </w:rPr>
              <w:t>”</w:t>
            </w:r>
            <w:r w:rsidRPr="005646D9">
              <w:rPr>
                <w:sz w:val="20"/>
                <w:szCs w:val="20"/>
                <w:lang w:eastAsia="zh-CN"/>
              </w:rPr>
              <w:t>第</w:t>
            </w:r>
            <w:r w:rsidRPr="005646D9">
              <w:rPr>
                <w:sz w:val="20"/>
                <w:szCs w:val="20"/>
                <w:lang w:eastAsia="zh-CN"/>
              </w:rPr>
              <w:t>1―13</w:t>
            </w:r>
            <w:r w:rsidRPr="005646D9">
              <w:rPr>
                <w:sz w:val="20"/>
                <w:szCs w:val="20"/>
                <w:lang w:eastAsia="zh-CN"/>
              </w:rPr>
              <w:t>项及</w:t>
            </w:r>
            <w:r w:rsidRPr="005646D9">
              <w:rPr>
                <w:sz w:val="20"/>
                <w:szCs w:val="20"/>
                <w:lang w:eastAsia="zh-CN"/>
              </w:rPr>
              <w:t>“</w:t>
            </w:r>
            <w:r w:rsidRPr="005646D9">
              <w:rPr>
                <w:sz w:val="20"/>
                <w:szCs w:val="20"/>
                <w:lang w:eastAsia="zh-CN"/>
              </w:rPr>
              <w:t>十一、机械</w:t>
            </w:r>
            <w:r w:rsidRPr="005646D9">
              <w:rPr>
                <w:sz w:val="20"/>
                <w:szCs w:val="20"/>
                <w:lang w:eastAsia="zh-CN"/>
              </w:rPr>
              <w:t>”</w:t>
            </w:r>
            <w:r w:rsidRPr="005646D9">
              <w:rPr>
                <w:sz w:val="20"/>
                <w:szCs w:val="20"/>
                <w:lang w:eastAsia="zh-CN"/>
              </w:rPr>
              <w:t>第</w:t>
            </w:r>
            <w:r w:rsidRPr="005646D9">
              <w:rPr>
                <w:sz w:val="20"/>
                <w:szCs w:val="20"/>
                <w:lang w:eastAsia="zh-CN"/>
              </w:rPr>
              <w:t>10―13</w:t>
            </w:r>
            <w:r w:rsidRPr="005646D9">
              <w:rPr>
                <w:sz w:val="20"/>
                <w:szCs w:val="20"/>
                <w:lang w:eastAsia="zh-CN"/>
              </w:rPr>
              <w:t>项等材料及制品生产；</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不予准入（除万州区以外）</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不予准入（除黔江区以外）</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645"/>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．熔窑规模在</w:t>
            </w:r>
            <w:r w:rsidRPr="005646D9">
              <w:rPr>
                <w:sz w:val="20"/>
                <w:szCs w:val="20"/>
                <w:lang w:eastAsia="zh-CN"/>
              </w:rPr>
              <w:t>500T/D</w:t>
            </w:r>
            <w:r w:rsidRPr="005646D9">
              <w:rPr>
                <w:sz w:val="20"/>
                <w:szCs w:val="20"/>
                <w:lang w:eastAsia="zh-CN"/>
              </w:rPr>
              <w:t>以下且不满足平板玻璃准入条件的小浮法玻璃生产线；</w:t>
            </w:r>
            <w:r w:rsidRPr="005646D9">
              <w:rPr>
                <w:sz w:val="20"/>
                <w:szCs w:val="20"/>
                <w:lang w:eastAsia="zh-CN"/>
              </w:rPr>
              <w:t xml:space="preserve"> </w:t>
            </w:r>
          </w:p>
        </w:tc>
        <w:tc>
          <w:tcPr>
            <w:tcW w:w="800" w:type="pct"/>
            <w:vMerge w:val="restar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r>
      <w:tr w:rsidR="002C32BB" w:rsidRPr="005646D9" w:rsidTr="00A76730">
        <w:trPr>
          <w:trHeight w:val="645"/>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Pr>
                <w:sz w:val="20"/>
                <w:szCs w:val="20"/>
                <w:lang w:eastAsia="zh-CN"/>
              </w:rPr>
              <w:t>3.</w:t>
            </w:r>
            <w:r w:rsidRPr="005646D9">
              <w:rPr>
                <w:sz w:val="20"/>
                <w:szCs w:val="20"/>
                <w:lang w:eastAsia="zh-CN"/>
              </w:rPr>
              <w:t xml:space="preserve"> 32.5</w:t>
            </w:r>
            <w:r w:rsidRPr="005646D9">
              <w:rPr>
                <w:sz w:val="20"/>
                <w:szCs w:val="20"/>
                <w:lang w:eastAsia="zh-CN"/>
              </w:rPr>
              <w:t>等级复合硅酸盐水泥；</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645"/>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4. </w:t>
            </w:r>
            <w:r w:rsidRPr="005646D9">
              <w:rPr>
                <w:sz w:val="20"/>
                <w:szCs w:val="20"/>
                <w:lang w:eastAsia="zh-CN"/>
              </w:rPr>
              <w:t>墙</w:t>
            </w:r>
            <w:proofErr w:type="gramStart"/>
            <w:r w:rsidRPr="005646D9">
              <w:rPr>
                <w:sz w:val="20"/>
                <w:szCs w:val="20"/>
                <w:lang w:eastAsia="zh-CN"/>
              </w:rPr>
              <w:t>体材料行业</w:t>
            </w:r>
            <w:proofErr w:type="gramEnd"/>
            <w:r w:rsidRPr="005646D9">
              <w:rPr>
                <w:sz w:val="20"/>
                <w:szCs w:val="20"/>
                <w:lang w:eastAsia="zh-CN"/>
              </w:rPr>
              <w:t>烧结页岩实心砖和单排孔混凝土空心砌块等落后产品；</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645"/>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5. </w:t>
            </w:r>
            <w:r w:rsidRPr="005646D9">
              <w:rPr>
                <w:sz w:val="20"/>
                <w:szCs w:val="20"/>
                <w:lang w:eastAsia="zh-CN"/>
              </w:rPr>
              <w:t>水泥熟料、烧结砖建设项目；</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r>
      <w:tr w:rsidR="002C32BB" w:rsidRPr="005646D9" w:rsidTr="00A76730">
        <w:trPr>
          <w:trHeight w:val="645"/>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6. 3000</w:t>
            </w:r>
            <w:r w:rsidRPr="005646D9">
              <w:rPr>
                <w:sz w:val="20"/>
                <w:szCs w:val="20"/>
                <w:lang w:eastAsia="zh-CN"/>
              </w:rPr>
              <w:t>吨</w:t>
            </w:r>
            <w:r w:rsidRPr="005646D9">
              <w:rPr>
                <w:sz w:val="20"/>
                <w:szCs w:val="20"/>
                <w:lang w:eastAsia="zh-CN"/>
              </w:rPr>
              <w:t>/</w:t>
            </w:r>
            <w:proofErr w:type="gramStart"/>
            <w:r w:rsidRPr="005646D9">
              <w:rPr>
                <w:sz w:val="20"/>
                <w:szCs w:val="20"/>
                <w:lang w:eastAsia="zh-CN"/>
              </w:rPr>
              <w:t>日以下</w:t>
            </w:r>
            <w:proofErr w:type="gramEnd"/>
            <w:r w:rsidRPr="005646D9">
              <w:rPr>
                <w:sz w:val="20"/>
                <w:szCs w:val="20"/>
                <w:lang w:eastAsia="zh-CN"/>
              </w:rPr>
              <w:t>水泥和水泥熟料生产线；</w:t>
            </w:r>
          </w:p>
        </w:tc>
        <w:tc>
          <w:tcPr>
            <w:tcW w:w="800" w:type="pct"/>
            <w:vMerge w:val="restar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645"/>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7. </w:t>
            </w:r>
            <w:r w:rsidRPr="005646D9">
              <w:rPr>
                <w:sz w:val="20"/>
                <w:szCs w:val="20"/>
                <w:lang w:eastAsia="zh-CN"/>
              </w:rPr>
              <w:t>使用煤炭、粉煤灰、煤矸石的烧结砖瓦窑。</w:t>
            </w:r>
          </w:p>
        </w:tc>
        <w:tc>
          <w:tcPr>
            <w:tcW w:w="0" w:type="auto"/>
            <w:vMerge/>
            <w:tcBorders>
              <w:top w:val="nil"/>
              <w:left w:val="single" w:sz="4" w:space="0" w:color="auto"/>
              <w:bottom w:val="single" w:sz="4" w:space="0" w:color="000000"/>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306"/>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二十八、黑色金属冶炼和压延加工业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内环以内不予准入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r>
      <w:tr w:rsidR="002C32BB" w:rsidRPr="005646D9" w:rsidTr="00A76730">
        <w:trPr>
          <w:trHeight w:val="600"/>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C3A4E" w:rsidRDefault="002C32BB" w:rsidP="00A76730">
            <w:pPr>
              <w:rPr>
                <w:spacing w:val="-10"/>
                <w:sz w:val="20"/>
                <w:szCs w:val="20"/>
                <w:lang w:eastAsia="zh-CN"/>
              </w:rPr>
            </w:pPr>
            <w:r w:rsidRPr="005C3A4E">
              <w:rPr>
                <w:spacing w:val="-10"/>
                <w:sz w:val="20"/>
                <w:szCs w:val="20"/>
                <w:lang w:eastAsia="zh-CN"/>
              </w:rPr>
              <w:t>1</w:t>
            </w:r>
            <w:r w:rsidRPr="005C3A4E">
              <w:rPr>
                <w:spacing w:val="-10"/>
                <w:sz w:val="20"/>
                <w:szCs w:val="20"/>
                <w:lang w:eastAsia="zh-CN"/>
              </w:rPr>
              <w:t>．普通冷轧带肋钢筋生产装备、单机年生产能力</w:t>
            </w:r>
            <w:r w:rsidRPr="005C3A4E">
              <w:rPr>
                <w:spacing w:val="-10"/>
                <w:sz w:val="20"/>
                <w:szCs w:val="20"/>
                <w:lang w:eastAsia="zh-CN"/>
              </w:rPr>
              <w:t>1</w:t>
            </w:r>
            <w:r w:rsidRPr="005C3A4E">
              <w:rPr>
                <w:spacing w:val="-10"/>
                <w:sz w:val="20"/>
                <w:szCs w:val="20"/>
                <w:lang w:eastAsia="zh-CN"/>
              </w:rPr>
              <w:t>万吨以下的在线热处理带肋钢筋生产装备；</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r>
      <w:tr w:rsidR="002C32BB" w:rsidRPr="005646D9" w:rsidTr="00A76730">
        <w:trPr>
          <w:trHeight w:val="734"/>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2.  400</w:t>
            </w:r>
            <w:r w:rsidRPr="005646D9">
              <w:rPr>
                <w:sz w:val="20"/>
                <w:szCs w:val="20"/>
                <w:lang w:eastAsia="zh-CN"/>
              </w:rPr>
              <w:t>立方米及以下炼铁高炉、</w:t>
            </w:r>
            <w:r w:rsidRPr="005646D9">
              <w:rPr>
                <w:sz w:val="20"/>
                <w:szCs w:val="20"/>
                <w:lang w:eastAsia="zh-CN"/>
              </w:rPr>
              <w:t>30</w:t>
            </w:r>
            <w:r w:rsidRPr="005646D9">
              <w:rPr>
                <w:sz w:val="20"/>
                <w:szCs w:val="20"/>
                <w:lang w:eastAsia="zh-CN"/>
              </w:rPr>
              <w:t>吨及以下炼钢转炉、</w:t>
            </w:r>
            <w:r w:rsidRPr="005646D9">
              <w:rPr>
                <w:sz w:val="20"/>
                <w:szCs w:val="20"/>
                <w:lang w:eastAsia="zh-CN"/>
              </w:rPr>
              <w:t>30</w:t>
            </w:r>
            <w:r w:rsidRPr="005646D9">
              <w:rPr>
                <w:sz w:val="20"/>
                <w:szCs w:val="20"/>
                <w:lang w:eastAsia="zh-CN"/>
              </w:rPr>
              <w:t>吨及以下炼钢电炉等生产设备的落后产能（</w:t>
            </w:r>
            <w:r w:rsidRPr="005646D9">
              <w:rPr>
                <w:sz w:val="20"/>
                <w:szCs w:val="20"/>
                <w:lang w:eastAsia="zh-CN"/>
              </w:rPr>
              <w:t>2016</w:t>
            </w:r>
            <w:r w:rsidRPr="005646D9">
              <w:rPr>
                <w:sz w:val="20"/>
                <w:szCs w:val="20"/>
                <w:lang w:eastAsia="zh-CN"/>
              </w:rPr>
              <w:t>年年内退出）；</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276"/>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3</w:t>
            </w:r>
            <w:r w:rsidRPr="005646D9">
              <w:rPr>
                <w:sz w:val="20"/>
                <w:szCs w:val="20"/>
                <w:lang w:eastAsia="zh-CN"/>
              </w:rPr>
              <w:t>．锦纶帘线、</w:t>
            </w:r>
            <w:r w:rsidRPr="005646D9">
              <w:rPr>
                <w:sz w:val="20"/>
                <w:szCs w:val="20"/>
                <w:lang w:eastAsia="zh-CN"/>
              </w:rPr>
              <w:t>3</w:t>
            </w:r>
            <w:r w:rsidRPr="005646D9">
              <w:rPr>
                <w:sz w:val="20"/>
                <w:szCs w:val="20"/>
                <w:lang w:eastAsia="zh-CN"/>
              </w:rPr>
              <w:t>万吨</w:t>
            </w:r>
            <w:r w:rsidRPr="005646D9">
              <w:rPr>
                <w:sz w:val="20"/>
                <w:szCs w:val="20"/>
                <w:lang w:eastAsia="zh-CN"/>
              </w:rPr>
              <w:t>/</w:t>
            </w:r>
            <w:r w:rsidRPr="005646D9">
              <w:rPr>
                <w:sz w:val="20"/>
                <w:szCs w:val="20"/>
                <w:lang w:eastAsia="zh-CN"/>
              </w:rPr>
              <w:t>年以下钢丝帘线；</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679"/>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4</w:t>
            </w:r>
            <w:r w:rsidRPr="005646D9">
              <w:rPr>
                <w:sz w:val="20"/>
                <w:szCs w:val="20"/>
                <w:lang w:eastAsia="zh-CN"/>
              </w:rPr>
              <w:t>．国家《产业结构调整指导目录（</w:t>
            </w:r>
            <w:r w:rsidRPr="005646D9">
              <w:rPr>
                <w:sz w:val="20"/>
                <w:szCs w:val="20"/>
                <w:lang w:eastAsia="zh-CN"/>
              </w:rPr>
              <w:t>2011</w:t>
            </w:r>
            <w:r w:rsidRPr="005646D9">
              <w:rPr>
                <w:sz w:val="20"/>
                <w:szCs w:val="20"/>
                <w:lang w:eastAsia="zh-CN"/>
              </w:rPr>
              <w:t>年本）（修正）》限制类</w:t>
            </w:r>
            <w:r w:rsidRPr="005646D9">
              <w:rPr>
                <w:sz w:val="20"/>
                <w:szCs w:val="20"/>
                <w:lang w:eastAsia="zh-CN"/>
              </w:rPr>
              <w:t>“</w:t>
            </w:r>
            <w:r w:rsidRPr="005646D9">
              <w:rPr>
                <w:sz w:val="20"/>
                <w:szCs w:val="20"/>
                <w:lang w:eastAsia="zh-CN"/>
              </w:rPr>
              <w:t>六、钢铁</w:t>
            </w:r>
            <w:r w:rsidRPr="005646D9">
              <w:rPr>
                <w:sz w:val="20"/>
                <w:szCs w:val="20"/>
                <w:lang w:eastAsia="zh-CN"/>
              </w:rPr>
              <w:t>”</w:t>
            </w:r>
            <w:r w:rsidRPr="005646D9">
              <w:rPr>
                <w:sz w:val="20"/>
                <w:szCs w:val="20"/>
                <w:lang w:eastAsia="zh-CN"/>
              </w:rPr>
              <w:t>第</w:t>
            </w:r>
            <w:r w:rsidRPr="005646D9">
              <w:rPr>
                <w:sz w:val="20"/>
                <w:szCs w:val="20"/>
                <w:lang w:eastAsia="zh-CN"/>
              </w:rPr>
              <w:t>1―20</w:t>
            </w:r>
            <w:r w:rsidRPr="005646D9">
              <w:rPr>
                <w:sz w:val="20"/>
                <w:szCs w:val="20"/>
                <w:lang w:eastAsia="zh-CN"/>
              </w:rPr>
              <w:t>项等钢铁加工生产线及装备。</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290"/>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二十九、有色金属冶炼和压延加工业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proofErr w:type="spellStart"/>
            <w:r w:rsidRPr="005646D9">
              <w:rPr>
                <w:bCs/>
                <w:sz w:val="20"/>
                <w:szCs w:val="20"/>
              </w:rPr>
              <w:t>内环以内不予准入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r>
      <w:tr w:rsidR="002C32BB" w:rsidRPr="005646D9" w:rsidTr="00A76730">
        <w:trPr>
          <w:trHeight w:val="810"/>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．国家《产业结构调整指导目录（</w:t>
            </w:r>
            <w:r w:rsidRPr="005646D9">
              <w:rPr>
                <w:sz w:val="20"/>
                <w:szCs w:val="20"/>
                <w:lang w:eastAsia="zh-CN"/>
              </w:rPr>
              <w:t>2011</w:t>
            </w:r>
            <w:r w:rsidRPr="005646D9">
              <w:rPr>
                <w:sz w:val="20"/>
                <w:szCs w:val="20"/>
                <w:lang w:eastAsia="zh-CN"/>
              </w:rPr>
              <w:t>年本）（修正）》限制类</w:t>
            </w:r>
            <w:r w:rsidRPr="005646D9">
              <w:rPr>
                <w:sz w:val="20"/>
                <w:szCs w:val="20"/>
                <w:lang w:eastAsia="zh-CN"/>
              </w:rPr>
              <w:t>“</w:t>
            </w:r>
            <w:r w:rsidRPr="005646D9">
              <w:rPr>
                <w:sz w:val="20"/>
                <w:szCs w:val="20"/>
                <w:lang w:eastAsia="zh-CN"/>
              </w:rPr>
              <w:t>七、有色金属</w:t>
            </w:r>
            <w:r w:rsidRPr="005646D9">
              <w:rPr>
                <w:sz w:val="20"/>
                <w:szCs w:val="20"/>
                <w:lang w:eastAsia="zh-CN"/>
              </w:rPr>
              <w:t>”</w:t>
            </w:r>
            <w:r w:rsidRPr="005646D9">
              <w:rPr>
                <w:sz w:val="20"/>
                <w:szCs w:val="20"/>
                <w:lang w:eastAsia="zh-CN"/>
              </w:rPr>
              <w:t>第</w:t>
            </w:r>
            <w:r w:rsidRPr="005646D9">
              <w:rPr>
                <w:sz w:val="20"/>
                <w:szCs w:val="20"/>
                <w:lang w:eastAsia="zh-CN"/>
              </w:rPr>
              <w:t>1―8</w:t>
            </w:r>
            <w:r w:rsidRPr="005646D9">
              <w:rPr>
                <w:sz w:val="20"/>
                <w:szCs w:val="20"/>
                <w:lang w:eastAsia="zh-CN"/>
              </w:rPr>
              <w:t>项等有色金属冶炼及加工；</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44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w:t>
            </w:r>
            <w:r w:rsidRPr="005646D9">
              <w:rPr>
                <w:sz w:val="20"/>
                <w:szCs w:val="20"/>
                <w:lang w:eastAsia="zh-CN"/>
              </w:rPr>
              <w:t>400KA</w:t>
            </w:r>
            <w:r w:rsidRPr="005646D9">
              <w:rPr>
                <w:sz w:val="20"/>
                <w:szCs w:val="20"/>
                <w:lang w:eastAsia="zh-CN"/>
              </w:rPr>
              <w:t>以下电解铝生产线。</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r>
      <w:tr w:rsidR="002C32BB" w:rsidRPr="005646D9" w:rsidTr="00A76730">
        <w:trPr>
          <w:trHeight w:val="360"/>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三十、金属制品业</w:t>
            </w:r>
            <w:proofErr w:type="spellEnd"/>
          </w:p>
        </w:tc>
        <w:tc>
          <w:tcPr>
            <w:tcW w:w="800" w:type="pct"/>
            <w:tcBorders>
              <w:top w:val="nil"/>
              <w:left w:val="nil"/>
              <w:bottom w:val="single" w:sz="4" w:space="0" w:color="auto"/>
              <w:right w:val="single" w:sz="4" w:space="0" w:color="auto"/>
            </w:tcBorders>
            <w:vAlign w:val="center"/>
            <w:hideMark/>
          </w:tcPr>
          <w:p w:rsidR="002C32BB" w:rsidRPr="005C3A4E" w:rsidRDefault="002C32BB" w:rsidP="00A76730">
            <w:pPr>
              <w:jc w:val="center"/>
              <w:rPr>
                <w:bCs/>
                <w:spacing w:val="-20"/>
                <w:sz w:val="20"/>
                <w:szCs w:val="20"/>
                <w:lang w:eastAsia="zh-CN"/>
              </w:rPr>
            </w:pPr>
            <w:r w:rsidRPr="005C3A4E">
              <w:rPr>
                <w:bCs/>
                <w:spacing w:val="-20"/>
                <w:sz w:val="20"/>
                <w:szCs w:val="20"/>
                <w:lang w:eastAsia="zh-CN"/>
              </w:rPr>
              <w:t>内环以内不予准入，内环以外不予准入集中电镀项目</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570"/>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w:t>
            </w:r>
            <w:proofErr w:type="gramStart"/>
            <w:r w:rsidRPr="005646D9">
              <w:rPr>
                <w:sz w:val="20"/>
                <w:szCs w:val="20"/>
                <w:lang w:eastAsia="zh-CN"/>
              </w:rPr>
              <w:t>棕</w:t>
            </w:r>
            <w:proofErr w:type="gramEnd"/>
            <w:r w:rsidRPr="005646D9">
              <w:rPr>
                <w:sz w:val="20"/>
                <w:szCs w:val="20"/>
                <w:lang w:eastAsia="zh-CN"/>
              </w:rPr>
              <w:t>刚玉、绿碳化硅、黑碳化硅等烧结块及磨料制造项目；</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345"/>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．酸性碳钢焊条制造项目；</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30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3</w:t>
            </w:r>
            <w:r w:rsidRPr="005646D9">
              <w:rPr>
                <w:sz w:val="20"/>
                <w:szCs w:val="20"/>
                <w:lang w:eastAsia="zh-CN"/>
              </w:rPr>
              <w:t>．动圈式和抽头式手工焊条弧焊机；</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33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rPr>
            </w:pPr>
            <w:r w:rsidRPr="005646D9">
              <w:rPr>
                <w:sz w:val="20"/>
                <w:szCs w:val="20"/>
              </w:rPr>
              <w:t>4</w:t>
            </w:r>
            <w:r w:rsidRPr="005646D9">
              <w:rPr>
                <w:sz w:val="20"/>
                <w:szCs w:val="20"/>
              </w:rPr>
              <w:t>．含铅和含镉钎料；</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rPr>
            </w:pPr>
          </w:p>
        </w:tc>
      </w:tr>
      <w:tr w:rsidR="002C32BB" w:rsidRPr="005646D9" w:rsidTr="00A76730">
        <w:trPr>
          <w:trHeight w:val="315"/>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rPr>
            </w:pPr>
            <w:r w:rsidRPr="005646D9">
              <w:rPr>
                <w:sz w:val="20"/>
                <w:szCs w:val="20"/>
              </w:rPr>
              <w:t>5</w:t>
            </w:r>
            <w:r w:rsidRPr="005646D9">
              <w:rPr>
                <w:sz w:val="20"/>
                <w:szCs w:val="20"/>
              </w:rPr>
              <w:t>．含铅粉末冶金件；</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rPr>
            </w:pPr>
          </w:p>
        </w:tc>
      </w:tr>
      <w:tr w:rsidR="002C32BB" w:rsidRPr="005646D9" w:rsidTr="00A76730">
        <w:trPr>
          <w:trHeight w:val="36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6</w:t>
            </w:r>
            <w:r w:rsidRPr="005646D9">
              <w:rPr>
                <w:sz w:val="20"/>
                <w:szCs w:val="20"/>
                <w:lang w:eastAsia="zh-CN"/>
              </w:rPr>
              <w:t>．普通运输</w:t>
            </w:r>
            <w:proofErr w:type="gramStart"/>
            <w:r w:rsidRPr="005646D9">
              <w:rPr>
                <w:sz w:val="20"/>
                <w:szCs w:val="20"/>
                <w:lang w:eastAsia="zh-CN"/>
              </w:rPr>
              <w:t>集装干箱项目</w:t>
            </w:r>
            <w:proofErr w:type="gramEnd"/>
            <w:r w:rsidRPr="005646D9">
              <w:rPr>
                <w:sz w:val="20"/>
                <w:szCs w:val="20"/>
                <w:lang w:eastAsia="zh-CN"/>
              </w:rPr>
              <w:t>。</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442"/>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三十一、通用设备制造业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1132"/>
        </w:trPr>
        <w:tc>
          <w:tcPr>
            <w:tcW w:w="350"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r w:rsidRPr="005646D9">
              <w:rPr>
                <w:sz w:val="20"/>
                <w:szCs w:val="20"/>
              </w:rPr>
              <w:t xml:space="preserve"> </w:t>
            </w:r>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国家《产业结构调整指导目录（</w:t>
            </w:r>
            <w:r w:rsidRPr="005646D9">
              <w:rPr>
                <w:sz w:val="20"/>
                <w:szCs w:val="20"/>
                <w:lang w:eastAsia="zh-CN"/>
              </w:rPr>
              <w:t>2011</w:t>
            </w:r>
            <w:r w:rsidRPr="005646D9">
              <w:rPr>
                <w:sz w:val="20"/>
                <w:szCs w:val="20"/>
                <w:lang w:eastAsia="zh-CN"/>
              </w:rPr>
              <w:t>年本）（修正）》限制类</w:t>
            </w:r>
            <w:r w:rsidRPr="005646D9">
              <w:rPr>
                <w:sz w:val="20"/>
                <w:szCs w:val="20"/>
                <w:lang w:eastAsia="zh-CN"/>
              </w:rPr>
              <w:t>“</w:t>
            </w:r>
            <w:r w:rsidRPr="005646D9">
              <w:rPr>
                <w:sz w:val="20"/>
                <w:szCs w:val="20"/>
                <w:lang w:eastAsia="zh-CN"/>
              </w:rPr>
              <w:t>十一、机械</w:t>
            </w:r>
            <w:r w:rsidRPr="005646D9">
              <w:rPr>
                <w:sz w:val="20"/>
                <w:szCs w:val="20"/>
                <w:lang w:eastAsia="zh-CN"/>
              </w:rPr>
              <w:t>”</w:t>
            </w:r>
            <w:r w:rsidRPr="005646D9">
              <w:rPr>
                <w:sz w:val="20"/>
                <w:szCs w:val="20"/>
                <w:lang w:eastAsia="zh-CN"/>
              </w:rPr>
              <w:t>第</w:t>
            </w:r>
            <w:r w:rsidRPr="005646D9">
              <w:rPr>
                <w:sz w:val="20"/>
                <w:szCs w:val="20"/>
                <w:lang w:eastAsia="zh-CN"/>
              </w:rPr>
              <w:t>12</w:t>
            </w:r>
            <w:r w:rsidRPr="005646D9">
              <w:rPr>
                <w:sz w:val="20"/>
                <w:szCs w:val="20"/>
                <w:lang w:eastAsia="zh-CN"/>
              </w:rPr>
              <w:t>、</w:t>
            </w:r>
            <w:r w:rsidRPr="005646D9">
              <w:rPr>
                <w:sz w:val="20"/>
                <w:szCs w:val="20"/>
                <w:lang w:eastAsia="zh-CN"/>
              </w:rPr>
              <w:t>16―19</w:t>
            </w:r>
            <w:r w:rsidRPr="005646D9">
              <w:rPr>
                <w:sz w:val="20"/>
                <w:szCs w:val="20"/>
                <w:lang w:eastAsia="zh-CN"/>
              </w:rPr>
              <w:t>、</w:t>
            </w:r>
            <w:r w:rsidRPr="005646D9">
              <w:rPr>
                <w:sz w:val="20"/>
                <w:szCs w:val="20"/>
                <w:lang w:eastAsia="zh-CN"/>
              </w:rPr>
              <w:t>21―23</w:t>
            </w:r>
            <w:r w:rsidRPr="005646D9">
              <w:rPr>
                <w:sz w:val="20"/>
                <w:szCs w:val="20"/>
                <w:lang w:eastAsia="zh-CN"/>
              </w:rPr>
              <w:t>、</w:t>
            </w:r>
            <w:r w:rsidRPr="005646D9">
              <w:rPr>
                <w:sz w:val="20"/>
                <w:szCs w:val="20"/>
                <w:lang w:eastAsia="zh-CN"/>
              </w:rPr>
              <w:t>28</w:t>
            </w:r>
            <w:r w:rsidRPr="005646D9">
              <w:rPr>
                <w:sz w:val="20"/>
                <w:szCs w:val="20"/>
                <w:lang w:eastAsia="zh-CN"/>
              </w:rPr>
              <w:t>、</w:t>
            </w:r>
            <w:r w:rsidRPr="005646D9">
              <w:rPr>
                <w:sz w:val="20"/>
                <w:szCs w:val="20"/>
                <w:lang w:eastAsia="zh-CN"/>
              </w:rPr>
              <w:t>29</w:t>
            </w:r>
            <w:r w:rsidRPr="005646D9">
              <w:rPr>
                <w:sz w:val="20"/>
                <w:szCs w:val="20"/>
                <w:lang w:eastAsia="zh-CN"/>
              </w:rPr>
              <w:t>、</w:t>
            </w:r>
            <w:r w:rsidRPr="005646D9">
              <w:rPr>
                <w:sz w:val="20"/>
                <w:szCs w:val="20"/>
                <w:lang w:eastAsia="zh-CN"/>
              </w:rPr>
              <w:t>31―33</w:t>
            </w:r>
            <w:r w:rsidRPr="005646D9">
              <w:rPr>
                <w:sz w:val="20"/>
                <w:szCs w:val="20"/>
                <w:lang w:eastAsia="zh-CN"/>
              </w:rPr>
              <w:t>、</w:t>
            </w:r>
            <w:r w:rsidRPr="005646D9">
              <w:rPr>
                <w:sz w:val="20"/>
                <w:szCs w:val="20"/>
                <w:lang w:eastAsia="zh-CN"/>
              </w:rPr>
              <w:t>36</w:t>
            </w:r>
            <w:r w:rsidRPr="005646D9">
              <w:rPr>
                <w:sz w:val="20"/>
                <w:szCs w:val="20"/>
                <w:lang w:eastAsia="zh-CN"/>
              </w:rPr>
              <w:t>、</w:t>
            </w:r>
            <w:r w:rsidRPr="005646D9">
              <w:rPr>
                <w:sz w:val="20"/>
                <w:szCs w:val="20"/>
                <w:lang w:eastAsia="zh-CN"/>
              </w:rPr>
              <w:t>37</w:t>
            </w:r>
            <w:r w:rsidRPr="005646D9">
              <w:rPr>
                <w:sz w:val="20"/>
                <w:szCs w:val="20"/>
                <w:lang w:eastAsia="zh-CN"/>
              </w:rPr>
              <w:t>、</w:t>
            </w:r>
            <w:r w:rsidRPr="005646D9">
              <w:rPr>
                <w:sz w:val="20"/>
                <w:szCs w:val="20"/>
                <w:lang w:eastAsia="zh-CN"/>
              </w:rPr>
              <w:t>40―43</w:t>
            </w:r>
            <w:r w:rsidRPr="005646D9">
              <w:rPr>
                <w:sz w:val="20"/>
                <w:szCs w:val="20"/>
                <w:lang w:eastAsia="zh-CN"/>
              </w:rPr>
              <w:t>、</w:t>
            </w:r>
            <w:r w:rsidRPr="005646D9">
              <w:rPr>
                <w:sz w:val="20"/>
                <w:szCs w:val="20"/>
                <w:lang w:eastAsia="zh-CN"/>
              </w:rPr>
              <w:t>47</w:t>
            </w:r>
            <w:r w:rsidRPr="005646D9">
              <w:rPr>
                <w:sz w:val="20"/>
                <w:szCs w:val="20"/>
                <w:lang w:eastAsia="zh-CN"/>
              </w:rPr>
              <w:t>、</w:t>
            </w:r>
            <w:r w:rsidRPr="005646D9">
              <w:rPr>
                <w:sz w:val="20"/>
                <w:szCs w:val="20"/>
                <w:lang w:eastAsia="zh-CN"/>
              </w:rPr>
              <w:t>48</w:t>
            </w:r>
            <w:r w:rsidRPr="005646D9">
              <w:rPr>
                <w:sz w:val="20"/>
                <w:szCs w:val="20"/>
                <w:lang w:eastAsia="zh-CN"/>
              </w:rPr>
              <w:t>项等通用设备制造。</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内环以内不予准入</w:t>
            </w:r>
          </w:p>
          <w:p w:rsidR="002C32BB" w:rsidRPr="005646D9" w:rsidRDefault="002C32BB" w:rsidP="00A76730">
            <w:pPr>
              <w:jc w:val="center"/>
              <w:rPr>
                <w:color w:val="FF0000"/>
                <w:sz w:val="20"/>
                <w:szCs w:val="20"/>
                <w:lang w:eastAsia="zh-CN"/>
              </w:rPr>
            </w:pPr>
            <w:r w:rsidRPr="005646D9">
              <w:rPr>
                <w:sz w:val="20"/>
                <w:szCs w:val="20"/>
                <w:lang w:eastAsia="zh-CN"/>
              </w:rPr>
              <w:t>内环以外限制准入</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407"/>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三十二、专用设备制造业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1656"/>
        </w:trPr>
        <w:tc>
          <w:tcPr>
            <w:tcW w:w="350"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r w:rsidRPr="005646D9">
              <w:rPr>
                <w:sz w:val="20"/>
                <w:szCs w:val="20"/>
              </w:rPr>
              <w:t xml:space="preserve"> </w:t>
            </w:r>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国家《产业结构调整指导目录（</w:t>
            </w:r>
            <w:r w:rsidRPr="005646D9">
              <w:rPr>
                <w:sz w:val="20"/>
                <w:szCs w:val="20"/>
                <w:lang w:eastAsia="zh-CN"/>
              </w:rPr>
              <w:t>2011</w:t>
            </w:r>
            <w:r w:rsidRPr="005646D9">
              <w:rPr>
                <w:sz w:val="20"/>
                <w:szCs w:val="20"/>
                <w:lang w:eastAsia="zh-CN"/>
              </w:rPr>
              <w:t>年本）（修正）》限制类</w:t>
            </w:r>
            <w:r w:rsidRPr="005646D9">
              <w:rPr>
                <w:sz w:val="20"/>
                <w:szCs w:val="20"/>
                <w:lang w:eastAsia="zh-CN"/>
              </w:rPr>
              <w:t>“</w:t>
            </w:r>
            <w:r w:rsidRPr="005646D9">
              <w:rPr>
                <w:sz w:val="20"/>
                <w:szCs w:val="20"/>
                <w:lang w:eastAsia="zh-CN"/>
              </w:rPr>
              <w:t>十一、机械</w:t>
            </w:r>
            <w:r w:rsidRPr="005646D9">
              <w:rPr>
                <w:sz w:val="20"/>
                <w:szCs w:val="20"/>
                <w:lang w:eastAsia="zh-CN"/>
              </w:rPr>
              <w:t>”</w:t>
            </w:r>
            <w:r w:rsidRPr="005646D9">
              <w:rPr>
                <w:sz w:val="20"/>
                <w:szCs w:val="20"/>
                <w:lang w:eastAsia="zh-CN"/>
              </w:rPr>
              <w:t>第</w:t>
            </w:r>
            <w:r w:rsidRPr="005646D9">
              <w:rPr>
                <w:sz w:val="20"/>
                <w:szCs w:val="20"/>
                <w:lang w:eastAsia="zh-CN"/>
              </w:rPr>
              <w:t>1―10</w:t>
            </w:r>
            <w:r w:rsidRPr="005646D9">
              <w:rPr>
                <w:sz w:val="20"/>
                <w:szCs w:val="20"/>
                <w:lang w:eastAsia="zh-CN"/>
              </w:rPr>
              <w:t>、</w:t>
            </w:r>
            <w:r w:rsidRPr="005646D9">
              <w:rPr>
                <w:sz w:val="20"/>
                <w:szCs w:val="20"/>
                <w:lang w:eastAsia="zh-CN"/>
              </w:rPr>
              <w:t>13</w:t>
            </w:r>
            <w:r w:rsidRPr="005646D9">
              <w:rPr>
                <w:sz w:val="20"/>
                <w:szCs w:val="20"/>
                <w:lang w:eastAsia="zh-CN"/>
              </w:rPr>
              <w:t>、</w:t>
            </w:r>
            <w:r w:rsidRPr="005646D9">
              <w:rPr>
                <w:sz w:val="20"/>
                <w:szCs w:val="20"/>
                <w:lang w:eastAsia="zh-CN"/>
              </w:rPr>
              <w:t>46</w:t>
            </w:r>
            <w:r w:rsidRPr="005646D9">
              <w:rPr>
                <w:sz w:val="20"/>
                <w:szCs w:val="20"/>
                <w:lang w:eastAsia="zh-CN"/>
              </w:rPr>
              <w:t>、</w:t>
            </w:r>
            <w:r w:rsidRPr="005646D9">
              <w:rPr>
                <w:sz w:val="20"/>
                <w:szCs w:val="20"/>
                <w:lang w:eastAsia="zh-CN"/>
              </w:rPr>
              <w:t>51―55</w:t>
            </w:r>
            <w:r w:rsidRPr="005646D9">
              <w:rPr>
                <w:sz w:val="20"/>
                <w:szCs w:val="20"/>
                <w:lang w:eastAsia="zh-CN"/>
              </w:rPr>
              <w:t>项及</w:t>
            </w:r>
            <w:r w:rsidRPr="005646D9">
              <w:rPr>
                <w:sz w:val="20"/>
                <w:szCs w:val="20"/>
                <w:lang w:eastAsia="zh-CN"/>
              </w:rPr>
              <w:t>“</w:t>
            </w:r>
            <w:r w:rsidRPr="005646D9">
              <w:rPr>
                <w:sz w:val="20"/>
                <w:szCs w:val="20"/>
                <w:lang w:eastAsia="zh-CN"/>
              </w:rPr>
              <w:t>十五、消防</w:t>
            </w:r>
            <w:r w:rsidRPr="005646D9">
              <w:rPr>
                <w:sz w:val="20"/>
                <w:szCs w:val="20"/>
                <w:lang w:eastAsia="zh-CN"/>
              </w:rPr>
              <w:t>”</w:t>
            </w:r>
            <w:r w:rsidRPr="005646D9">
              <w:rPr>
                <w:sz w:val="20"/>
                <w:szCs w:val="20"/>
                <w:lang w:eastAsia="zh-CN"/>
              </w:rPr>
              <w:t>第</w:t>
            </w:r>
            <w:r w:rsidRPr="005646D9">
              <w:rPr>
                <w:sz w:val="20"/>
                <w:szCs w:val="20"/>
                <w:lang w:eastAsia="zh-CN"/>
              </w:rPr>
              <w:t>1―8</w:t>
            </w:r>
            <w:r w:rsidRPr="005646D9">
              <w:rPr>
                <w:sz w:val="20"/>
                <w:szCs w:val="20"/>
                <w:lang w:eastAsia="zh-CN"/>
              </w:rPr>
              <w:t>项等专用设备制造。</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内环以内不予准入</w:t>
            </w:r>
          </w:p>
          <w:p w:rsidR="002C32BB" w:rsidRPr="005646D9" w:rsidRDefault="002C32BB" w:rsidP="00A76730">
            <w:pPr>
              <w:jc w:val="center"/>
              <w:rPr>
                <w:sz w:val="20"/>
                <w:szCs w:val="20"/>
                <w:lang w:eastAsia="zh-CN"/>
              </w:rPr>
            </w:pPr>
            <w:r w:rsidRPr="005646D9">
              <w:rPr>
                <w:sz w:val="20"/>
                <w:szCs w:val="20"/>
                <w:lang w:eastAsia="zh-CN"/>
              </w:rPr>
              <w:t>内环以外限制准入</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408"/>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三十三、汽车制造业</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r>
      <w:tr w:rsidR="002C32BB" w:rsidRPr="005646D9" w:rsidTr="00A76730">
        <w:trPr>
          <w:trHeight w:val="889"/>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．低速汽车（三轮汽车、低速货车）（自</w:t>
            </w:r>
            <w:r w:rsidRPr="005646D9">
              <w:rPr>
                <w:sz w:val="20"/>
                <w:szCs w:val="20"/>
                <w:lang w:eastAsia="zh-CN"/>
              </w:rPr>
              <w:t>2015</w:t>
            </w:r>
            <w:r w:rsidRPr="005646D9">
              <w:rPr>
                <w:sz w:val="20"/>
                <w:szCs w:val="20"/>
                <w:lang w:eastAsia="zh-CN"/>
              </w:rPr>
              <w:t>年起执行与轻型卡车同等的节能与排放标准）；</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544"/>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w:t>
            </w:r>
            <w:r w:rsidRPr="005646D9">
              <w:rPr>
                <w:sz w:val="20"/>
                <w:szCs w:val="20"/>
                <w:lang w:eastAsia="zh-CN"/>
              </w:rPr>
              <w:t>4</w:t>
            </w:r>
            <w:r w:rsidRPr="005646D9">
              <w:rPr>
                <w:sz w:val="20"/>
                <w:szCs w:val="20"/>
                <w:lang w:eastAsia="zh-CN"/>
              </w:rPr>
              <w:t>档及以下机械式车用自动变速箱（</w:t>
            </w:r>
            <w:r w:rsidRPr="005646D9">
              <w:rPr>
                <w:sz w:val="20"/>
                <w:szCs w:val="20"/>
                <w:lang w:eastAsia="zh-CN"/>
              </w:rPr>
              <w:t>AT</w:t>
            </w:r>
            <w:r w:rsidRPr="005646D9">
              <w:rPr>
                <w:sz w:val="20"/>
                <w:szCs w:val="20"/>
                <w:lang w:eastAsia="zh-CN"/>
              </w:rPr>
              <w:t>）；</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424"/>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3</w:t>
            </w:r>
            <w:r w:rsidRPr="005646D9">
              <w:rPr>
                <w:sz w:val="20"/>
                <w:szCs w:val="20"/>
                <w:lang w:eastAsia="zh-CN"/>
              </w:rPr>
              <w:t>．排放</w:t>
            </w:r>
            <w:proofErr w:type="gramStart"/>
            <w:r w:rsidRPr="005646D9">
              <w:rPr>
                <w:sz w:val="20"/>
                <w:szCs w:val="20"/>
                <w:lang w:eastAsia="zh-CN"/>
              </w:rPr>
              <w:t>标准国</w:t>
            </w:r>
            <w:proofErr w:type="gramEnd"/>
            <w:r w:rsidRPr="005646D9">
              <w:rPr>
                <w:sz w:val="20"/>
                <w:szCs w:val="20"/>
                <w:lang w:eastAsia="zh-CN"/>
              </w:rPr>
              <w:t>三及以下的机动车用发动机。</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595"/>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三十四、铁路、船舶、航空航天和其他运输设备制造业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495"/>
        </w:trPr>
        <w:tc>
          <w:tcPr>
            <w:tcW w:w="350" w:type="pc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出口船舶分段建造项目；</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r>
      <w:tr w:rsidR="002C32BB" w:rsidRPr="005646D9" w:rsidTr="00A76730">
        <w:trPr>
          <w:trHeight w:val="442"/>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bCs/>
                <w:sz w:val="20"/>
                <w:szCs w:val="20"/>
                <w:lang w:eastAsia="zh-CN"/>
              </w:rPr>
            </w:pPr>
            <w:r w:rsidRPr="005646D9">
              <w:rPr>
                <w:rFonts w:eastAsia="方正黑体_GBK"/>
                <w:bCs/>
                <w:sz w:val="20"/>
                <w:szCs w:val="20"/>
                <w:lang w:eastAsia="zh-CN"/>
              </w:rPr>
              <w:t>三十五、电气机械和器材制造业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852"/>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81C4D" w:rsidRDefault="002C32BB" w:rsidP="00A76730">
            <w:pPr>
              <w:rPr>
                <w:spacing w:val="-4"/>
                <w:sz w:val="20"/>
                <w:szCs w:val="20"/>
                <w:lang w:eastAsia="zh-CN"/>
              </w:rPr>
            </w:pPr>
            <w:r w:rsidRPr="00581C4D">
              <w:rPr>
                <w:spacing w:val="-4"/>
                <w:sz w:val="20"/>
                <w:szCs w:val="20"/>
                <w:lang w:eastAsia="zh-CN"/>
              </w:rPr>
              <w:t>1</w:t>
            </w:r>
            <w:r w:rsidRPr="00581C4D">
              <w:rPr>
                <w:spacing w:val="-4"/>
                <w:sz w:val="20"/>
                <w:szCs w:val="20"/>
                <w:lang w:eastAsia="zh-CN"/>
              </w:rPr>
              <w:t>．国家《产业结构调整指导目录（</w:t>
            </w:r>
            <w:r w:rsidRPr="00581C4D">
              <w:rPr>
                <w:spacing w:val="-4"/>
                <w:sz w:val="20"/>
                <w:szCs w:val="20"/>
                <w:lang w:eastAsia="zh-CN"/>
              </w:rPr>
              <w:t>2011</w:t>
            </w:r>
            <w:r w:rsidRPr="00581C4D">
              <w:rPr>
                <w:spacing w:val="-4"/>
                <w:sz w:val="20"/>
                <w:szCs w:val="20"/>
                <w:lang w:eastAsia="zh-CN"/>
              </w:rPr>
              <w:t>年本）（修正）》限制类</w:t>
            </w:r>
            <w:r w:rsidRPr="00581C4D">
              <w:rPr>
                <w:spacing w:val="-4"/>
                <w:sz w:val="20"/>
                <w:szCs w:val="20"/>
                <w:lang w:eastAsia="zh-CN"/>
              </w:rPr>
              <w:t>“</w:t>
            </w:r>
            <w:r w:rsidRPr="00581C4D">
              <w:rPr>
                <w:spacing w:val="-4"/>
                <w:sz w:val="20"/>
                <w:szCs w:val="20"/>
                <w:lang w:eastAsia="zh-CN"/>
              </w:rPr>
              <w:t>十一、机械</w:t>
            </w:r>
            <w:r w:rsidRPr="00581C4D">
              <w:rPr>
                <w:spacing w:val="-4"/>
                <w:sz w:val="20"/>
                <w:szCs w:val="20"/>
                <w:lang w:eastAsia="zh-CN"/>
              </w:rPr>
              <w:t>”</w:t>
            </w:r>
            <w:r w:rsidRPr="00581C4D">
              <w:rPr>
                <w:spacing w:val="-4"/>
                <w:sz w:val="20"/>
                <w:szCs w:val="20"/>
                <w:lang w:eastAsia="zh-CN"/>
              </w:rPr>
              <w:t>第</w:t>
            </w:r>
            <w:r w:rsidRPr="00581C4D">
              <w:rPr>
                <w:spacing w:val="-4"/>
                <w:sz w:val="20"/>
                <w:szCs w:val="20"/>
                <w:lang w:eastAsia="zh-CN"/>
              </w:rPr>
              <w:t>14</w:t>
            </w:r>
            <w:r w:rsidRPr="00581C4D">
              <w:rPr>
                <w:spacing w:val="-4"/>
                <w:sz w:val="20"/>
                <w:szCs w:val="20"/>
                <w:lang w:eastAsia="zh-CN"/>
              </w:rPr>
              <w:t>、</w:t>
            </w:r>
            <w:r w:rsidRPr="00581C4D">
              <w:rPr>
                <w:spacing w:val="-4"/>
                <w:sz w:val="20"/>
                <w:szCs w:val="20"/>
                <w:lang w:eastAsia="zh-CN"/>
              </w:rPr>
              <w:t>15</w:t>
            </w:r>
            <w:r w:rsidRPr="00581C4D">
              <w:rPr>
                <w:spacing w:val="-4"/>
                <w:sz w:val="20"/>
                <w:szCs w:val="20"/>
                <w:lang w:eastAsia="zh-CN"/>
              </w:rPr>
              <w:t>、</w:t>
            </w:r>
            <w:r w:rsidRPr="00581C4D">
              <w:rPr>
                <w:spacing w:val="-4"/>
                <w:sz w:val="20"/>
                <w:szCs w:val="20"/>
                <w:lang w:eastAsia="zh-CN"/>
              </w:rPr>
              <w:t>24</w:t>
            </w:r>
            <w:r w:rsidRPr="00581C4D">
              <w:rPr>
                <w:spacing w:val="-4"/>
                <w:sz w:val="20"/>
                <w:szCs w:val="20"/>
                <w:lang w:eastAsia="zh-CN"/>
              </w:rPr>
              <w:t>、</w:t>
            </w:r>
            <w:r w:rsidRPr="00581C4D">
              <w:rPr>
                <w:spacing w:val="-4"/>
                <w:sz w:val="20"/>
                <w:szCs w:val="20"/>
                <w:lang w:eastAsia="zh-CN"/>
              </w:rPr>
              <w:t>25</w:t>
            </w:r>
            <w:r w:rsidRPr="00581C4D">
              <w:rPr>
                <w:spacing w:val="-4"/>
                <w:sz w:val="20"/>
                <w:szCs w:val="20"/>
                <w:lang w:eastAsia="zh-CN"/>
              </w:rPr>
              <w:t>、</w:t>
            </w:r>
            <w:r w:rsidRPr="00581C4D">
              <w:rPr>
                <w:spacing w:val="-4"/>
                <w:sz w:val="20"/>
                <w:szCs w:val="20"/>
                <w:lang w:eastAsia="zh-CN"/>
              </w:rPr>
              <w:t>44</w:t>
            </w:r>
            <w:r w:rsidRPr="00581C4D">
              <w:rPr>
                <w:spacing w:val="-4"/>
                <w:sz w:val="20"/>
                <w:szCs w:val="20"/>
                <w:lang w:eastAsia="zh-CN"/>
              </w:rPr>
              <w:t>、</w:t>
            </w:r>
            <w:r w:rsidRPr="00581C4D">
              <w:rPr>
                <w:spacing w:val="-4"/>
                <w:sz w:val="20"/>
                <w:szCs w:val="20"/>
                <w:lang w:eastAsia="zh-CN"/>
              </w:rPr>
              <w:t>50</w:t>
            </w:r>
            <w:r w:rsidRPr="00581C4D">
              <w:rPr>
                <w:spacing w:val="-4"/>
                <w:sz w:val="20"/>
                <w:szCs w:val="20"/>
                <w:lang w:eastAsia="zh-CN"/>
              </w:rPr>
              <w:t>项等电气机械和器材制造；</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内环以内不予准入，内环以外允许改造升级</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269"/>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w:t>
            </w:r>
            <w:proofErr w:type="gramStart"/>
            <w:r w:rsidRPr="005646D9">
              <w:rPr>
                <w:sz w:val="20"/>
                <w:szCs w:val="20"/>
                <w:lang w:eastAsia="zh-CN"/>
              </w:rPr>
              <w:t>糊式锌锰</w:t>
            </w:r>
            <w:proofErr w:type="gramEnd"/>
            <w:r w:rsidRPr="005646D9">
              <w:rPr>
                <w:sz w:val="20"/>
                <w:szCs w:val="20"/>
                <w:lang w:eastAsia="zh-CN"/>
              </w:rPr>
              <w:t>电池、镉镍电池；</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259"/>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3</w:t>
            </w:r>
            <w:r w:rsidRPr="005646D9">
              <w:rPr>
                <w:sz w:val="20"/>
                <w:szCs w:val="20"/>
                <w:lang w:eastAsia="zh-CN"/>
              </w:rPr>
              <w:t>．普通照明白炽灯、高压汞灯。</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248"/>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三十六、计算机、通信和其他电子设备制造业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570"/>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．电子管高频感应加热设备；</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内环以内不予准入，内环以外允许改造升级</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231"/>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．模拟</w:t>
            </w:r>
            <w:r w:rsidRPr="005646D9">
              <w:rPr>
                <w:sz w:val="20"/>
                <w:szCs w:val="20"/>
                <w:lang w:eastAsia="zh-CN"/>
              </w:rPr>
              <w:t>CRT</w:t>
            </w:r>
            <w:r w:rsidRPr="005646D9">
              <w:rPr>
                <w:sz w:val="20"/>
                <w:szCs w:val="20"/>
                <w:lang w:eastAsia="zh-CN"/>
              </w:rPr>
              <w:t>黑白及彩色电视机项目；</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364"/>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pacing w:val="-6"/>
                <w:sz w:val="20"/>
                <w:szCs w:val="20"/>
                <w:lang w:eastAsia="zh-CN"/>
              </w:rPr>
            </w:pPr>
            <w:r w:rsidRPr="005646D9">
              <w:rPr>
                <w:spacing w:val="-6"/>
                <w:sz w:val="20"/>
                <w:szCs w:val="20"/>
                <w:lang w:eastAsia="zh-CN"/>
              </w:rPr>
              <w:t>3</w:t>
            </w:r>
            <w:r w:rsidRPr="005646D9">
              <w:rPr>
                <w:spacing w:val="-6"/>
                <w:sz w:val="20"/>
                <w:szCs w:val="20"/>
                <w:lang w:eastAsia="zh-CN"/>
              </w:rPr>
              <w:t>．</w:t>
            </w:r>
            <w:r w:rsidRPr="005646D9">
              <w:rPr>
                <w:spacing w:val="-6"/>
                <w:sz w:val="20"/>
                <w:szCs w:val="20"/>
                <w:lang w:eastAsia="zh-CN"/>
              </w:rPr>
              <w:t xml:space="preserve"> </w:t>
            </w:r>
            <w:r w:rsidRPr="005646D9">
              <w:rPr>
                <w:spacing w:val="-6"/>
                <w:sz w:val="20"/>
                <w:szCs w:val="20"/>
                <w:lang w:eastAsia="zh-CN"/>
              </w:rPr>
              <w:t>激光视盘机生产线（</w:t>
            </w:r>
            <w:r w:rsidRPr="005646D9">
              <w:rPr>
                <w:spacing w:val="-6"/>
                <w:sz w:val="20"/>
                <w:szCs w:val="20"/>
                <w:lang w:eastAsia="zh-CN"/>
              </w:rPr>
              <w:t>VCD</w:t>
            </w:r>
            <w:r w:rsidRPr="005646D9">
              <w:rPr>
                <w:spacing w:val="-6"/>
                <w:sz w:val="20"/>
                <w:szCs w:val="20"/>
                <w:lang w:eastAsia="zh-CN"/>
              </w:rPr>
              <w:t>系列整机产品）。</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284"/>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三十七、仪器仪表制造业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274"/>
        </w:trPr>
        <w:tc>
          <w:tcPr>
            <w:tcW w:w="350" w:type="pct"/>
            <w:vMerge w:val="restart"/>
            <w:tcBorders>
              <w:top w:val="nil"/>
              <w:left w:val="single" w:sz="4" w:space="0" w:color="auto"/>
              <w:bottom w:val="single" w:sz="4" w:space="0" w:color="000000"/>
              <w:right w:val="nil"/>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．民用普通电度表制造项目；</w:t>
            </w:r>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vMerge w:val="restart"/>
            <w:tcBorders>
              <w:top w:val="nil"/>
              <w:left w:val="single" w:sz="4" w:space="0" w:color="auto"/>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vMerge w:val="restar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690"/>
        </w:trPr>
        <w:tc>
          <w:tcPr>
            <w:tcW w:w="0" w:type="auto"/>
            <w:vMerge/>
            <w:tcBorders>
              <w:top w:val="nil"/>
              <w:left w:val="single" w:sz="4" w:space="0" w:color="auto"/>
              <w:bottom w:val="single" w:sz="4" w:space="0" w:color="000000"/>
              <w:right w:val="nil"/>
            </w:tcBorders>
            <w:vAlign w:val="center"/>
            <w:hideMark/>
          </w:tcPr>
          <w:p w:rsidR="002C32BB" w:rsidRPr="005646D9" w:rsidRDefault="002C32BB" w:rsidP="00A76730">
            <w:pPr>
              <w:widowControl/>
              <w:rPr>
                <w:sz w:val="20"/>
                <w:szCs w:val="20"/>
                <w:lang w:eastAsia="zh-CN"/>
              </w:rPr>
            </w:pPr>
          </w:p>
        </w:tc>
        <w:tc>
          <w:tcPr>
            <w:tcW w:w="1451"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．国家《产业结构调整指导目录（</w:t>
            </w:r>
            <w:r w:rsidRPr="005646D9">
              <w:rPr>
                <w:sz w:val="20"/>
                <w:szCs w:val="20"/>
                <w:lang w:eastAsia="zh-CN"/>
              </w:rPr>
              <w:t>2011</w:t>
            </w:r>
            <w:r w:rsidRPr="005646D9">
              <w:rPr>
                <w:sz w:val="20"/>
                <w:szCs w:val="20"/>
                <w:lang w:eastAsia="zh-CN"/>
              </w:rPr>
              <w:t>年本）（修正）》限制类</w:t>
            </w:r>
            <w:r w:rsidRPr="005646D9">
              <w:rPr>
                <w:sz w:val="20"/>
                <w:szCs w:val="20"/>
                <w:lang w:eastAsia="zh-CN"/>
              </w:rPr>
              <w:t>“</w:t>
            </w:r>
            <w:r w:rsidRPr="005646D9">
              <w:rPr>
                <w:sz w:val="20"/>
                <w:szCs w:val="20"/>
                <w:lang w:eastAsia="zh-CN"/>
              </w:rPr>
              <w:t>十二、轻工</w:t>
            </w:r>
            <w:r w:rsidRPr="005646D9">
              <w:rPr>
                <w:sz w:val="20"/>
                <w:szCs w:val="20"/>
                <w:lang w:eastAsia="zh-CN"/>
              </w:rPr>
              <w:t>”</w:t>
            </w:r>
            <w:r w:rsidRPr="005646D9">
              <w:rPr>
                <w:sz w:val="20"/>
                <w:szCs w:val="20"/>
                <w:lang w:eastAsia="zh-CN"/>
              </w:rPr>
              <w:t>第</w:t>
            </w:r>
            <w:r w:rsidRPr="005646D9">
              <w:rPr>
                <w:sz w:val="20"/>
                <w:szCs w:val="20"/>
                <w:lang w:eastAsia="zh-CN"/>
              </w:rPr>
              <w:t>7</w:t>
            </w:r>
            <w:r w:rsidRPr="005646D9">
              <w:rPr>
                <w:sz w:val="20"/>
                <w:szCs w:val="20"/>
                <w:lang w:eastAsia="zh-CN"/>
              </w:rPr>
              <w:t>、</w:t>
            </w:r>
            <w:r w:rsidRPr="005646D9">
              <w:rPr>
                <w:sz w:val="20"/>
                <w:szCs w:val="20"/>
                <w:lang w:eastAsia="zh-CN"/>
              </w:rPr>
              <w:t>8</w:t>
            </w:r>
            <w:r w:rsidRPr="005646D9">
              <w:rPr>
                <w:sz w:val="20"/>
                <w:szCs w:val="20"/>
                <w:lang w:eastAsia="zh-CN"/>
              </w:rPr>
              <w:t>项等电子秤、电子</w:t>
            </w:r>
            <w:proofErr w:type="gramStart"/>
            <w:r w:rsidRPr="005646D9">
              <w:rPr>
                <w:sz w:val="20"/>
                <w:szCs w:val="20"/>
                <w:lang w:eastAsia="zh-CN"/>
              </w:rPr>
              <w:t>衡</w:t>
            </w:r>
            <w:proofErr w:type="gramEnd"/>
            <w:r w:rsidRPr="005646D9">
              <w:rPr>
                <w:sz w:val="20"/>
                <w:szCs w:val="20"/>
                <w:lang w:eastAsia="zh-CN"/>
              </w:rPr>
              <w:t>制造。</w:t>
            </w: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nil"/>
            </w:tcBorders>
            <w:vAlign w:val="center"/>
            <w:hideMark/>
          </w:tcPr>
          <w:p w:rsidR="002C32BB" w:rsidRPr="005646D9" w:rsidRDefault="002C32BB" w:rsidP="00A76730">
            <w:pPr>
              <w:widowControl/>
              <w:rPr>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2C32BB" w:rsidRPr="005646D9" w:rsidRDefault="002C32BB" w:rsidP="00A76730">
            <w:pPr>
              <w:widowControl/>
              <w:rPr>
                <w:sz w:val="20"/>
                <w:szCs w:val="20"/>
                <w:lang w:eastAsia="zh-CN"/>
              </w:rPr>
            </w:pPr>
          </w:p>
        </w:tc>
      </w:tr>
      <w:tr w:rsidR="002C32BB" w:rsidRPr="005646D9" w:rsidTr="00A76730">
        <w:trPr>
          <w:trHeight w:val="292"/>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三十八、电力、热力、燃气及水生产和供应业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979"/>
        </w:trPr>
        <w:tc>
          <w:tcPr>
            <w:tcW w:w="350" w:type="pct"/>
            <w:vMerge w:val="restart"/>
            <w:tcBorders>
              <w:top w:val="single" w:sz="4" w:space="0" w:color="auto"/>
              <w:left w:val="single" w:sz="4" w:space="0" w:color="auto"/>
              <w:bottom w:val="single" w:sz="4" w:space="0" w:color="auto"/>
              <w:right w:val="nil"/>
            </w:tcBorders>
            <w:vAlign w:val="center"/>
            <w:hideMark/>
          </w:tcPr>
          <w:p w:rsidR="002C32BB" w:rsidRPr="005646D9" w:rsidRDefault="002C32BB" w:rsidP="00A76730">
            <w:pPr>
              <w:jc w:val="center"/>
              <w:rPr>
                <w:rFonts w:eastAsia="方正黑体_GBK"/>
                <w:sz w:val="20"/>
                <w:szCs w:val="20"/>
              </w:rPr>
            </w:pPr>
            <w:proofErr w:type="spellStart"/>
            <w:r w:rsidRPr="005646D9">
              <w:rPr>
                <w:rFonts w:eastAsia="方正黑体_GBK"/>
                <w:sz w:val="20"/>
                <w:szCs w:val="20"/>
              </w:rPr>
              <w:t>其中</w:t>
            </w:r>
            <w:proofErr w:type="spellEnd"/>
          </w:p>
        </w:tc>
        <w:tc>
          <w:tcPr>
            <w:tcW w:w="1451" w:type="pct"/>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．小电网外，单机容量</w:t>
            </w:r>
            <w:r w:rsidRPr="005646D9">
              <w:rPr>
                <w:sz w:val="20"/>
                <w:szCs w:val="20"/>
                <w:lang w:eastAsia="zh-CN"/>
              </w:rPr>
              <w:t>30</w:t>
            </w:r>
            <w:r w:rsidRPr="005646D9">
              <w:rPr>
                <w:sz w:val="20"/>
                <w:szCs w:val="20"/>
                <w:lang w:eastAsia="zh-CN"/>
              </w:rPr>
              <w:t>万千瓦及以下的常规燃煤火电机组，发电煤耗高于</w:t>
            </w:r>
            <w:r w:rsidRPr="005646D9">
              <w:rPr>
                <w:sz w:val="20"/>
                <w:szCs w:val="20"/>
                <w:lang w:eastAsia="zh-CN"/>
              </w:rPr>
              <w:t>300</w:t>
            </w:r>
            <w:r w:rsidRPr="005646D9">
              <w:rPr>
                <w:sz w:val="20"/>
                <w:szCs w:val="20"/>
                <w:lang w:eastAsia="zh-CN"/>
              </w:rPr>
              <w:t>克标准煤</w:t>
            </w:r>
            <w:r w:rsidRPr="005646D9">
              <w:rPr>
                <w:sz w:val="20"/>
                <w:szCs w:val="20"/>
                <w:lang w:eastAsia="zh-CN"/>
              </w:rPr>
              <w:t>/</w:t>
            </w:r>
            <w:r w:rsidRPr="005646D9">
              <w:rPr>
                <w:sz w:val="20"/>
                <w:szCs w:val="20"/>
                <w:lang w:eastAsia="zh-CN"/>
              </w:rPr>
              <w:t>千瓦时的湿冷发电机组，发电煤耗高于</w:t>
            </w:r>
            <w:r w:rsidRPr="005646D9">
              <w:rPr>
                <w:sz w:val="20"/>
                <w:szCs w:val="20"/>
                <w:lang w:eastAsia="zh-CN"/>
              </w:rPr>
              <w:t>305</w:t>
            </w:r>
            <w:r w:rsidRPr="005646D9">
              <w:rPr>
                <w:sz w:val="20"/>
                <w:szCs w:val="20"/>
                <w:lang w:eastAsia="zh-CN"/>
              </w:rPr>
              <w:t>克标准煤</w:t>
            </w:r>
            <w:r w:rsidRPr="005646D9">
              <w:rPr>
                <w:sz w:val="20"/>
                <w:szCs w:val="20"/>
                <w:lang w:eastAsia="zh-CN"/>
              </w:rPr>
              <w:t>/</w:t>
            </w:r>
            <w:r w:rsidRPr="005646D9">
              <w:rPr>
                <w:sz w:val="20"/>
                <w:szCs w:val="20"/>
                <w:lang w:eastAsia="zh-CN"/>
              </w:rPr>
              <w:t>千瓦时的空冷发电机组；</w:t>
            </w:r>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800" w:type="pct"/>
            <w:tcBorders>
              <w:top w:val="single" w:sz="4" w:space="0" w:color="auto"/>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c>
          <w:tcPr>
            <w:tcW w:w="799" w:type="pct"/>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限制准入（允许改造升级，接受异地置换）</w:t>
            </w:r>
          </w:p>
        </w:tc>
      </w:tr>
      <w:tr w:rsidR="002C32BB" w:rsidRPr="005646D9" w:rsidTr="00A76730">
        <w:trPr>
          <w:trHeight w:val="285"/>
        </w:trPr>
        <w:tc>
          <w:tcPr>
            <w:tcW w:w="0" w:type="auto"/>
            <w:vMerge/>
            <w:tcBorders>
              <w:top w:val="single" w:sz="4" w:space="0" w:color="auto"/>
              <w:left w:val="single" w:sz="4" w:space="0" w:color="auto"/>
              <w:bottom w:val="single" w:sz="4" w:space="0" w:color="auto"/>
              <w:right w:val="nil"/>
            </w:tcBorders>
            <w:vAlign w:val="center"/>
            <w:hideMark/>
          </w:tcPr>
          <w:p w:rsidR="002C32BB" w:rsidRPr="005646D9" w:rsidRDefault="002C32BB" w:rsidP="00A76730">
            <w:pPr>
              <w:widowControl/>
              <w:rPr>
                <w:rFonts w:eastAsia="方正黑体_GBK"/>
                <w:sz w:val="20"/>
                <w:szCs w:val="20"/>
                <w:lang w:eastAsia="zh-CN"/>
              </w:rPr>
            </w:pPr>
          </w:p>
        </w:tc>
        <w:tc>
          <w:tcPr>
            <w:tcW w:w="1451" w:type="pct"/>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．无下泄生态流量的引水式水力发电；</w:t>
            </w:r>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800" w:type="pct"/>
            <w:tcBorders>
              <w:top w:val="single" w:sz="4" w:space="0" w:color="auto"/>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c>
          <w:tcPr>
            <w:tcW w:w="799" w:type="pct"/>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限制准入</w:t>
            </w:r>
          </w:p>
          <w:p w:rsidR="002C32BB" w:rsidRPr="005646D9" w:rsidRDefault="002C32BB" w:rsidP="00A76730">
            <w:pPr>
              <w:jc w:val="center"/>
              <w:rPr>
                <w:sz w:val="20"/>
                <w:szCs w:val="20"/>
                <w:lang w:eastAsia="zh-CN"/>
              </w:rPr>
            </w:pPr>
            <w:r w:rsidRPr="005646D9">
              <w:rPr>
                <w:sz w:val="20"/>
                <w:szCs w:val="20"/>
                <w:lang w:eastAsia="zh-CN"/>
              </w:rPr>
              <w:t>（允许改造升级）</w:t>
            </w:r>
          </w:p>
        </w:tc>
      </w:tr>
      <w:tr w:rsidR="002C32BB" w:rsidRPr="005646D9" w:rsidTr="00A76730">
        <w:trPr>
          <w:trHeight w:val="570"/>
        </w:trPr>
        <w:tc>
          <w:tcPr>
            <w:tcW w:w="0" w:type="auto"/>
            <w:vMerge/>
            <w:tcBorders>
              <w:top w:val="single" w:sz="4" w:space="0" w:color="auto"/>
              <w:left w:val="single" w:sz="4" w:space="0" w:color="auto"/>
              <w:bottom w:val="single" w:sz="4" w:space="0" w:color="auto"/>
              <w:right w:val="nil"/>
            </w:tcBorders>
            <w:vAlign w:val="center"/>
            <w:hideMark/>
          </w:tcPr>
          <w:p w:rsidR="002C32BB" w:rsidRPr="005646D9" w:rsidRDefault="002C32BB" w:rsidP="00A76730">
            <w:pPr>
              <w:widowControl/>
              <w:rPr>
                <w:rFonts w:eastAsia="方正黑体_GBK"/>
                <w:sz w:val="20"/>
                <w:szCs w:val="20"/>
                <w:lang w:eastAsia="zh-CN"/>
              </w:rPr>
            </w:pPr>
          </w:p>
        </w:tc>
        <w:tc>
          <w:tcPr>
            <w:tcW w:w="1451" w:type="pct"/>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 xml:space="preserve">3. </w:t>
            </w:r>
            <w:r w:rsidRPr="005646D9">
              <w:rPr>
                <w:sz w:val="20"/>
                <w:szCs w:val="20"/>
                <w:lang w:eastAsia="zh-CN"/>
              </w:rPr>
              <w:t>单机</w:t>
            </w:r>
            <w:r w:rsidRPr="005646D9">
              <w:rPr>
                <w:sz w:val="20"/>
                <w:szCs w:val="20"/>
                <w:lang w:eastAsia="zh-CN"/>
              </w:rPr>
              <w:t>10</w:t>
            </w:r>
            <w:r w:rsidRPr="005646D9">
              <w:rPr>
                <w:sz w:val="20"/>
                <w:szCs w:val="20"/>
                <w:lang w:eastAsia="zh-CN"/>
              </w:rPr>
              <w:t>万千瓦以下和设计寿命期满的单机</w:t>
            </w:r>
            <w:r w:rsidRPr="005646D9">
              <w:rPr>
                <w:sz w:val="20"/>
                <w:szCs w:val="20"/>
                <w:lang w:eastAsia="zh-CN"/>
              </w:rPr>
              <w:t>20</w:t>
            </w:r>
            <w:r w:rsidRPr="005646D9">
              <w:rPr>
                <w:sz w:val="20"/>
                <w:szCs w:val="20"/>
                <w:lang w:eastAsia="zh-CN"/>
              </w:rPr>
              <w:t>万千瓦以下常规燃煤火电机组。</w:t>
            </w:r>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800" w:type="pct"/>
            <w:tcBorders>
              <w:top w:val="single" w:sz="4" w:space="0" w:color="auto"/>
              <w:bottom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c>
          <w:tcPr>
            <w:tcW w:w="799" w:type="pct"/>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不予准入</w:t>
            </w:r>
            <w:proofErr w:type="spellEnd"/>
          </w:p>
        </w:tc>
      </w:tr>
      <w:tr w:rsidR="002C32BB" w:rsidRPr="005646D9" w:rsidTr="00A76730">
        <w:trPr>
          <w:trHeight w:val="321"/>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rPr>
            </w:pPr>
            <w:proofErr w:type="spellStart"/>
            <w:r w:rsidRPr="005646D9">
              <w:rPr>
                <w:rFonts w:eastAsia="方正黑体_GBK"/>
                <w:bCs/>
                <w:sz w:val="20"/>
                <w:szCs w:val="20"/>
              </w:rPr>
              <w:t>三十九、批发零售业</w:t>
            </w:r>
            <w:proofErr w:type="spellEnd"/>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single" w:sz="4" w:space="0" w:color="auto"/>
              <w:left w:val="nil"/>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800" w:type="pct"/>
            <w:tcBorders>
              <w:top w:val="single" w:sz="4" w:space="0" w:color="auto"/>
              <w:left w:val="nil"/>
              <w:bottom w:val="single" w:sz="4" w:space="0" w:color="auto"/>
              <w:right w:val="nil"/>
            </w:tcBorders>
            <w:vAlign w:val="center"/>
            <w:hideMark/>
          </w:tcPr>
          <w:p w:rsidR="002C32BB" w:rsidRPr="005646D9" w:rsidRDefault="002C32BB" w:rsidP="00A76730">
            <w:pPr>
              <w:jc w:val="center"/>
              <w:rPr>
                <w:bCs/>
                <w:sz w:val="20"/>
                <w:szCs w:val="20"/>
              </w:rPr>
            </w:pPr>
            <w:r w:rsidRPr="005646D9">
              <w:rPr>
                <w:bCs/>
                <w:sz w:val="20"/>
                <w:szCs w:val="20"/>
              </w:rPr>
              <w:t xml:space="preserve">　</w:t>
            </w:r>
          </w:p>
        </w:tc>
        <w:tc>
          <w:tcPr>
            <w:tcW w:w="799" w:type="pct"/>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rPr>
            </w:pPr>
            <w:r w:rsidRPr="005646D9">
              <w:rPr>
                <w:bCs/>
                <w:sz w:val="20"/>
                <w:szCs w:val="20"/>
              </w:rPr>
              <w:t xml:space="preserve">　</w:t>
            </w:r>
          </w:p>
        </w:tc>
      </w:tr>
      <w:tr w:rsidR="002C32BB" w:rsidRPr="005646D9" w:rsidTr="00A76730">
        <w:trPr>
          <w:trHeight w:val="1909"/>
        </w:trPr>
        <w:tc>
          <w:tcPr>
            <w:tcW w:w="350"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nil"/>
              <w:bottom w:val="single" w:sz="4" w:space="0" w:color="auto"/>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生产资料、生活用品和农副产品等大型批发市场。</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内环以内不予准入；内环以外除物流园区及南岸迎龙、沙坪坝团结村、巴南南彭、九龙坡白市</w:t>
            </w:r>
            <w:proofErr w:type="gramStart"/>
            <w:r w:rsidRPr="005646D9">
              <w:rPr>
                <w:sz w:val="20"/>
                <w:szCs w:val="20"/>
                <w:lang w:eastAsia="zh-CN"/>
              </w:rPr>
              <w:t>驿</w:t>
            </w:r>
            <w:proofErr w:type="gramEnd"/>
            <w:r w:rsidRPr="005646D9">
              <w:rPr>
                <w:sz w:val="20"/>
                <w:szCs w:val="20"/>
                <w:lang w:eastAsia="zh-CN"/>
              </w:rPr>
              <w:t>和西</w:t>
            </w:r>
            <w:proofErr w:type="gramStart"/>
            <w:r w:rsidRPr="005646D9">
              <w:rPr>
                <w:sz w:val="20"/>
                <w:szCs w:val="20"/>
                <w:lang w:eastAsia="zh-CN"/>
              </w:rPr>
              <w:t>彭</w:t>
            </w:r>
            <w:proofErr w:type="gramEnd"/>
            <w:r w:rsidRPr="005646D9">
              <w:rPr>
                <w:sz w:val="20"/>
                <w:szCs w:val="20"/>
                <w:lang w:eastAsia="zh-CN"/>
              </w:rPr>
              <w:t>等市场集聚区允许发展外，其他区域限制（允许改造升级）</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除物流园区允许发展外，其他区域限制（允许改造升级）</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除物流园区允许发展外，其他区域限制（允许改造升级）</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除物流园区及江津</w:t>
            </w:r>
            <w:proofErr w:type="gramStart"/>
            <w:r w:rsidRPr="005646D9">
              <w:rPr>
                <w:sz w:val="20"/>
                <w:szCs w:val="20"/>
                <w:lang w:eastAsia="zh-CN"/>
              </w:rPr>
              <w:t>珞璜</w:t>
            </w:r>
            <w:proofErr w:type="gramEnd"/>
            <w:r w:rsidRPr="005646D9">
              <w:rPr>
                <w:sz w:val="20"/>
                <w:szCs w:val="20"/>
                <w:lang w:eastAsia="zh-CN"/>
              </w:rPr>
              <w:t>、双福等市场集聚区允许发展外，其他区域限制（允许改造升级）</w:t>
            </w:r>
          </w:p>
        </w:tc>
      </w:tr>
      <w:tr w:rsidR="002C32BB" w:rsidRPr="005646D9" w:rsidTr="00A76730">
        <w:trPr>
          <w:trHeight w:val="345"/>
        </w:trPr>
        <w:tc>
          <w:tcPr>
            <w:tcW w:w="1801" w:type="pct"/>
            <w:gridSpan w:val="2"/>
            <w:tcBorders>
              <w:top w:val="single" w:sz="4" w:space="0" w:color="auto"/>
              <w:left w:val="single" w:sz="4" w:space="0" w:color="auto"/>
              <w:bottom w:val="single" w:sz="4" w:space="0" w:color="auto"/>
              <w:right w:val="single" w:sz="4" w:space="0" w:color="auto"/>
            </w:tcBorders>
            <w:vAlign w:val="center"/>
            <w:hideMark/>
          </w:tcPr>
          <w:p w:rsidR="002C32BB" w:rsidRPr="005646D9" w:rsidRDefault="002C32BB" w:rsidP="00A76730">
            <w:pPr>
              <w:rPr>
                <w:rFonts w:eastAsia="方正黑体_GBK"/>
                <w:bCs/>
                <w:sz w:val="20"/>
                <w:szCs w:val="20"/>
                <w:lang w:eastAsia="zh-CN"/>
              </w:rPr>
            </w:pPr>
            <w:r w:rsidRPr="005646D9">
              <w:rPr>
                <w:rFonts w:eastAsia="方正黑体_GBK"/>
                <w:bCs/>
                <w:sz w:val="20"/>
                <w:szCs w:val="20"/>
                <w:lang w:eastAsia="zh-CN"/>
              </w:rPr>
              <w:t>四十、交通运输、仓储和邮政业</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800" w:type="pct"/>
            <w:tcBorders>
              <w:top w:val="nil"/>
              <w:left w:val="nil"/>
              <w:bottom w:val="single" w:sz="4" w:space="0" w:color="auto"/>
              <w:right w:val="nil"/>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c>
          <w:tcPr>
            <w:tcW w:w="799"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bCs/>
                <w:sz w:val="20"/>
                <w:szCs w:val="20"/>
                <w:lang w:eastAsia="zh-CN"/>
              </w:rPr>
            </w:pPr>
            <w:r w:rsidRPr="005646D9">
              <w:rPr>
                <w:bCs/>
                <w:sz w:val="20"/>
                <w:szCs w:val="20"/>
                <w:lang w:eastAsia="zh-CN"/>
              </w:rPr>
              <w:t xml:space="preserve">　</w:t>
            </w:r>
          </w:p>
        </w:tc>
      </w:tr>
      <w:tr w:rsidR="002C32BB" w:rsidRPr="005646D9" w:rsidTr="00A76730">
        <w:trPr>
          <w:trHeight w:val="995"/>
        </w:trPr>
        <w:tc>
          <w:tcPr>
            <w:tcW w:w="350" w:type="pct"/>
            <w:tcBorders>
              <w:top w:val="nil"/>
              <w:left w:val="single" w:sz="4" w:space="0" w:color="auto"/>
              <w:bottom w:val="single" w:sz="4" w:space="0" w:color="auto"/>
              <w:right w:val="single" w:sz="4" w:space="0" w:color="auto"/>
            </w:tcBorders>
            <w:vAlign w:val="center"/>
            <w:hideMark/>
          </w:tcPr>
          <w:p w:rsidR="002C32BB" w:rsidRPr="005646D9" w:rsidRDefault="002C32BB" w:rsidP="00A76730">
            <w:pPr>
              <w:jc w:val="center"/>
              <w:rPr>
                <w:sz w:val="20"/>
                <w:szCs w:val="20"/>
              </w:rPr>
            </w:pPr>
            <w:proofErr w:type="spellStart"/>
            <w:r w:rsidRPr="005646D9">
              <w:rPr>
                <w:sz w:val="20"/>
                <w:szCs w:val="20"/>
              </w:rPr>
              <w:t>其中</w:t>
            </w:r>
            <w:proofErr w:type="spellEnd"/>
          </w:p>
        </w:tc>
        <w:tc>
          <w:tcPr>
            <w:tcW w:w="1451" w:type="pct"/>
            <w:tcBorders>
              <w:top w:val="nil"/>
              <w:left w:val="nil"/>
              <w:bottom w:val="single" w:sz="4" w:space="0" w:color="000000"/>
              <w:right w:val="single" w:sz="4" w:space="0" w:color="auto"/>
            </w:tcBorders>
            <w:vAlign w:val="center"/>
            <w:hideMark/>
          </w:tcPr>
          <w:p w:rsidR="002C32BB" w:rsidRPr="005646D9" w:rsidRDefault="002C32BB" w:rsidP="00A76730">
            <w:pPr>
              <w:rPr>
                <w:sz w:val="20"/>
                <w:szCs w:val="20"/>
                <w:lang w:eastAsia="zh-CN"/>
              </w:rPr>
            </w:pPr>
            <w:r w:rsidRPr="005646D9">
              <w:rPr>
                <w:sz w:val="20"/>
                <w:szCs w:val="20"/>
                <w:lang w:eastAsia="zh-CN"/>
              </w:rPr>
              <w:t>资源占用量大或运输仓储方式落后的物流项目。</w:t>
            </w:r>
          </w:p>
        </w:tc>
        <w:tc>
          <w:tcPr>
            <w:tcW w:w="800" w:type="pct"/>
            <w:tcBorders>
              <w:top w:val="nil"/>
              <w:left w:val="nil"/>
              <w:bottom w:val="single" w:sz="4" w:space="0" w:color="000000"/>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内环以内不予准入；内环以外除物流园区允许发展外，其他区域限制（允许改造升级）</w:t>
            </w:r>
          </w:p>
        </w:tc>
        <w:tc>
          <w:tcPr>
            <w:tcW w:w="800" w:type="pct"/>
            <w:tcBorders>
              <w:top w:val="nil"/>
              <w:left w:val="nil"/>
              <w:bottom w:val="single" w:sz="4" w:space="0" w:color="000000"/>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 xml:space="preserve">　</w:t>
            </w:r>
          </w:p>
        </w:tc>
        <w:tc>
          <w:tcPr>
            <w:tcW w:w="800" w:type="pct"/>
            <w:tcBorders>
              <w:top w:val="nil"/>
              <w:left w:val="nil"/>
              <w:bottom w:val="single" w:sz="4" w:space="0" w:color="000000"/>
              <w:right w:val="nil"/>
            </w:tcBorders>
            <w:vAlign w:val="center"/>
            <w:hideMark/>
          </w:tcPr>
          <w:p w:rsidR="002C32BB" w:rsidRPr="005646D9" w:rsidRDefault="002C32BB" w:rsidP="00A76730">
            <w:pPr>
              <w:jc w:val="center"/>
              <w:rPr>
                <w:sz w:val="20"/>
                <w:szCs w:val="20"/>
                <w:lang w:eastAsia="zh-CN"/>
              </w:rPr>
            </w:pPr>
            <w:r w:rsidRPr="005646D9">
              <w:rPr>
                <w:sz w:val="20"/>
                <w:szCs w:val="20"/>
                <w:lang w:eastAsia="zh-CN"/>
              </w:rPr>
              <w:t xml:space="preserve">　</w:t>
            </w:r>
          </w:p>
        </w:tc>
        <w:tc>
          <w:tcPr>
            <w:tcW w:w="799" w:type="pct"/>
            <w:tcBorders>
              <w:top w:val="nil"/>
              <w:left w:val="single" w:sz="4" w:space="0" w:color="auto"/>
              <w:bottom w:val="single" w:sz="4" w:space="0" w:color="000000"/>
              <w:right w:val="single" w:sz="4" w:space="0" w:color="auto"/>
            </w:tcBorders>
            <w:vAlign w:val="center"/>
            <w:hideMark/>
          </w:tcPr>
          <w:p w:rsidR="002C32BB" w:rsidRPr="005646D9" w:rsidRDefault="002C32BB" w:rsidP="00A76730">
            <w:pPr>
              <w:jc w:val="center"/>
              <w:rPr>
                <w:sz w:val="20"/>
                <w:szCs w:val="20"/>
                <w:lang w:eastAsia="zh-CN"/>
              </w:rPr>
            </w:pPr>
            <w:r w:rsidRPr="005646D9">
              <w:rPr>
                <w:sz w:val="20"/>
                <w:szCs w:val="20"/>
                <w:lang w:eastAsia="zh-CN"/>
              </w:rPr>
              <w:t xml:space="preserve">　</w:t>
            </w:r>
          </w:p>
        </w:tc>
      </w:tr>
      <w:tr w:rsidR="002C32BB" w:rsidRPr="005646D9" w:rsidTr="00A76730">
        <w:trPr>
          <w:trHeight w:val="345"/>
        </w:trPr>
        <w:tc>
          <w:tcPr>
            <w:tcW w:w="350" w:type="pct"/>
            <w:vAlign w:val="center"/>
          </w:tcPr>
          <w:p w:rsidR="002C32BB" w:rsidRPr="005646D9" w:rsidRDefault="002C32BB" w:rsidP="00A76730">
            <w:pPr>
              <w:jc w:val="right"/>
              <w:rPr>
                <w:sz w:val="20"/>
                <w:szCs w:val="20"/>
              </w:rPr>
            </w:pPr>
            <w:proofErr w:type="spellStart"/>
            <w:r w:rsidRPr="005646D9">
              <w:rPr>
                <w:sz w:val="20"/>
                <w:szCs w:val="20"/>
              </w:rPr>
              <w:t>说明</w:t>
            </w:r>
            <w:proofErr w:type="spellEnd"/>
            <w:r w:rsidRPr="005646D9">
              <w:rPr>
                <w:sz w:val="20"/>
                <w:szCs w:val="20"/>
              </w:rPr>
              <w:t>：</w:t>
            </w:r>
          </w:p>
        </w:tc>
        <w:tc>
          <w:tcPr>
            <w:tcW w:w="4650" w:type="pct"/>
            <w:gridSpan w:val="5"/>
            <w:tcBorders>
              <w:top w:val="single" w:sz="4" w:space="0" w:color="000000"/>
              <w:left w:val="nil"/>
              <w:bottom w:val="nil"/>
              <w:right w:val="nil"/>
            </w:tcBorders>
            <w:vAlign w:val="center"/>
          </w:tcPr>
          <w:p w:rsidR="002C32BB" w:rsidRPr="005646D9" w:rsidRDefault="002C32BB" w:rsidP="00A76730">
            <w:pPr>
              <w:rPr>
                <w:sz w:val="20"/>
                <w:szCs w:val="20"/>
                <w:lang w:eastAsia="zh-CN"/>
              </w:rPr>
            </w:pPr>
            <w:r w:rsidRPr="005646D9">
              <w:rPr>
                <w:sz w:val="20"/>
                <w:szCs w:val="20"/>
                <w:lang w:eastAsia="zh-CN"/>
              </w:rPr>
              <w:t>1</w:t>
            </w:r>
            <w:r w:rsidRPr="005646D9">
              <w:rPr>
                <w:sz w:val="20"/>
                <w:szCs w:val="20"/>
                <w:lang w:eastAsia="zh-CN"/>
              </w:rPr>
              <w:t>．空格</w:t>
            </w:r>
            <w:r w:rsidRPr="005646D9">
              <w:rPr>
                <w:sz w:val="20"/>
                <w:szCs w:val="20"/>
                <w:lang w:eastAsia="zh-CN"/>
              </w:rPr>
              <w:t>——</w:t>
            </w:r>
            <w:r w:rsidRPr="005646D9">
              <w:rPr>
                <w:sz w:val="20"/>
                <w:szCs w:val="20"/>
                <w:lang w:eastAsia="zh-CN"/>
              </w:rPr>
              <w:t>允许发展，但应符合全市统一的产业投资要求。</w:t>
            </w:r>
          </w:p>
        </w:tc>
      </w:tr>
      <w:tr w:rsidR="002C32BB" w:rsidRPr="005646D9" w:rsidTr="00A76730">
        <w:trPr>
          <w:trHeight w:val="345"/>
        </w:trPr>
        <w:tc>
          <w:tcPr>
            <w:tcW w:w="350" w:type="pct"/>
            <w:vAlign w:val="center"/>
            <w:hideMark/>
          </w:tcPr>
          <w:p w:rsidR="002C32BB" w:rsidRPr="005646D9" w:rsidRDefault="002C32BB" w:rsidP="00A76730">
            <w:pPr>
              <w:widowControl/>
              <w:rPr>
                <w:sz w:val="20"/>
                <w:szCs w:val="20"/>
                <w:lang w:eastAsia="zh-CN"/>
              </w:rPr>
            </w:pPr>
          </w:p>
        </w:tc>
        <w:tc>
          <w:tcPr>
            <w:tcW w:w="4650" w:type="pct"/>
            <w:gridSpan w:val="5"/>
            <w:vAlign w:val="center"/>
            <w:hideMark/>
          </w:tcPr>
          <w:p w:rsidR="002C32BB" w:rsidRPr="005646D9" w:rsidRDefault="002C32BB" w:rsidP="00A76730">
            <w:pPr>
              <w:rPr>
                <w:sz w:val="20"/>
                <w:szCs w:val="20"/>
                <w:lang w:eastAsia="zh-CN"/>
              </w:rPr>
            </w:pPr>
            <w:r w:rsidRPr="005646D9">
              <w:rPr>
                <w:sz w:val="20"/>
                <w:szCs w:val="20"/>
                <w:lang w:eastAsia="zh-CN"/>
              </w:rPr>
              <w:t>2</w:t>
            </w:r>
            <w:r w:rsidRPr="005646D9">
              <w:rPr>
                <w:sz w:val="20"/>
                <w:szCs w:val="20"/>
                <w:lang w:eastAsia="zh-CN"/>
              </w:rPr>
              <w:t>．不予准入</w:t>
            </w:r>
            <w:r w:rsidRPr="005646D9">
              <w:rPr>
                <w:sz w:val="20"/>
                <w:szCs w:val="20"/>
                <w:lang w:eastAsia="zh-CN"/>
              </w:rPr>
              <w:t>——</w:t>
            </w:r>
            <w:r w:rsidRPr="005646D9">
              <w:rPr>
                <w:sz w:val="20"/>
                <w:szCs w:val="20"/>
                <w:lang w:eastAsia="zh-CN"/>
              </w:rPr>
              <w:t>本区域内不得新建、扩建该类项目。国家和市明确淘汰的产业执行有关规定。</w:t>
            </w:r>
          </w:p>
        </w:tc>
      </w:tr>
      <w:tr w:rsidR="002C32BB" w:rsidRPr="005646D9" w:rsidTr="00A76730">
        <w:trPr>
          <w:trHeight w:val="345"/>
        </w:trPr>
        <w:tc>
          <w:tcPr>
            <w:tcW w:w="350" w:type="pct"/>
            <w:vAlign w:val="center"/>
            <w:hideMark/>
          </w:tcPr>
          <w:p w:rsidR="002C32BB" w:rsidRPr="005646D9" w:rsidRDefault="002C32BB" w:rsidP="00A76730">
            <w:pPr>
              <w:widowControl/>
              <w:rPr>
                <w:sz w:val="20"/>
                <w:szCs w:val="20"/>
                <w:lang w:eastAsia="zh-CN"/>
              </w:rPr>
            </w:pPr>
          </w:p>
        </w:tc>
        <w:tc>
          <w:tcPr>
            <w:tcW w:w="4650" w:type="pct"/>
            <w:gridSpan w:val="5"/>
            <w:vAlign w:val="center"/>
            <w:hideMark/>
          </w:tcPr>
          <w:p w:rsidR="002C32BB" w:rsidRPr="005646D9" w:rsidRDefault="002C32BB" w:rsidP="00A76730">
            <w:pPr>
              <w:rPr>
                <w:sz w:val="20"/>
                <w:szCs w:val="20"/>
                <w:lang w:eastAsia="zh-CN"/>
              </w:rPr>
            </w:pPr>
            <w:r w:rsidRPr="005646D9">
              <w:rPr>
                <w:sz w:val="20"/>
                <w:szCs w:val="20"/>
                <w:lang w:eastAsia="zh-CN"/>
              </w:rPr>
              <w:t>3</w:t>
            </w:r>
            <w:r w:rsidRPr="005646D9">
              <w:rPr>
                <w:sz w:val="20"/>
                <w:szCs w:val="20"/>
                <w:lang w:eastAsia="zh-CN"/>
              </w:rPr>
              <w:t>．限制准入（允许改造升级）</w:t>
            </w:r>
            <w:r w:rsidRPr="005646D9">
              <w:rPr>
                <w:sz w:val="20"/>
                <w:szCs w:val="20"/>
                <w:lang w:eastAsia="zh-CN"/>
              </w:rPr>
              <w:t>——</w:t>
            </w:r>
            <w:r w:rsidRPr="005646D9">
              <w:rPr>
                <w:sz w:val="20"/>
                <w:szCs w:val="20"/>
                <w:lang w:eastAsia="zh-CN"/>
              </w:rPr>
              <w:t>本区域内不得新建该类项目，对已有该类项目允许改造升级。</w:t>
            </w:r>
            <w:r w:rsidRPr="005646D9">
              <w:rPr>
                <w:sz w:val="20"/>
                <w:szCs w:val="20"/>
                <w:lang w:eastAsia="zh-CN"/>
              </w:rPr>
              <w:br w:type="page"/>
            </w:r>
          </w:p>
        </w:tc>
      </w:tr>
      <w:tr w:rsidR="002C32BB" w:rsidRPr="005646D9" w:rsidTr="00A76730">
        <w:trPr>
          <w:trHeight w:val="345"/>
        </w:trPr>
        <w:tc>
          <w:tcPr>
            <w:tcW w:w="350" w:type="pct"/>
            <w:vAlign w:val="center"/>
            <w:hideMark/>
          </w:tcPr>
          <w:p w:rsidR="002C32BB" w:rsidRDefault="002C32BB" w:rsidP="00A76730">
            <w:pPr>
              <w:widowControl/>
              <w:rPr>
                <w:sz w:val="20"/>
                <w:szCs w:val="20"/>
                <w:lang w:eastAsia="zh-CN"/>
              </w:rPr>
            </w:pPr>
          </w:p>
          <w:p w:rsidR="002C32BB" w:rsidRPr="005646D9" w:rsidRDefault="002C32BB" w:rsidP="00A76730">
            <w:pPr>
              <w:widowControl/>
              <w:rPr>
                <w:sz w:val="20"/>
                <w:szCs w:val="20"/>
                <w:lang w:eastAsia="zh-CN"/>
              </w:rPr>
            </w:pPr>
          </w:p>
        </w:tc>
        <w:tc>
          <w:tcPr>
            <w:tcW w:w="4650" w:type="pct"/>
            <w:gridSpan w:val="5"/>
            <w:vAlign w:val="center"/>
            <w:hideMark/>
          </w:tcPr>
          <w:p w:rsidR="002C32BB" w:rsidRPr="005646D9" w:rsidRDefault="002C32BB" w:rsidP="00A76730">
            <w:pPr>
              <w:rPr>
                <w:sz w:val="20"/>
                <w:szCs w:val="20"/>
                <w:lang w:eastAsia="zh-CN"/>
              </w:rPr>
            </w:pPr>
            <w:r w:rsidRPr="005646D9">
              <w:rPr>
                <w:sz w:val="20"/>
                <w:szCs w:val="20"/>
                <w:lang w:eastAsia="zh-CN"/>
              </w:rPr>
              <w:t>4</w:t>
            </w:r>
            <w:r w:rsidRPr="005646D9">
              <w:rPr>
                <w:sz w:val="20"/>
                <w:szCs w:val="20"/>
                <w:lang w:eastAsia="zh-CN"/>
              </w:rPr>
              <w:t>．限制准入（允许改造升级，接受异地置换）</w:t>
            </w:r>
            <w:r w:rsidRPr="005646D9">
              <w:rPr>
                <w:sz w:val="20"/>
                <w:szCs w:val="20"/>
                <w:lang w:eastAsia="zh-CN"/>
              </w:rPr>
              <w:t>——</w:t>
            </w:r>
            <w:r w:rsidRPr="005646D9">
              <w:rPr>
                <w:sz w:val="20"/>
                <w:szCs w:val="20"/>
                <w:lang w:eastAsia="zh-CN"/>
              </w:rPr>
              <w:t>本区域内不得单独新建该类项目，对已有该类项目可就地进行改造升级，也可接受来自其他区域的改造升级。</w:t>
            </w:r>
          </w:p>
        </w:tc>
      </w:tr>
    </w:tbl>
    <w:p w:rsidR="002C32BB" w:rsidRPr="005646D9" w:rsidRDefault="002C32BB" w:rsidP="002C32BB">
      <w:pPr>
        <w:pStyle w:val="10"/>
        <w:widowControl w:val="0"/>
        <w:spacing w:before="0" w:beforeAutospacing="0" w:after="0" w:afterAutospacing="0"/>
        <w:rPr>
          <w:rFonts w:ascii="Times New Roman" w:eastAsia="方正仿宋_GBK" w:hAnsi="Times New Roman" w:cs="Times New Roman"/>
          <w:b/>
          <w:szCs w:val="32"/>
        </w:rPr>
        <w:sectPr w:rsidR="002C32BB" w:rsidRPr="005646D9" w:rsidSect="004333BE">
          <w:footerReference w:type="even" r:id="rId6"/>
          <w:footerReference w:type="default" r:id="rId7"/>
          <w:pgSz w:w="16838" w:h="11906" w:orient="landscape"/>
          <w:pgMar w:top="2098" w:right="1531" w:bottom="1985" w:left="1531" w:header="851" w:footer="992" w:gutter="0"/>
          <w:pgNumType w:fmt="numberInDash"/>
          <w:cols w:space="425"/>
          <w:docGrid w:type="lines" w:linePitch="312"/>
        </w:sectPr>
      </w:pPr>
    </w:p>
    <w:p w:rsidR="002C32BB" w:rsidRPr="004333BE" w:rsidRDefault="002C32BB" w:rsidP="00293056">
      <w:pPr>
        <w:rPr>
          <w:rFonts w:ascii="方正仿宋_GBK" w:eastAsia="方正仿宋_GBK"/>
          <w:sz w:val="28"/>
          <w:szCs w:val="28"/>
          <w:lang w:eastAsia="zh-CN"/>
        </w:rPr>
      </w:pPr>
    </w:p>
    <w:sectPr w:rsidR="002C32BB" w:rsidRPr="004333BE" w:rsidSect="00293056">
      <w:headerReference w:type="even" r:id="rId8"/>
      <w:headerReference w:type="default" r:id="rId9"/>
      <w:footerReference w:type="even" r:id="rId10"/>
      <w:footerReference w:type="default" r:id="rId11"/>
      <w:pgSz w:w="16838" w:h="11906" w:orient="landscape"/>
      <w:pgMar w:top="1531" w:right="1814" w:bottom="1531" w:left="209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97B" w:rsidRDefault="0012697B" w:rsidP="00CC4647">
      <w:r>
        <w:separator/>
      </w:r>
    </w:p>
  </w:endnote>
  <w:endnote w:type="continuationSeparator" w:id="1">
    <w:p w:rsidR="0012697B" w:rsidRDefault="0012697B" w:rsidP="00CC46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6159"/>
      <w:docPartObj>
        <w:docPartGallery w:val="Page Numbers (Bottom of Page)"/>
        <w:docPartUnique/>
      </w:docPartObj>
    </w:sdtPr>
    <w:sdtContent>
      <w:p w:rsidR="004333BE" w:rsidRDefault="00AA2B4D">
        <w:pPr>
          <w:pStyle w:val="a4"/>
        </w:pPr>
        <w:r w:rsidRPr="004333BE">
          <w:rPr>
            <w:rFonts w:asciiTheme="minorEastAsia" w:hAnsiTheme="minorEastAsia"/>
            <w:sz w:val="28"/>
            <w:szCs w:val="28"/>
          </w:rPr>
          <w:fldChar w:fldCharType="begin"/>
        </w:r>
        <w:r w:rsidR="004333BE" w:rsidRPr="004333BE">
          <w:rPr>
            <w:rFonts w:asciiTheme="minorEastAsia" w:hAnsiTheme="minorEastAsia"/>
            <w:sz w:val="28"/>
            <w:szCs w:val="28"/>
          </w:rPr>
          <w:instrText xml:space="preserve"> PAGE   \* MERGEFORMAT </w:instrText>
        </w:r>
        <w:r w:rsidRPr="004333BE">
          <w:rPr>
            <w:rFonts w:asciiTheme="minorEastAsia" w:hAnsiTheme="minorEastAsia"/>
            <w:sz w:val="28"/>
            <w:szCs w:val="28"/>
          </w:rPr>
          <w:fldChar w:fldCharType="separate"/>
        </w:r>
        <w:r w:rsidR="00293056" w:rsidRPr="00293056">
          <w:rPr>
            <w:rFonts w:asciiTheme="minorEastAsia" w:hAnsiTheme="minorEastAsia"/>
            <w:noProof/>
            <w:sz w:val="28"/>
            <w:szCs w:val="28"/>
            <w:lang w:val="zh-CN"/>
          </w:rPr>
          <w:t>-</w:t>
        </w:r>
        <w:r w:rsidR="00293056">
          <w:rPr>
            <w:rFonts w:asciiTheme="minorEastAsia" w:hAnsiTheme="minorEastAsia"/>
            <w:noProof/>
            <w:sz w:val="28"/>
            <w:szCs w:val="28"/>
          </w:rPr>
          <w:t xml:space="preserve"> 12 -</w:t>
        </w:r>
        <w:r w:rsidRPr="004333BE">
          <w:rPr>
            <w:rFonts w:asciiTheme="minorEastAsia" w:hAnsiTheme="minorEastAsia"/>
            <w:sz w:val="28"/>
            <w:szCs w:val="28"/>
          </w:rPr>
          <w:fldChar w:fldCharType="end"/>
        </w:r>
      </w:p>
    </w:sdtContent>
  </w:sdt>
  <w:p w:rsidR="004333BE" w:rsidRDefault="004333B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6164"/>
      <w:docPartObj>
        <w:docPartGallery w:val="Page Numbers (Bottom of Page)"/>
        <w:docPartUnique/>
      </w:docPartObj>
    </w:sdtPr>
    <w:sdtEndPr>
      <w:rPr>
        <w:rFonts w:asciiTheme="minorEastAsia" w:hAnsiTheme="minorEastAsia"/>
        <w:sz w:val="28"/>
        <w:szCs w:val="28"/>
      </w:rPr>
    </w:sdtEndPr>
    <w:sdtContent>
      <w:p w:rsidR="004333BE" w:rsidRPr="004333BE" w:rsidRDefault="00AA2B4D">
        <w:pPr>
          <w:pStyle w:val="a4"/>
          <w:jc w:val="right"/>
          <w:rPr>
            <w:rFonts w:asciiTheme="minorEastAsia" w:hAnsiTheme="minorEastAsia"/>
            <w:sz w:val="28"/>
            <w:szCs w:val="28"/>
          </w:rPr>
        </w:pPr>
        <w:r w:rsidRPr="004333BE">
          <w:rPr>
            <w:rFonts w:asciiTheme="minorEastAsia" w:hAnsiTheme="minorEastAsia"/>
            <w:sz w:val="28"/>
            <w:szCs w:val="28"/>
          </w:rPr>
          <w:fldChar w:fldCharType="begin"/>
        </w:r>
        <w:r w:rsidR="004333BE" w:rsidRPr="004333BE">
          <w:rPr>
            <w:rFonts w:asciiTheme="minorEastAsia" w:hAnsiTheme="minorEastAsia"/>
            <w:sz w:val="28"/>
            <w:szCs w:val="28"/>
          </w:rPr>
          <w:instrText xml:space="preserve"> PAGE   \* MERGEFORMAT </w:instrText>
        </w:r>
        <w:r w:rsidRPr="004333BE">
          <w:rPr>
            <w:rFonts w:asciiTheme="minorEastAsia" w:hAnsiTheme="minorEastAsia"/>
            <w:sz w:val="28"/>
            <w:szCs w:val="28"/>
          </w:rPr>
          <w:fldChar w:fldCharType="separate"/>
        </w:r>
        <w:r w:rsidR="00293056" w:rsidRPr="00293056">
          <w:rPr>
            <w:rFonts w:asciiTheme="minorEastAsia" w:hAnsiTheme="minorEastAsia"/>
            <w:noProof/>
            <w:sz w:val="28"/>
            <w:szCs w:val="28"/>
            <w:lang w:val="zh-CN"/>
          </w:rPr>
          <w:t>-</w:t>
        </w:r>
        <w:r w:rsidR="00293056">
          <w:rPr>
            <w:rFonts w:asciiTheme="minorEastAsia" w:hAnsiTheme="minorEastAsia"/>
            <w:noProof/>
            <w:sz w:val="28"/>
            <w:szCs w:val="28"/>
          </w:rPr>
          <w:t xml:space="preserve"> 11 -</w:t>
        </w:r>
        <w:r w:rsidRPr="004333BE">
          <w:rPr>
            <w:rFonts w:asciiTheme="minorEastAsia" w:hAnsiTheme="minorEastAsia"/>
            <w:sz w:val="28"/>
            <w:szCs w:val="28"/>
          </w:rPr>
          <w:fldChar w:fldCharType="end"/>
        </w:r>
      </w:p>
    </w:sdtContent>
  </w:sdt>
  <w:p w:rsidR="002C32BB" w:rsidRDefault="002C32B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5A" w:rsidRPr="00147A5B" w:rsidRDefault="00C81BE5" w:rsidP="00147A5B">
    <w:pPr>
      <w:pStyle w:val="a4"/>
      <w:ind w:firstLineChars="100" w:firstLine="280"/>
      <w:rPr>
        <w:rFonts w:asciiTheme="minorEastAsia" w:hAnsiTheme="minorEastAsia"/>
        <w:sz w:val="28"/>
        <w:szCs w:val="28"/>
      </w:rPr>
    </w:pPr>
    <w:r w:rsidRPr="00A401D7">
      <w:rPr>
        <w:rFonts w:asciiTheme="minorEastAsia" w:hAnsiTheme="minorEastAsia" w:hint="eastAsia"/>
        <w:sz w:val="28"/>
        <w:szCs w:val="28"/>
      </w:rPr>
      <w:t>—</w:t>
    </w:r>
    <w:r w:rsidR="00AA2B4D" w:rsidRPr="00A401D7">
      <w:rPr>
        <w:rFonts w:asciiTheme="minorEastAsia" w:hAnsiTheme="minorEastAsia"/>
        <w:sz w:val="28"/>
        <w:szCs w:val="28"/>
      </w:rPr>
      <w:fldChar w:fldCharType="begin"/>
    </w:r>
    <w:r w:rsidRPr="00A401D7">
      <w:rPr>
        <w:rFonts w:asciiTheme="minorEastAsia" w:hAnsiTheme="minorEastAsia"/>
        <w:sz w:val="28"/>
        <w:szCs w:val="28"/>
      </w:rPr>
      <w:instrText>PAGE   \* MERGEFORMAT</w:instrText>
    </w:r>
    <w:r w:rsidR="00AA2B4D" w:rsidRPr="00A401D7">
      <w:rPr>
        <w:rFonts w:asciiTheme="minorEastAsia" w:hAnsiTheme="minorEastAsia"/>
        <w:sz w:val="28"/>
        <w:szCs w:val="28"/>
      </w:rPr>
      <w:fldChar w:fldCharType="separate"/>
    </w:r>
    <w:r w:rsidR="00293056" w:rsidRPr="00293056">
      <w:rPr>
        <w:rFonts w:asciiTheme="minorEastAsia" w:eastAsia="宋体" w:hAnsiTheme="minorEastAsia"/>
        <w:noProof/>
        <w:sz w:val="28"/>
        <w:szCs w:val="28"/>
        <w:lang w:val="zh-CN"/>
      </w:rPr>
      <w:t>14</w:t>
    </w:r>
    <w:r w:rsidR="00AA2B4D" w:rsidRPr="00A401D7">
      <w:rPr>
        <w:rFonts w:asciiTheme="minorEastAsia" w:hAnsiTheme="minorEastAsia"/>
        <w:sz w:val="28"/>
        <w:szCs w:val="28"/>
      </w:rPr>
      <w:fldChar w:fldCharType="end"/>
    </w:r>
    <w:r w:rsidRPr="00A401D7">
      <w:rPr>
        <w:rFonts w:asciiTheme="minorEastAsia" w:hAnsiTheme="minorEastAsia"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82" w:rsidRDefault="00C81BE5">
    <w:pPr>
      <w:pStyle w:val="a4"/>
      <w:ind w:right="280"/>
      <w:jc w:val="right"/>
      <w:rPr>
        <w:rFonts w:asciiTheme="minorEastAsia" w:hAnsiTheme="minorEastAsia"/>
        <w:sz w:val="28"/>
        <w:szCs w:val="28"/>
      </w:rPr>
    </w:pPr>
    <w:r w:rsidRPr="004035D3">
      <w:rPr>
        <w:rFonts w:asciiTheme="minorEastAsia" w:hAnsiTheme="minorEastAsia" w:hint="eastAsia"/>
        <w:sz w:val="28"/>
        <w:szCs w:val="28"/>
      </w:rPr>
      <w:t>—</w:t>
    </w:r>
    <w:r w:rsidR="00AA2B4D" w:rsidRPr="004035D3">
      <w:rPr>
        <w:rFonts w:asciiTheme="minorEastAsia" w:hAnsiTheme="minorEastAsia"/>
        <w:sz w:val="28"/>
        <w:szCs w:val="28"/>
      </w:rPr>
      <w:fldChar w:fldCharType="begin"/>
    </w:r>
    <w:r w:rsidRPr="004035D3">
      <w:rPr>
        <w:rFonts w:asciiTheme="minorEastAsia" w:hAnsiTheme="minorEastAsia"/>
        <w:sz w:val="28"/>
        <w:szCs w:val="28"/>
      </w:rPr>
      <w:instrText>PAGE   \* MERGEFORMAT</w:instrText>
    </w:r>
    <w:r w:rsidR="00AA2B4D" w:rsidRPr="004035D3">
      <w:rPr>
        <w:rFonts w:asciiTheme="minorEastAsia" w:hAnsiTheme="minorEastAsia"/>
        <w:sz w:val="28"/>
        <w:szCs w:val="28"/>
      </w:rPr>
      <w:fldChar w:fldCharType="separate"/>
    </w:r>
    <w:r w:rsidR="00293056" w:rsidRPr="00293056">
      <w:rPr>
        <w:rFonts w:asciiTheme="minorEastAsia" w:hAnsiTheme="minorEastAsia"/>
        <w:noProof/>
        <w:sz w:val="28"/>
        <w:szCs w:val="28"/>
        <w:lang w:val="zh-CN"/>
      </w:rPr>
      <w:t>13</w:t>
    </w:r>
    <w:r w:rsidR="00AA2B4D" w:rsidRPr="004035D3">
      <w:rPr>
        <w:rFonts w:asciiTheme="minorEastAsia" w:hAnsiTheme="minorEastAsia"/>
        <w:sz w:val="28"/>
        <w:szCs w:val="28"/>
      </w:rPr>
      <w:fldChar w:fldCharType="end"/>
    </w:r>
    <w:r w:rsidRPr="004035D3">
      <w:rPr>
        <w:rFonts w:asciiTheme="minorEastAsia" w:hAnsiTheme="minorEastAsia"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97B" w:rsidRDefault="0012697B" w:rsidP="00CC4647">
      <w:r>
        <w:separator/>
      </w:r>
    </w:p>
  </w:footnote>
  <w:footnote w:type="continuationSeparator" w:id="1">
    <w:p w:rsidR="0012697B" w:rsidRDefault="0012697B" w:rsidP="00CC4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82" w:rsidRDefault="0029305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82" w:rsidRDefault="0029305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647"/>
    <w:rsid w:val="00071C7B"/>
    <w:rsid w:val="000D66ED"/>
    <w:rsid w:val="000F0B63"/>
    <w:rsid w:val="0012697B"/>
    <w:rsid w:val="001B0C5E"/>
    <w:rsid w:val="002915E6"/>
    <w:rsid w:val="00293056"/>
    <w:rsid w:val="002B0424"/>
    <w:rsid w:val="002C32BB"/>
    <w:rsid w:val="00375578"/>
    <w:rsid w:val="003C1BFB"/>
    <w:rsid w:val="004015DA"/>
    <w:rsid w:val="00412A48"/>
    <w:rsid w:val="00424277"/>
    <w:rsid w:val="004333BE"/>
    <w:rsid w:val="00466012"/>
    <w:rsid w:val="004C662D"/>
    <w:rsid w:val="005621E2"/>
    <w:rsid w:val="006C1372"/>
    <w:rsid w:val="007119F5"/>
    <w:rsid w:val="00784B68"/>
    <w:rsid w:val="007B64E9"/>
    <w:rsid w:val="007D04A5"/>
    <w:rsid w:val="007E7042"/>
    <w:rsid w:val="008F1ACB"/>
    <w:rsid w:val="00910111"/>
    <w:rsid w:val="009404D8"/>
    <w:rsid w:val="00993964"/>
    <w:rsid w:val="009968B8"/>
    <w:rsid w:val="00997150"/>
    <w:rsid w:val="00AA2B4D"/>
    <w:rsid w:val="00AD3117"/>
    <w:rsid w:val="00AE67CC"/>
    <w:rsid w:val="00B43F25"/>
    <w:rsid w:val="00BE7D50"/>
    <w:rsid w:val="00BF4993"/>
    <w:rsid w:val="00C81BE5"/>
    <w:rsid w:val="00CB2B16"/>
    <w:rsid w:val="00CC4647"/>
    <w:rsid w:val="00D11203"/>
    <w:rsid w:val="00D3273E"/>
    <w:rsid w:val="00DD671B"/>
    <w:rsid w:val="00DE5BB8"/>
    <w:rsid w:val="00E3292C"/>
    <w:rsid w:val="00E5585B"/>
    <w:rsid w:val="00F2626A"/>
    <w:rsid w:val="00F65E83"/>
    <w:rsid w:val="00F740BF"/>
    <w:rsid w:val="00FA1A78"/>
    <w:rsid w:val="00FB71CD"/>
    <w:rsid w:val="00FF6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647"/>
    <w:pPr>
      <w:widowControl w:val="0"/>
    </w:pPr>
    <w:rPr>
      <w:rFonts w:ascii="Calibri" w:eastAsia="宋体" w:hAnsi="Calibri" w:cs="Times New Roman"/>
      <w:kern w:val="0"/>
      <w:sz w:val="22"/>
      <w:lang w:eastAsia="en-US"/>
    </w:rPr>
  </w:style>
  <w:style w:type="paragraph" w:styleId="1">
    <w:name w:val="heading 1"/>
    <w:basedOn w:val="a"/>
    <w:link w:val="1Char"/>
    <w:uiPriority w:val="99"/>
    <w:qFormat/>
    <w:rsid w:val="00CC4647"/>
    <w:pPr>
      <w:outlineLvl w:val="0"/>
    </w:pPr>
    <w:rPr>
      <w:rFonts w:ascii="Arial Unicode MS" w:hAnsi="Arial Unicode MS"/>
      <w:sz w:val="44"/>
      <w:szCs w:val="44"/>
    </w:rPr>
  </w:style>
  <w:style w:type="paragraph" w:styleId="2">
    <w:name w:val="heading 2"/>
    <w:basedOn w:val="a"/>
    <w:next w:val="a"/>
    <w:link w:val="2Char"/>
    <w:uiPriority w:val="99"/>
    <w:qFormat/>
    <w:rsid w:val="00CC464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64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CC4647"/>
    <w:rPr>
      <w:sz w:val="18"/>
      <w:szCs w:val="18"/>
    </w:rPr>
  </w:style>
  <w:style w:type="paragraph" w:styleId="a4">
    <w:name w:val="footer"/>
    <w:basedOn w:val="a"/>
    <w:link w:val="Char0"/>
    <w:uiPriority w:val="99"/>
    <w:unhideWhenUsed/>
    <w:rsid w:val="00CC4647"/>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CC4647"/>
    <w:rPr>
      <w:sz w:val="18"/>
      <w:szCs w:val="18"/>
    </w:rPr>
  </w:style>
  <w:style w:type="character" w:customStyle="1" w:styleId="1Char">
    <w:name w:val="标题 1 Char"/>
    <w:basedOn w:val="a0"/>
    <w:link w:val="1"/>
    <w:uiPriority w:val="99"/>
    <w:rsid w:val="00CC4647"/>
    <w:rPr>
      <w:rFonts w:ascii="Arial Unicode MS" w:eastAsia="宋体" w:hAnsi="Arial Unicode MS" w:cs="Times New Roman"/>
      <w:kern w:val="0"/>
      <w:sz w:val="44"/>
      <w:szCs w:val="44"/>
      <w:lang w:eastAsia="en-US"/>
    </w:rPr>
  </w:style>
  <w:style w:type="character" w:customStyle="1" w:styleId="2Char">
    <w:name w:val="标题 2 Char"/>
    <w:basedOn w:val="a0"/>
    <w:link w:val="2"/>
    <w:uiPriority w:val="99"/>
    <w:rsid w:val="00CC4647"/>
    <w:rPr>
      <w:rFonts w:ascii="Cambria" w:eastAsia="宋体" w:hAnsi="Cambria" w:cs="Times New Roman"/>
      <w:b/>
      <w:bCs/>
      <w:kern w:val="0"/>
      <w:sz w:val="32"/>
      <w:szCs w:val="32"/>
      <w:lang w:eastAsia="en-US"/>
    </w:rPr>
  </w:style>
  <w:style w:type="paragraph" w:styleId="a5">
    <w:name w:val="Body Text"/>
    <w:basedOn w:val="a"/>
    <w:link w:val="Char1"/>
    <w:uiPriority w:val="99"/>
    <w:rsid w:val="00CC4647"/>
    <w:pPr>
      <w:ind w:left="111"/>
    </w:pPr>
    <w:rPr>
      <w:rFonts w:ascii="Arial Unicode MS" w:hAnsi="Arial Unicode MS"/>
      <w:sz w:val="32"/>
      <w:szCs w:val="32"/>
    </w:rPr>
  </w:style>
  <w:style w:type="character" w:customStyle="1" w:styleId="Char1">
    <w:name w:val="正文文本 Char"/>
    <w:basedOn w:val="a0"/>
    <w:link w:val="a5"/>
    <w:uiPriority w:val="99"/>
    <w:rsid w:val="00CC4647"/>
    <w:rPr>
      <w:rFonts w:ascii="Arial Unicode MS" w:eastAsia="宋体" w:hAnsi="Arial Unicode MS" w:cs="Times New Roman"/>
      <w:kern w:val="0"/>
      <w:sz w:val="32"/>
      <w:szCs w:val="32"/>
      <w:lang w:eastAsia="en-US"/>
    </w:rPr>
  </w:style>
  <w:style w:type="paragraph" w:styleId="a6">
    <w:name w:val="Date"/>
    <w:basedOn w:val="a"/>
    <w:next w:val="a"/>
    <w:link w:val="Char2"/>
    <w:uiPriority w:val="99"/>
    <w:rsid w:val="00CC4647"/>
    <w:pPr>
      <w:jc w:val="both"/>
    </w:pPr>
    <w:rPr>
      <w:rFonts w:ascii="Times New Roman" w:eastAsia="方正仿宋_GBK" w:hAnsi="Times New Roman"/>
      <w:kern w:val="2"/>
      <w:sz w:val="32"/>
      <w:szCs w:val="20"/>
      <w:lang w:eastAsia="zh-CN"/>
    </w:rPr>
  </w:style>
  <w:style w:type="character" w:customStyle="1" w:styleId="Char2">
    <w:name w:val="日期 Char"/>
    <w:basedOn w:val="a0"/>
    <w:link w:val="a6"/>
    <w:uiPriority w:val="99"/>
    <w:rsid w:val="00CC4647"/>
    <w:rPr>
      <w:rFonts w:ascii="Times New Roman" w:eastAsia="方正仿宋_GBK" w:hAnsi="Times New Roman" w:cs="Times New Roman"/>
      <w:sz w:val="32"/>
      <w:szCs w:val="20"/>
    </w:rPr>
  </w:style>
  <w:style w:type="paragraph" w:customStyle="1" w:styleId="TableParagraph">
    <w:name w:val="Table Paragraph"/>
    <w:basedOn w:val="a"/>
    <w:uiPriority w:val="99"/>
    <w:rsid w:val="00CC4647"/>
  </w:style>
  <w:style w:type="paragraph" w:styleId="a7">
    <w:name w:val="Balloon Text"/>
    <w:basedOn w:val="a"/>
    <w:link w:val="Char3"/>
    <w:uiPriority w:val="99"/>
    <w:semiHidden/>
    <w:unhideWhenUsed/>
    <w:rsid w:val="00CC4647"/>
    <w:rPr>
      <w:sz w:val="18"/>
      <w:szCs w:val="18"/>
    </w:rPr>
  </w:style>
  <w:style w:type="character" w:customStyle="1" w:styleId="Char3">
    <w:name w:val="批注框文本 Char"/>
    <w:basedOn w:val="a0"/>
    <w:link w:val="a7"/>
    <w:uiPriority w:val="99"/>
    <w:semiHidden/>
    <w:rsid w:val="00CC4647"/>
    <w:rPr>
      <w:rFonts w:ascii="Calibri" w:eastAsia="宋体" w:hAnsi="Calibri" w:cs="Times New Roman"/>
      <w:kern w:val="0"/>
      <w:sz w:val="18"/>
      <w:szCs w:val="18"/>
      <w:lang w:eastAsia="en-US"/>
    </w:rPr>
  </w:style>
  <w:style w:type="character" w:styleId="a8">
    <w:name w:val="page number"/>
    <w:basedOn w:val="a0"/>
    <w:rsid w:val="002C32BB"/>
  </w:style>
  <w:style w:type="paragraph" w:customStyle="1" w:styleId="10">
    <w:name w:val="普通(网站)1"/>
    <w:basedOn w:val="a"/>
    <w:uiPriority w:val="99"/>
    <w:semiHidden/>
    <w:rsid w:val="002C32BB"/>
    <w:pPr>
      <w:widowControl/>
      <w:spacing w:before="100" w:beforeAutospacing="1" w:after="100" w:afterAutospacing="1"/>
    </w:pPr>
    <w:rPr>
      <w:rFonts w:ascii="宋体" w:hAnsi="宋体" w:cs="宋体"/>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13</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发改委管理员</cp:lastModifiedBy>
  <cp:revision>28</cp:revision>
  <dcterms:created xsi:type="dcterms:W3CDTF">2017-01-23T08:57:00Z</dcterms:created>
  <dcterms:modified xsi:type="dcterms:W3CDTF">2021-01-22T06:33:00Z</dcterms:modified>
</cp:coreProperties>
</file>