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exact"/>
        <w:ind w:right="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lang w:eastAsia="zh-CN"/>
        </w:rPr>
        <w:t>云阳</w:t>
      </w: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rPr>
        <w:t>县统计局</w:t>
      </w:r>
      <w:r>
        <w:rPr>
          <w:rFonts w:hint="default" w:ascii="Times New Roman" w:hAnsi="Times New Roman" w:eastAsia="方正小标宋_GBK" w:cs="Times New Roman"/>
          <w:b w:val="0"/>
          <w:bCs w:val="0"/>
          <w:i w:val="0"/>
          <w:iCs w:val="0"/>
          <w:caps w:val="0"/>
          <w:color w:val="000000"/>
          <w:spacing w:val="0"/>
          <w:sz w:val="44"/>
          <w:szCs w:val="44"/>
          <w:shd w:val="clear" w:color="auto" w:fill="FFFFFF"/>
        </w:rPr>
        <w:t>202</w:t>
      </w:r>
      <w:r>
        <w:rPr>
          <w:rFonts w:hint="default" w:ascii="Times New Roman" w:hAnsi="Times New Roman" w:eastAsia="方正小标宋_GBK" w:cs="Times New Roman"/>
          <w:b w:val="0"/>
          <w:bCs w:val="0"/>
          <w:i w:val="0"/>
          <w:iCs w:val="0"/>
          <w:caps w:val="0"/>
          <w:color w:val="000000"/>
          <w:spacing w:val="0"/>
          <w:sz w:val="44"/>
          <w:szCs w:val="44"/>
          <w:shd w:val="clear" w:color="auto" w:fill="FFFFFF"/>
          <w:lang w:val="en-US" w:eastAsia="zh-CN"/>
        </w:rPr>
        <w:t>3</w:t>
      </w: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rPr>
        <w:t>年政府信息公开工作</w:t>
      </w:r>
    </w:p>
    <w:p>
      <w:pPr>
        <w:keepNext w:val="0"/>
        <w:keepLines w:val="0"/>
        <w:pageBreakBefore w:val="0"/>
        <w:widowControl w:val="0"/>
        <w:kinsoku/>
        <w:wordWrap/>
        <w:overflowPunct/>
        <w:topLinePunct w:val="0"/>
        <w:autoSpaceDE w:val="0"/>
        <w:autoSpaceDN w:val="0"/>
        <w:bidi w:val="0"/>
        <w:adjustRightInd w:val="0"/>
        <w:snapToGrid/>
        <w:spacing w:line="720" w:lineRule="exact"/>
        <w:ind w:right="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rPr>
        <w:t>年度报告</w:t>
      </w:r>
    </w:p>
    <w:p>
      <w:pPr>
        <w:keepNext w:val="0"/>
        <w:keepLines w:val="0"/>
        <w:pageBreakBefore w:val="0"/>
        <w:widowControl w:val="0"/>
        <w:kinsoku/>
        <w:wordWrap/>
        <w:overflowPunct/>
        <w:topLinePunct w:val="0"/>
        <w:bidi w:val="0"/>
        <w:snapToGrid/>
        <w:spacing w:line="578" w:lineRule="exact"/>
        <w:textAlignment w:val="auto"/>
      </w:pPr>
    </w:p>
    <w:p>
      <w:pPr>
        <w:keepNext w:val="0"/>
        <w:keepLines w:val="0"/>
        <w:pageBreakBefore w:val="0"/>
        <w:widowControl w:val="0"/>
        <w:kinsoku/>
        <w:wordWrap/>
        <w:overflowPunct/>
        <w:topLinePunct w:val="0"/>
        <w:autoSpaceDE w:val="0"/>
        <w:autoSpaceDN w:val="0"/>
        <w:bidi w:val="0"/>
        <w:adjustRightInd w:val="0"/>
        <w:snapToGrid/>
        <w:spacing w:line="578" w:lineRule="exact"/>
        <w:ind w:right="480" w:firstLine="640" w:firstLineChars="200"/>
        <w:jc w:val="left"/>
        <w:textAlignment w:val="auto"/>
        <w:rPr>
          <w:rFonts w:ascii="Times New Roman" w:hAnsi="Times New Roman" w:eastAsia="方正黑体_GBK" w:cs="HiddenHorzOCR"/>
          <w:kern w:val="0"/>
          <w:sz w:val="32"/>
          <w:szCs w:val="32"/>
        </w:rPr>
      </w:pPr>
      <w:r>
        <w:rPr>
          <w:rFonts w:hint="eastAsia" w:ascii="Times New Roman" w:hAnsi="Times New Roman" w:eastAsia="方正黑体_GBK" w:cs="HiddenHorzOCR"/>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我局严格遵守《中华人民共和国政府信息公开条例》，全面贯彻落实政务公开工作要点，积极有序稳妥推进主动公开，规范流程办理依申请公开，提高政府信息管理水平，优化政府信息平台建设，充分发挥监督保障作用，政府信息公开质量和效果显著提升。本年度</w:t>
      </w:r>
      <w:r>
        <w:rPr>
          <w:rFonts w:hint="eastAsia" w:ascii="方正仿宋_GBK" w:hAnsi="方正仿宋_GBK" w:eastAsia="方正仿宋_GBK" w:cs="方正仿宋_GBK"/>
          <w:sz w:val="32"/>
          <w:szCs w:val="32"/>
          <w:lang w:eastAsia="zh-CN"/>
        </w:rPr>
        <w:t>报告中所列数据的统计期限为</w:t>
      </w:r>
      <w:r>
        <w:rPr>
          <w:rFonts w:hint="default" w:ascii="Times New Roman" w:hAnsi="Times New Roman" w:eastAsia="方正仿宋_GBK" w:cs="Times New Roman"/>
          <w:sz w:val="32"/>
          <w:szCs w:val="32"/>
          <w:lang w:eastAsia="zh-CN"/>
        </w:rPr>
        <w:t>2023</w:t>
      </w:r>
      <w:r>
        <w:rPr>
          <w:rFonts w:hint="eastAsia" w:ascii="方正仿宋_GBK" w:hAnsi="方正仿宋_GBK" w:eastAsia="方正仿宋_GBK" w:cs="方正仿宋_GBK"/>
          <w:sz w:val="32"/>
          <w:szCs w:val="32"/>
          <w:lang w:eastAsia="zh-CN"/>
        </w:rPr>
        <w:t>年</w:t>
      </w:r>
      <w:r>
        <w:rPr>
          <w:rFonts w:hint="default"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月</w:t>
      </w:r>
      <w:r>
        <w:rPr>
          <w:rFonts w:hint="default"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日至</w:t>
      </w:r>
      <w:r>
        <w:rPr>
          <w:rFonts w:hint="default" w:ascii="Times New Roman" w:hAnsi="Times New Roman" w:eastAsia="方正仿宋_GBK" w:cs="Times New Roman"/>
          <w:sz w:val="32"/>
          <w:szCs w:val="32"/>
          <w:lang w:eastAsia="zh-CN"/>
        </w:rPr>
        <w:t>2023</w:t>
      </w:r>
      <w:r>
        <w:rPr>
          <w:rFonts w:hint="eastAsia" w:ascii="方正仿宋_GBK" w:hAnsi="方正仿宋_GBK" w:eastAsia="方正仿宋_GBK" w:cs="方正仿宋_GBK"/>
          <w:sz w:val="32"/>
          <w:szCs w:val="32"/>
          <w:lang w:eastAsia="zh-CN"/>
        </w:rPr>
        <w:t>年</w:t>
      </w:r>
      <w:r>
        <w:rPr>
          <w:rFonts w:hint="default" w:ascii="Times New Roman" w:hAnsi="Times New Roman" w:eastAsia="方正仿宋_GBK" w:cs="Times New Roman"/>
          <w:sz w:val="32"/>
          <w:szCs w:val="32"/>
          <w:lang w:eastAsia="zh-CN"/>
        </w:rPr>
        <w:t>12</w:t>
      </w:r>
      <w:r>
        <w:rPr>
          <w:rFonts w:hint="eastAsia" w:ascii="方正仿宋_GBK" w:hAnsi="方正仿宋_GBK" w:eastAsia="方正仿宋_GBK" w:cs="方正仿宋_GBK"/>
          <w:sz w:val="32"/>
          <w:szCs w:val="32"/>
          <w:lang w:eastAsia="zh-CN"/>
        </w:rPr>
        <w:t>月</w:t>
      </w:r>
      <w:r>
        <w:rPr>
          <w:rFonts w:hint="default" w:ascii="Times New Roman" w:hAnsi="Times New Roman" w:eastAsia="方正仿宋_GBK" w:cs="Times New Roman"/>
          <w:sz w:val="32"/>
          <w:szCs w:val="32"/>
          <w:lang w:eastAsia="zh-CN"/>
        </w:rPr>
        <w:t>31</w:t>
      </w:r>
      <w:r>
        <w:rPr>
          <w:rFonts w:hint="eastAsia" w:ascii="方正仿宋_GBK" w:hAnsi="方正仿宋_GBK" w:eastAsia="方正仿宋_GBK" w:cs="方正仿宋_GBK"/>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（一）主动公开情况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我局遵循“公开为原则，不公开为例外”的原则，主要围绕统计月报、经济运行情况分析、工作动态情况、行政处罚信息公示、政策问答以及单位预决算等信息为重点，主动在县政府门户网站公开各类信息</w:t>
      </w:r>
      <w:r>
        <w:rPr>
          <w:rFonts w:hint="default" w:ascii="Times New Roman" w:hAnsi="Times New Roman" w:eastAsia="方正仿宋_GBK" w:cs="Times New Roman"/>
          <w:sz w:val="32"/>
          <w:szCs w:val="32"/>
          <w:lang w:val="en-US" w:eastAsia="zh-CN"/>
        </w:rPr>
        <w:t>92</w:t>
      </w:r>
      <w:r>
        <w:rPr>
          <w:rFonts w:hint="eastAsia" w:ascii="方正仿宋_GBK" w:hAnsi="方正仿宋_GBK" w:eastAsia="方正仿宋_GBK" w:cs="方正仿宋_GBK"/>
          <w:sz w:val="32"/>
          <w:szCs w:val="32"/>
          <w:lang w:val="en-US" w:eastAsia="zh-CN"/>
        </w:rPr>
        <w:t>条，其中，</w:t>
      </w:r>
      <w:r>
        <w:rPr>
          <w:rFonts w:hint="eastAsia" w:ascii="方正仿宋_GBK" w:hAnsi="方正仿宋_GBK" w:eastAsia="方正仿宋_GBK" w:cs="方正仿宋_GBK"/>
          <w:sz w:val="32"/>
          <w:szCs w:val="32"/>
        </w:rPr>
        <w:t>主动公开</w:t>
      </w:r>
      <w:r>
        <w:rPr>
          <w:rFonts w:hint="eastAsia" w:ascii="方正仿宋_GBK" w:hAnsi="方正仿宋_GBK" w:eastAsia="方正仿宋_GBK" w:cs="方正仿宋_GBK"/>
          <w:sz w:val="32"/>
          <w:szCs w:val="32"/>
          <w:lang w:val="en-US" w:eastAsia="zh-CN"/>
        </w:rPr>
        <w:t>领导信息、主要职责和内设机构信息</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条、</w:t>
      </w:r>
      <w:r>
        <w:rPr>
          <w:rFonts w:hint="eastAsia" w:ascii="方正仿宋_GBK" w:hAnsi="方正仿宋_GBK" w:eastAsia="方正仿宋_GBK" w:cs="方正仿宋_GBK"/>
          <w:sz w:val="32"/>
          <w:szCs w:val="32"/>
          <w:lang w:eastAsia="zh-CN"/>
        </w:rPr>
        <w:t>权责清单</w:t>
      </w:r>
      <w:r>
        <w:rPr>
          <w:rFonts w:hint="eastAsia" w:ascii="方正仿宋_GBK" w:hAnsi="方正仿宋_GBK" w:eastAsia="方正仿宋_GBK" w:cs="方正仿宋_GBK"/>
          <w:sz w:val="32"/>
          <w:szCs w:val="32"/>
          <w:lang w:val="en-US" w:eastAsia="zh-CN"/>
        </w:rPr>
        <w:t>信息</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条、</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"https://www.yunyang.gov.cn/bm_257/xtjj/zwgk_62088/jczfxxgk/fzzfjsndbg/" \o "法治政府建设年度报告"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法治政府建设年度报告</w:t>
      </w:r>
      <w:r>
        <w:rPr>
          <w:rFonts w:hint="eastAsia" w:ascii="方正仿宋_GBK" w:hAnsi="方正仿宋_GBK" w:eastAsia="方正仿宋_GBK" w:cs="方正仿宋_GBK"/>
          <w:sz w:val="32"/>
          <w:szCs w:val="32"/>
          <w:lang w:val="en-US" w:eastAsia="zh-CN"/>
        </w:rPr>
        <w:fldChar w:fldCharType="end"/>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条、政策问答信息</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条、政策文件信息</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条、重点信息公示</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条、工作情况信息</w:t>
      </w:r>
      <w:r>
        <w:rPr>
          <w:rFonts w:hint="default" w:ascii="Times New Roman" w:hAnsi="Times New Roman" w:eastAsia="方正仿宋_GBK" w:cs="Times New Roman"/>
          <w:sz w:val="32"/>
          <w:szCs w:val="32"/>
          <w:lang w:val="en-US" w:eastAsia="zh-CN"/>
        </w:rPr>
        <w:t>44</w:t>
      </w:r>
      <w:r>
        <w:rPr>
          <w:rFonts w:hint="eastAsia" w:ascii="方正仿宋_GBK" w:hAnsi="方正仿宋_GBK" w:eastAsia="方正仿宋_GBK" w:cs="方正仿宋_GBK"/>
          <w:sz w:val="32"/>
          <w:szCs w:val="32"/>
          <w:lang w:val="en-US" w:eastAsia="zh-CN"/>
        </w:rPr>
        <w:t>条、预决算信息</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条、收费及依据信息</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条、</w:t>
      </w:r>
      <w:r>
        <w:rPr>
          <w:rFonts w:hint="eastAsia" w:ascii="方正仿宋_GBK" w:hAnsi="方正仿宋_GBK" w:eastAsia="方正仿宋_GBK" w:cs="方正仿宋_GBK"/>
          <w:sz w:val="32"/>
          <w:szCs w:val="32"/>
          <w:lang w:eastAsia="zh-CN"/>
        </w:rPr>
        <w:t>政府采购</w:t>
      </w:r>
      <w:r>
        <w:rPr>
          <w:rFonts w:hint="eastAsia" w:ascii="方正仿宋_GBK" w:hAnsi="方正仿宋_GBK" w:eastAsia="方正仿宋_GBK" w:cs="方正仿宋_GBK"/>
          <w:sz w:val="32"/>
          <w:szCs w:val="32"/>
          <w:lang w:val="en-US" w:eastAsia="zh-CN"/>
        </w:rPr>
        <w:t>信息</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统计严重失信企业</w:t>
      </w:r>
      <w:bookmarkStart w:id="0" w:name="_GoBack"/>
      <w:bookmarkEnd w:id="0"/>
      <w:r>
        <w:rPr>
          <w:rFonts w:hint="eastAsia" w:ascii="方正仿宋_GBK" w:hAnsi="方正仿宋_GBK" w:eastAsia="方正仿宋_GBK" w:cs="方正仿宋_GBK"/>
          <w:sz w:val="32"/>
          <w:szCs w:val="32"/>
          <w:lang w:val="en-US" w:eastAsia="zh-CN"/>
        </w:rPr>
        <w:t>公示信息</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条、行政处罚信息公示</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条、“双随机”抽查信息</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条、统计公报</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条、统计年鉴</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条、进度数据</w:t>
      </w: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lang w:val="en-US" w:eastAsia="zh-CN"/>
        </w:rPr>
        <w:t>条、数据解读</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条。</w:t>
      </w:r>
      <w:r>
        <w:rPr>
          <w:rFonts w:hint="eastAsia" w:ascii="方正仿宋_GBK" w:hAnsi="方正仿宋_GBK" w:eastAsia="方正仿宋_GBK" w:cs="方正仿宋_GBK"/>
          <w:sz w:val="32"/>
          <w:szCs w:val="32"/>
          <w:lang w:eastAsia="zh-CN"/>
        </w:rPr>
        <w:t>本年度未发生政府信息公开行政复议、行政诉讼情况。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梳理依申请公开各办理环节工作，形成收件、登记、审核、办理、答复、送达、归档等工作闭环。对依申请公开信息，明确了公开范围、受理机构</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申请处理程序</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收费标准及注意事项</w:t>
      </w:r>
      <w:r>
        <w:rPr>
          <w:rFonts w:hint="eastAsia" w:ascii="方正仿宋_GBK" w:hAnsi="方正仿宋_GBK" w:eastAsia="方正仿宋_GBK" w:cs="方正仿宋_GBK"/>
          <w:color w:val="000000"/>
          <w:sz w:val="32"/>
          <w:szCs w:val="32"/>
          <w:lang w:eastAsia="zh-CN"/>
        </w:rPr>
        <w:t>，公民、法人或者其他组织</w:t>
      </w:r>
      <w:r>
        <w:rPr>
          <w:rFonts w:hint="eastAsia" w:ascii="方正仿宋_GBK" w:hAnsi="方正仿宋_GBK" w:eastAsia="方正仿宋_GBK" w:cs="方正仿宋_GBK"/>
          <w:color w:val="000000"/>
          <w:sz w:val="32"/>
          <w:szCs w:val="32"/>
          <w:lang w:val="en-US" w:eastAsia="zh-CN"/>
        </w:rPr>
        <w:t>可以</w:t>
      </w:r>
      <w:r>
        <w:rPr>
          <w:rFonts w:hint="eastAsia" w:ascii="方正仿宋_GBK" w:hAnsi="方正仿宋_GBK" w:eastAsia="方正仿宋_GBK" w:cs="方正仿宋_GBK"/>
          <w:color w:val="000000"/>
          <w:sz w:val="32"/>
          <w:szCs w:val="32"/>
        </w:rPr>
        <w:t>通过统计信息外网、信函、电话、传真以及当面申请等</w:t>
      </w:r>
      <w:r>
        <w:rPr>
          <w:rFonts w:hint="eastAsia" w:ascii="方正仿宋_GBK" w:hAnsi="方正仿宋_GBK" w:eastAsia="方正仿宋_GBK" w:cs="方正仿宋_GBK"/>
          <w:color w:val="000000"/>
          <w:sz w:val="32"/>
          <w:szCs w:val="32"/>
          <w:lang w:val="en-US" w:eastAsia="zh-CN"/>
        </w:rPr>
        <w:t>渠道进行申请</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根据《</w:t>
      </w:r>
      <w:r>
        <w:rPr>
          <w:rFonts w:hint="eastAsia" w:ascii="方正仿宋_GBK" w:hAnsi="方正仿宋_GBK" w:eastAsia="方正仿宋_GBK" w:cs="方正仿宋_GBK"/>
          <w:sz w:val="32"/>
          <w:szCs w:val="32"/>
          <w:lang w:val="en-US" w:eastAsia="zh-CN"/>
        </w:rPr>
        <w:t>中华人民共和国政府信息公开条例</w:t>
      </w:r>
      <w:r>
        <w:rPr>
          <w:rFonts w:hint="eastAsia" w:ascii="方正仿宋_GBK" w:hAnsi="方正仿宋_GBK" w:eastAsia="方正仿宋_GBK" w:cs="方正仿宋_GBK"/>
          <w:color w:val="000000"/>
          <w:sz w:val="32"/>
          <w:szCs w:val="32"/>
        </w:rPr>
        <w:t>》规定，能够当场答复的，当场给予答复；对部分涉及保密、或者不宜公开的信息，则做好解释说明工作。</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23</w:t>
      </w:r>
      <w:r>
        <w:rPr>
          <w:rFonts w:hint="eastAsia" w:ascii="方正仿宋_GBK" w:hAnsi="方正仿宋_GBK" w:eastAsia="方正仿宋_GBK" w:cs="方正仿宋_GBK"/>
          <w:color w:val="000000"/>
          <w:sz w:val="32"/>
          <w:szCs w:val="32"/>
        </w:rPr>
        <w:t>年，我局</w:t>
      </w:r>
      <w:r>
        <w:rPr>
          <w:rFonts w:hint="eastAsia" w:ascii="方正仿宋_GBK" w:hAnsi="方正仿宋_GBK" w:eastAsia="方正仿宋_GBK" w:cs="方正仿宋_GBK"/>
          <w:color w:val="000000"/>
          <w:sz w:val="32"/>
          <w:szCs w:val="32"/>
          <w:lang w:eastAsia="zh-CN"/>
        </w:rPr>
        <w:t>未</w:t>
      </w:r>
      <w:r>
        <w:rPr>
          <w:rFonts w:hint="eastAsia" w:ascii="方正仿宋_GBK" w:hAnsi="方正仿宋_GBK" w:eastAsia="方正仿宋_GBK" w:cs="方正仿宋_GBK"/>
          <w:color w:val="000000"/>
          <w:sz w:val="32"/>
          <w:szCs w:val="32"/>
        </w:rPr>
        <w:t>收到政府信息公开申请。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color w:val="000000"/>
          <w:sz w:val="32"/>
          <w:szCs w:val="32"/>
        </w:rPr>
        <w:t>（三）政府信息管理方面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严格落实责任。政府信息公开实行一把手负总责，由分管领导具体抓，办公室牵头负责，各科室对所承担的信息内容负责，明确专人负责政府信息公开工作，形成一级抓一级，层层抓落实的责任体系和工作格局。二是加强审核把关。严格按照科室负责人初审、分管领导复审、主要负责人终审原则，严格遵守“三审三校”制度、保密审查制度，确保政府发布信息无错漏。同时，加强对政府信息公开工作的自查自纠，及时发现和纠正存在的问题。三是规范发布统计信息。</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年，我局共发布统计公报</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期、统计年鉴</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期、统计月报</w:t>
      </w: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lang w:val="en-US" w:eastAsia="zh-CN"/>
        </w:rPr>
        <w:t>期、经济运行情况分析</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期，</w:t>
      </w:r>
      <w:r>
        <w:rPr>
          <w:rFonts w:hint="eastAsia" w:ascii="方正仿宋_GBK" w:hAnsi="方正仿宋_GBK" w:eastAsia="方正仿宋_GBK" w:cs="方正仿宋_GBK"/>
          <w:color w:val="000000"/>
          <w:sz w:val="32"/>
          <w:szCs w:val="32"/>
        </w:rPr>
        <w:t>为县委、县政府及时准确提供最新统计资料，满足党政领导、机关部门和社会各界对统计数据的要求。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（四）平台建设方面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一是及时更新信息。根据市、县统一要求，依托</w:t>
      </w:r>
      <w:r>
        <w:rPr>
          <w:rFonts w:hint="eastAsia" w:ascii="方正仿宋_GBK" w:hAnsi="方正仿宋_GBK" w:eastAsia="方正仿宋_GBK" w:cs="方正仿宋_GBK"/>
          <w:sz w:val="32"/>
          <w:szCs w:val="32"/>
          <w:lang w:val="en-US" w:eastAsia="zh-CN"/>
        </w:rPr>
        <w:t>县政府门户网站，找准政府信息公开平台的基本定位，聚焦统计领域法定主动公开内容，加强专门性内容的发布和管理，优化政府信息公开专栏页面设置，确保政府信息公开权威、及时、有效。</w:t>
      </w:r>
      <w:r>
        <w:rPr>
          <w:rFonts w:hint="eastAsia" w:ascii="方正仿宋_GBK" w:hAnsi="方正仿宋_GBK" w:eastAsia="方正仿宋_GBK" w:cs="方正仿宋_GBK"/>
          <w:color w:val="000000"/>
          <w:sz w:val="32"/>
          <w:szCs w:val="32"/>
          <w:lang w:val="en-US" w:eastAsia="zh-CN"/>
        </w:rPr>
        <w:t>二是配备专职人员。</w:t>
      </w:r>
      <w:r>
        <w:rPr>
          <w:rFonts w:hint="eastAsia" w:ascii="方正仿宋_GBK" w:hAnsi="方正仿宋_GBK" w:eastAsia="方正仿宋_GBK" w:cs="方正仿宋_GBK"/>
          <w:color w:val="000000"/>
          <w:sz w:val="32"/>
          <w:szCs w:val="32"/>
        </w:rPr>
        <w:t>政务公开</w:t>
      </w:r>
      <w:r>
        <w:rPr>
          <w:rFonts w:hint="eastAsia" w:ascii="方正仿宋_GBK" w:hAnsi="方正仿宋_GBK" w:eastAsia="方正仿宋_GBK" w:cs="方正仿宋_GBK"/>
          <w:color w:val="000000"/>
          <w:sz w:val="32"/>
          <w:szCs w:val="32"/>
          <w:lang w:eastAsia="zh-CN"/>
        </w:rPr>
        <w:t>工作</w:t>
      </w:r>
      <w:r>
        <w:rPr>
          <w:rFonts w:hint="eastAsia" w:ascii="方正仿宋_GBK" w:hAnsi="方正仿宋_GBK" w:eastAsia="方正仿宋_GBK" w:cs="方正仿宋_GBK"/>
          <w:color w:val="000000"/>
          <w:sz w:val="32"/>
          <w:szCs w:val="32"/>
        </w:rPr>
        <w:t>安排专人负责，对《中华人民共和国政府信息公开条例》</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相关</w:t>
      </w:r>
      <w:r>
        <w:rPr>
          <w:rFonts w:hint="eastAsia" w:ascii="方正仿宋_GBK" w:hAnsi="方正仿宋_GBK" w:eastAsia="方正仿宋_GBK" w:cs="方正仿宋_GBK"/>
          <w:color w:val="000000"/>
          <w:sz w:val="32"/>
          <w:szCs w:val="32"/>
        </w:rPr>
        <w:t>政策法规</w:t>
      </w:r>
      <w:r>
        <w:rPr>
          <w:rFonts w:hint="eastAsia" w:ascii="方正仿宋_GBK" w:hAnsi="方正仿宋_GBK" w:eastAsia="方正仿宋_GBK" w:cs="方正仿宋_GBK"/>
          <w:color w:val="000000"/>
          <w:sz w:val="32"/>
          <w:szCs w:val="32"/>
          <w:lang w:val="en-US" w:eastAsia="zh-CN"/>
        </w:rPr>
        <w:t>以及</w:t>
      </w:r>
      <w:r>
        <w:rPr>
          <w:rFonts w:hint="eastAsia" w:ascii="方正仿宋_GBK" w:hAnsi="方正仿宋_GBK" w:eastAsia="方正仿宋_GBK" w:cs="方正仿宋_GBK"/>
          <w:color w:val="000000"/>
          <w:sz w:val="32"/>
          <w:szCs w:val="32"/>
        </w:rPr>
        <w:t>政务公开的具体板块内容</w:t>
      </w:r>
      <w:r>
        <w:rPr>
          <w:rFonts w:hint="eastAsia" w:ascii="方正仿宋_GBK" w:hAnsi="方正仿宋_GBK" w:eastAsia="方正仿宋_GBK" w:cs="方正仿宋_GBK"/>
          <w:color w:val="000000"/>
          <w:sz w:val="32"/>
          <w:szCs w:val="32"/>
          <w:lang w:val="en-US" w:eastAsia="zh-CN"/>
        </w:rPr>
        <w:t>进行</w:t>
      </w:r>
      <w:r>
        <w:rPr>
          <w:rFonts w:hint="eastAsia" w:ascii="方正仿宋_GBK" w:hAnsi="方正仿宋_GBK" w:eastAsia="方正仿宋_GBK" w:cs="方正仿宋_GBK"/>
          <w:color w:val="000000"/>
          <w:sz w:val="32"/>
          <w:szCs w:val="32"/>
        </w:rPr>
        <w:t>详细学习，重点对计算机、办公软件等</w:t>
      </w:r>
      <w:r>
        <w:rPr>
          <w:rFonts w:hint="eastAsia" w:ascii="方正仿宋_GBK" w:hAnsi="方正仿宋_GBK" w:eastAsia="方正仿宋_GBK" w:cs="方正仿宋_GBK"/>
          <w:color w:val="000000"/>
          <w:sz w:val="32"/>
          <w:szCs w:val="32"/>
          <w:lang w:val="en-US" w:eastAsia="zh-CN"/>
        </w:rPr>
        <w:t>进行</w:t>
      </w:r>
      <w:r>
        <w:rPr>
          <w:rFonts w:hint="eastAsia" w:ascii="方正仿宋_GBK" w:hAnsi="方正仿宋_GBK" w:eastAsia="方正仿宋_GBK" w:cs="方正仿宋_GBK"/>
          <w:color w:val="000000"/>
          <w:sz w:val="32"/>
          <w:szCs w:val="32"/>
        </w:rPr>
        <w:t>学习培训，</w:t>
      </w:r>
      <w:r>
        <w:rPr>
          <w:rFonts w:hint="eastAsia" w:ascii="方正仿宋_GBK" w:hAnsi="方正仿宋_GBK" w:eastAsia="方正仿宋_GBK" w:cs="方正仿宋_GBK"/>
          <w:color w:val="000000"/>
          <w:sz w:val="32"/>
          <w:szCs w:val="32"/>
          <w:lang w:val="en-US" w:eastAsia="zh-CN"/>
        </w:rPr>
        <w:t>切实</w:t>
      </w:r>
      <w:r>
        <w:rPr>
          <w:rFonts w:hint="eastAsia" w:ascii="方正仿宋_GBK" w:hAnsi="方正仿宋_GBK" w:eastAsia="方正仿宋_GBK" w:cs="方正仿宋_GBK"/>
          <w:color w:val="000000"/>
          <w:sz w:val="32"/>
          <w:szCs w:val="32"/>
        </w:rPr>
        <w:t>提高工作效率和服务质量。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（五）监督保障方面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一是</w:t>
      </w:r>
      <w:r>
        <w:rPr>
          <w:rFonts w:hint="eastAsia" w:ascii="方正仿宋_GBK" w:hAnsi="方正仿宋_GBK" w:eastAsia="方正仿宋_GBK" w:cs="方正仿宋_GBK"/>
          <w:color w:val="000000"/>
          <w:sz w:val="32"/>
          <w:szCs w:val="32"/>
        </w:rPr>
        <w:t>在</w:t>
      </w:r>
      <w:r>
        <w:rPr>
          <w:rFonts w:hint="eastAsia" w:ascii="方正仿宋_GBK" w:hAnsi="方正仿宋_GBK" w:eastAsia="方正仿宋_GBK" w:cs="方正仿宋_GBK"/>
          <w:sz w:val="32"/>
          <w:szCs w:val="32"/>
          <w:lang w:val="en-US" w:eastAsia="zh-CN"/>
        </w:rPr>
        <w:t>县政府门户网站</w:t>
      </w:r>
      <w:r>
        <w:rPr>
          <w:rFonts w:hint="eastAsia" w:ascii="方正仿宋_GBK" w:hAnsi="方正仿宋_GBK" w:eastAsia="方正仿宋_GBK" w:cs="方正仿宋_GBK"/>
          <w:color w:val="000000"/>
          <w:sz w:val="32"/>
          <w:szCs w:val="32"/>
        </w:rPr>
        <w:t>上公布</w:t>
      </w:r>
      <w:r>
        <w:rPr>
          <w:rFonts w:hint="eastAsia" w:ascii="方正仿宋_GBK" w:hAnsi="方正仿宋_GBK" w:eastAsia="方正仿宋_GBK" w:cs="方正仿宋_GBK"/>
          <w:color w:val="000000"/>
          <w:sz w:val="32"/>
          <w:szCs w:val="32"/>
          <w:lang w:val="en-US" w:eastAsia="zh-CN"/>
        </w:rPr>
        <w:t>监督</w:t>
      </w:r>
      <w:r>
        <w:rPr>
          <w:rFonts w:hint="eastAsia" w:ascii="方正仿宋_GBK" w:hAnsi="方正仿宋_GBK" w:eastAsia="方正仿宋_GBK" w:cs="方正仿宋_GBK"/>
          <w:color w:val="000000"/>
          <w:sz w:val="32"/>
          <w:szCs w:val="32"/>
        </w:rPr>
        <w:t>电话，申请人认为</w:t>
      </w:r>
      <w:r>
        <w:rPr>
          <w:rFonts w:hint="eastAsia" w:ascii="方正仿宋_GBK" w:hAnsi="方正仿宋_GBK" w:eastAsia="方正仿宋_GBK" w:cs="方正仿宋_GBK"/>
          <w:color w:val="000000"/>
          <w:sz w:val="32"/>
          <w:szCs w:val="32"/>
          <w:lang w:val="en-US" w:eastAsia="zh-CN"/>
        </w:rPr>
        <w:t>我局</w:t>
      </w:r>
      <w:r>
        <w:rPr>
          <w:rFonts w:hint="eastAsia" w:ascii="方正仿宋_GBK" w:hAnsi="方正仿宋_GBK" w:eastAsia="方正仿宋_GBK" w:cs="方正仿宋_GBK"/>
          <w:color w:val="000000"/>
          <w:sz w:val="32"/>
          <w:szCs w:val="32"/>
        </w:rPr>
        <w:t>在政府信息公开工作中侵犯其合法权益的，可以依法提起行政复议或者行政诉讼</w:t>
      </w:r>
      <w:r>
        <w:rPr>
          <w:rFonts w:hint="eastAsia" w:ascii="方正仿宋_GBK" w:hAnsi="方正仿宋_GBK" w:eastAsia="方正仿宋_GBK" w:cs="方正仿宋_GBK"/>
          <w:color w:val="000000"/>
          <w:sz w:val="32"/>
          <w:szCs w:val="32"/>
          <w:lang w:eastAsia="zh-CN"/>
        </w:rPr>
        <w:t>。</w:t>
      </w:r>
      <w:r>
        <w:rPr>
          <w:rFonts w:hint="default" w:ascii="Times New Roman" w:hAnsi="Times New Roman" w:eastAsia="方正仿宋_GBK" w:cs="Times New Roman"/>
          <w:color w:val="000000"/>
          <w:sz w:val="32"/>
          <w:szCs w:val="32"/>
        </w:rPr>
        <w:t>2023</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我</w:t>
      </w:r>
      <w:r>
        <w:rPr>
          <w:rFonts w:hint="eastAsia" w:ascii="方正仿宋_GBK" w:hAnsi="方正仿宋_GBK" w:eastAsia="方正仿宋_GBK" w:cs="方正仿宋_GBK"/>
          <w:color w:val="000000"/>
          <w:sz w:val="32"/>
          <w:szCs w:val="32"/>
          <w:lang w:val="en-US" w:eastAsia="zh-CN"/>
        </w:rPr>
        <w:t>局</w:t>
      </w:r>
      <w:r>
        <w:rPr>
          <w:rFonts w:hint="eastAsia" w:ascii="方正仿宋_GBK" w:hAnsi="方正仿宋_GBK" w:eastAsia="方正仿宋_GBK" w:cs="方正仿宋_GBK"/>
          <w:color w:val="000000"/>
          <w:sz w:val="32"/>
          <w:szCs w:val="32"/>
        </w:rPr>
        <w:t>未收到</w:t>
      </w:r>
      <w:r>
        <w:rPr>
          <w:rFonts w:hint="eastAsia" w:ascii="方正仿宋_GBK" w:hAnsi="方正仿宋_GBK" w:eastAsia="方正仿宋_GBK" w:cs="方正仿宋_GBK"/>
          <w:color w:val="000000"/>
          <w:sz w:val="32"/>
          <w:szCs w:val="32"/>
          <w:lang w:val="en-US" w:eastAsia="zh-CN"/>
        </w:rPr>
        <w:t>政府</w:t>
      </w:r>
      <w:r>
        <w:rPr>
          <w:rFonts w:hint="eastAsia" w:ascii="方正仿宋_GBK" w:hAnsi="方正仿宋_GBK" w:eastAsia="方正仿宋_GBK" w:cs="方正仿宋_GBK"/>
          <w:color w:val="000000"/>
          <w:sz w:val="32"/>
          <w:szCs w:val="32"/>
        </w:rPr>
        <w:t>信息公开工作相关投诉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二是</w:t>
      </w:r>
      <w:r>
        <w:rPr>
          <w:rFonts w:hint="eastAsia" w:ascii="方正仿宋_GBK" w:hAnsi="方正仿宋_GBK" w:eastAsia="方正仿宋_GBK" w:cs="方正仿宋_GBK"/>
          <w:color w:val="000000"/>
          <w:sz w:val="32"/>
          <w:szCs w:val="32"/>
        </w:rPr>
        <w:t>建立政务公开的</w:t>
      </w:r>
      <w:r>
        <w:rPr>
          <w:rFonts w:hint="eastAsia" w:ascii="方正仿宋_GBK" w:hAnsi="方正仿宋_GBK" w:eastAsia="方正仿宋_GBK" w:cs="方正仿宋_GBK"/>
          <w:color w:val="000000"/>
          <w:sz w:val="32"/>
          <w:szCs w:val="32"/>
          <w:lang w:val="en-US" w:eastAsia="zh-CN"/>
        </w:rPr>
        <w:t>监督</w:t>
      </w:r>
      <w:r>
        <w:rPr>
          <w:rFonts w:hint="eastAsia" w:ascii="方正仿宋_GBK" w:hAnsi="方正仿宋_GBK" w:eastAsia="方正仿宋_GBK" w:cs="方正仿宋_GBK"/>
          <w:color w:val="000000"/>
          <w:sz w:val="32"/>
          <w:szCs w:val="32"/>
        </w:rPr>
        <w:t>反馈制度</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指定专人负责管理群众来信来访来电的收集、登记、交办、督办、反馈、归档等工作</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对</w:t>
      </w:r>
      <w:r>
        <w:rPr>
          <w:rFonts w:hint="eastAsia" w:ascii="方正仿宋_GBK" w:hAnsi="方正仿宋_GBK" w:eastAsia="方正仿宋_GBK" w:cs="方正仿宋_GBK"/>
          <w:color w:val="000000"/>
          <w:sz w:val="32"/>
          <w:szCs w:val="32"/>
          <w:lang w:val="en-US" w:eastAsia="zh-CN"/>
        </w:rPr>
        <w:t>信息</w:t>
      </w:r>
      <w:r>
        <w:rPr>
          <w:rFonts w:hint="eastAsia" w:ascii="方正仿宋_GBK" w:hAnsi="方正仿宋_GBK" w:eastAsia="方正仿宋_GBK" w:cs="方正仿宋_GBK"/>
          <w:color w:val="000000"/>
          <w:sz w:val="32"/>
          <w:szCs w:val="32"/>
        </w:rPr>
        <w:t>公开后群众反映的意见和问题，认真整改</w:t>
      </w:r>
      <w:r>
        <w:rPr>
          <w:rFonts w:hint="eastAsia" w:ascii="方正仿宋_GBK" w:hAnsi="方正仿宋_GBK" w:eastAsia="方正仿宋_GBK" w:cs="方正仿宋_GBK"/>
          <w:color w:val="000000"/>
          <w:sz w:val="32"/>
          <w:szCs w:val="32"/>
          <w:lang w:val="en-US" w:eastAsia="zh-CN"/>
        </w:rPr>
        <w:t>到位，及时反馈处理结果</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二、主动公开政府信息情况</w:t>
      </w:r>
    </w:p>
    <w:tbl>
      <w:tblPr>
        <w:tblStyle w:val="4"/>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5"/>
        <w:gridCol w:w="2435"/>
        <w:gridCol w:w="243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2435" w:type="dxa"/>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本年制发件数</w:t>
            </w:r>
          </w:p>
        </w:tc>
        <w:tc>
          <w:tcPr>
            <w:tcW w:w="2435" w:type="dxa"/>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本年废止件数</w:t>
            </w:r>
          </w:p>
        </w:tc>
        <w:tc>
          <w:tcPr>
            <w:tcW w:w="2435" w:type="dxa"/>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规章</w:t>
            </w:r>
          </w:p>
        </w:tc>
        <w:tc>
          <w:tcPr>
            <w:tcW w:w="2435" w:type="dxa"/>
            <w:noWrap w:val="0"/>
            <w:tcMar>
              <w:left w:w="57" w:type="dxa"/>
              <w:right w:w="57" w:type="dxa"/>
            </w:tcMar>
            <w:vAlign w:val="center"/>
          </w:tcPr>
          <w:p>
            <w:pPr>
              <w:widowControl/>
              <w:jc w:val="left"/>
              <w:rPr>
                <w:rFonts w:hint="eastAsia" w:ascii="Times New Roman" w:hAnsi="Times New Roman" w:eastAsia="等线" w:cs="Times New Roman"/>
                <w:sz w:val="21"/>
                <w:szCs w:val="22"/>
                <w:lang w:eastAsia="zh-CN"/>
              </w:rPr>
            </w:pPr>
            <w:r>
              <w:rPr>
                <w:rFonts w:hint="default" w:ascii="Times New Roman" w:hAnsi="Times New Roman" w:eastAsia="宋体" w:cs="Times New Roman"/>
                <w:kern w:val="0"/>
                <w:sz w:val="20"/>
                <w:szCs w:val="22"/>
                <w:lang w:val="en-US" w:eastAsia="zh-CN" w:bidi="ar"/>
              </w:rPr>
              <w:t>0</w:t>
            </w:r>
          </w:p>
        </w:tc>
        <w:tc>
          <w:tcPr>
            <w:tcW w:w="2435" w:type="dxa"/>
            <w:noWrap w:val="0"/>
            <w:tcMar>
              <w:left w:w="57" w:type="dxa"/>
              <w:right w:w="57" w:type="dxa"/>
            </w:tcMar>
            <w:vAlign w:val="center"/>
          </w:tcPr>
          <w:p>
            <w:pPr>
              <w:widowControl/>
              <w:jc w:val="left"/>
              <w:rPr>
                <w:rFonts w:hint="eastAsia" w:ascii="Times New Roman" w:hAnsi="Times New Roman" w:eastAsia="等线" w:cs="Times New Roman"/>
                <w:sz w:val="21"/>
                <w:szCs w:val="22"/>
                <w:lang w:eastAsia="zh-CN"/>
              </w:rPr>
            </w:pPr>
            <w:r>
              <w:rPr>
                <w:rFonts w:hint="default" w:ascii="Times New Roman" w:hAnsi="Times New Roman" w:eastAsia="宋体" w:cs="Times New Roman"/>
                <w:kern w:val="0"/>
                <w:sz w:val="20"/>
                <w:szCs w:val="22"/>
                <w:lang w:val="en-US" w:eastAsia="zh-CN" w:bidi="ar"/>
              </w:rPr>
              <w:t>0</w:t>
            </w:r>
          </w:p>
        </w:tc>
        <w:tc>
          <w:tcPr>
            <w:tcW w:w="2435" w:type="dxa"/>
            <w:noWrap w:val="0"/>
            <w:tcMar>
              <w:left w:w="57" w:type="dxa"/>
              <w:right w:w="57" w:type="dxa"/>
            </w:tcMar>
            <w:vAlign w:val="center"/>
          </w:tcPr>
          <w:p>
            <w:pPr>
              <w:widowControl/>
              <w:jc w:val="left"/>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行政规范性文件</w:t>
            </w:r>
          </w:p>
        </w:tc>
        <w:tc>
          <w:tcPr>
            <w:tcW w:w="2435" w:type="dxa"/>
            <w:noWrap w:val="0"/>
            <w:tcMar>
              <w:left w:w="57" w:type="dxa"/>
              <w:right w:w="57" w:type="dxa"/>
            </w:tcMar>
            <w:vAlign w:val="center"/>
          </w:tcPr>
          <w:p>
            <w:pPr>
              <w:widowControl/>
              <w:jc w:val="left"/>
              <w:rPr>
                <w:rFonts w:hint="eastAsia" w:ascii="Times New Roman" w:hAnsi="Times New Roman" w:eastAsia="等线" w:cs="Times New Roman"/>
                <w:sz w:val="21"/>
                <w:szCs w:val="22"/>
                <w:lang w:eastAsia="zh-CN"/>
              </w:rPr>
            </w:pPr>
            <w:r>
              <w:rPr>
                <w:rFonts w:hint="default" w:ascii="Times New Roman" w:hAnsi="Times New Roman" w:eastAsia="宋体" w:cs="Times New Roman"/>
                <w:kern w:val="0"/>
                <w:sz w:val="20"/>
                <w:szCs w:val="22"/>
                <w:lang w:val="en-US" w:eastAsia="zh-CN" w:bidi="ar"/>
              </w:rPr>
              <w:t>0</w:t>
            </w:r>
          </w:p>
        </w:tc>
        <w:tc>
          <w:tcPr>
            <w:tcW w:w="2435" w:type="dxa"/>
            <w:noWrap w:val="0"/>
            <w:tcMar>
              <w:left w:w="57" w:type="dxa"/>
              <w:right w:w="57" w:type="dxa"/>
            </w:tcMar>
            <w:vAlign w:val="center"/>
          </w:tcPr>
          <w:p>
            <w:pPr>
              <w:widowControl/>
              <w:jc w:val="left"/>
              <w:rPr>
                <w:rFonts w:hint="eastAsia" w:ascii="Times New Roman" w:hAnsi="Times New Roman" w:eastAsia="等线" w:cs="Times New Roman"/>
                <w:sz w:val="21"/>
                <w:szCs w:val="22"/>
                <w:lang w:eastAsia="zh-CN"/>
              </w:rPr>
            </w:pPr>
            <w:r>
              <w:rPr>
                <w:rFonts w:hint="default" w:ascii="Times New Roman" w:hAnsi="Times New Roman" w:eastAsia="宋体" w:cs="Times New Roman"/>
                <w:kern w:val="0"/>
                <w:sz w:val="20"/>
                <w:szCs w:val="22"/>
                <w:lang w:val="en-US" w:eastAsia="zh-CN" w:bidi="ar"/>
              </w:rPr>
              <w:t>0</w:t>
            </w:r>
          </w:p>
        </w:tc>
        <w:tc>
          <w:tcPr>
            <w:tcW w:w="2435" w:type="dxa"/>
            <w:noWrap w:val="0"/>
            <w:tcMar>
              <w:left w:w="57" w:type="dxa"/>
              <w:right w:w="57" w:type="dxa"/>
            </w:tcMar>
            <w:vAlign w:val="center"/>
          </w:tcPr>
          <w:p>
            <w:pPr>
              <w:widowControl/>
              <w:jc w:val="left"/>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7305" w:type="dxa"/>
            <w:gridSpan w:val="3"/>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行政许可</w:t>
            </w:r>
          </w:p>
        </w:tc>
        <w:tc>
          <w:tcPr>
            <w:tcW w:w="7305" w:type="dxa"/>
            <w:gridSpan w:val="3"/>
            <w:shd w:val="clear" w:color="auto" w:fill="FFFFFF"/>
            <w:noWrap w:val="0"/>
            <w:tcMar>
              <w:left w:w="57" w:type="dxa"/>
              <w:right w:w="57" w:type="dxa"/>
            </w:tcMar>
            <w:vAlign w:val="center"/>
          </w:tcPr>
          <w:p>
            <w:pPr>
              <w:widowControl/>
              <w:jc w:val="left"/>
              <w:rPr>
                <w:rFonts w:hint="eastAsia" w:ascii="Times New Roman" w:hAnsi="Times New Roman" w:eastAsia="等线" w:cs="Times New Roman"/>
                <w:sz w:val="21"/>
                <w:szCs w:val="22"/>
                <w:lang w:val="en-US" w:eastAsia="zh-CN"/>
              </w:rPr>
            </w:pPr>
            <w:r>
              <w:rPr>
                <w:rFonts w:hint="default" w:ascii="Times New Roman" w:hAnsi="Times New Roman" w:cs="Times New Roman"/>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7305" w:type="dxa"/>
            <w:gridSpan w:val="3"/>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行政处罚</w:t>
            </w:r>
          </w:p>
        </w:tc>
        <w:tc>
          <w:tcPr>
            <w:tcW w:w="7305" w:type="dxa"/>
            <w:gridSpan w:val="3"/>
            <w:shd w:val="clear" w:color="auto" w:fill="FFFFFF"/>
            <w:noWrap w:val="0"/>
            <w:tcMar>
              <w:left w:w="57" w:type="dxa"/>
              <w:right w:w="57" w:type="dxa"/>
            </w:tcMar>
            <w:vAlign w:val="center"/>
          </w:tcPr>
          <w:p>
            <w:pPr>
              <w:widowControl/>
              <w:jc w:val="left"/>
              <w:rPr>
                <w:rFonts w:hint="eastAsia" w:ascii="Times New Roman" w:hAnsi="Times New Roman" w:eastAsia="等线" w:cs="Times New Roman"/>
                <w:sz w:val="21"/>
                <w:szCs w:val="22"/>
                <w:lang w:eastAsia="zh-CN"/>
              </w:rPr>
            </w:pPr>
            <w:r>
              <w:rPr>
                <w:rFonts w:hint="default" w:ascii="Times New Roman" w:hAnsi="Times New Roman" w:eastAsia="宋体" w:cs="Times New Roman"/>
                <w:kern w:val="0"/>
                <w:sz w:val="20"/>
                <w:szCs w:val="22"/>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行政强制</w:t>
            </w:r>
          </w:p>
        </w:tc>
        <w:tc>
          <w:tcPr>
            <w:tcW w:w="7305" w:type="dxa"/>
            <w:gridSpan w:val="3"/>
            <w:shd w:val="clear" w:color="auto" w:fill="FFFFFF"/>
            <w:noWrap w:val="0"/>
            <w:tcMar>
              <w:left w:w="57" w:type="dxa"/>
              <w:right w:w="57" w:type="dxa"/>
            </w:tcMar>
            <w:vAlign w:val="center"/>
          </w:tcPr>
          <w:p>
            <w:pPr>
              <w:widowControl/>
              <w:jc w:val="left"/>
              <w:rPr>
                <w:rFonts w:hint="eastAsia" w:ascii="Times New Roman" w:hAnsi="Times New Roman" w:eastAsia="等线" w:cs="Times New Roman"/>
                <w:sz w:val="21"/>
                <w:szCs w:val="22"/>
                <w:lang w:eastAsia="zh-CN"/>
              </w:rPr>
            </w:pPr>
            <w:r>
              <w:rPr>
                <w:rFonts w:hint="default" w:ascii="Times New Roman" w:hAnsi="Times New Roman" w:eastAsia="宋体" w:cs="Times New Roman"/>
                <w:kern w:val="0"/>
                <w:sz w:val="20"/>
                <w:szCs w:val="2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7305" w:type="dxa"/>
            <w:gridSpan w:val="3"/>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行政事业性收费</w:t>
            </w:r>
          </w:p>
        </w:tc>
        <w:tc>
          <w:tcPr>
            <w:tcW w:w="7305" w:type="dxa"/>
            <w:gridSpan w:val="3"/>
            <w:shd w:val="clear" w:color="auto" w:fill="FFFFFF"/>
            <w:noWrap w:val="0"/>
            <w:tcMar>
              <w:left w:w="57" w:type="dxa"/>
              <w:right w:w="57" w:type="dxa"/>
            </w:tcMar>
            <w:vAlign w:val="center"/>
          </w:tcPr>
          <w:p>
            <w:pPr>
              <w:rPr>
                <w:rFonts w:hint="eastAsia" w:ascii="Times New Roman" w:hAnsi="Times New Roman" w:eastAsia="等线" w:cs="Times New Roman"/>
                <w:sz w:val="24"/>
                <w:szCs w:val="24"/>
                <w:lang w:val="en-US" w:eastAsia="zh-CN"/>
              </w:rPr>
            </w:pPr>
            <w:r>
              <w:rPr>
                <w:rFonts w:hint="default" w:ascii="Times New Roman" w:hAnsi="Times New Roman" w:cs="Times New Roman"/>
                <w:sz w:val="24"/>
                <w:szCs w:val="24"/>
                <w:lang w:val="en-US" w:eastAsia="zh-CN"/>
              </w:rPr>
              <w:t>0</w:t>
            </w:r>
          </w:p>
        </w:tc>
      </w:tr>
    </w:tbl>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三、收到和处理政府信息公开申请情况</w:t>
      </w:r>
    </w:p>
    <w:tbl>
      <w:tblPr>
        <w:tblStyle w:val="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vMerge w:val="restart"/>
            <w:noWrap w:val="0"/>
            <w:tcMar>
              <w:left w:w="108" w:type="dxa"/>
              <w:right w:w="108" w:type="dxa"/>
            </w:tcMar>
            <w:vAlign w:val="center"/>
          </w:tcPr>
          <w:p>
            <w:pPr>
              <w:widowControl/>
              <w:jc w:val="left"/>
              <w:rPr>
                <w:rFonts w:ascii="Times New Roman" w:hAnsi="Times New Roman" w:eastAsia="等线" w:cs="Times New Roman"/>
                <w:color w:val="000000"/>
                <w:sz w:val="21"/>
                <w:szCs w:val="22"/>
              </w:rPr>
            </w:pPr>
            <w:r>
              <w:rPr>
                <w:rFonts w:ascii="Times New Roman" w:hAnsi="Times New Roman" w:eastAsia="楷体" w:cs="楷体"/>
                <w:color w:val="000000"/>
                <w:kern w:val="0"/>
                <w:sz w:val="20"/>
                <w:szCs w:val="22"/>
                <w:lang w:bidi="ar"/>
              </w:rPr>
              <w:t>（本列数据的勾稽关系为：第一项加第二项之和，等于第三项加第四项之和）</w:t>
            </w:r>
          </w:p>
        </w:tc>
        <w:tc>
          <w:tcPr>
            <w:tcW w:w="4817" w:type="dxa"/>
            <w:gridSpan w:val="7"/>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88" w:type="dxa"/>
            <w:vMerge w:val="restart"/>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自然人</w:t>
            </w:r>
          </w:p>
        </w:tc>
        <w:tc>
          <w:tcPr>
            <w:tcW w:w="3440" w:type="dxa"/>
            <w:gridSpan w:val="5"/>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法人或其他组织</w:t>
            </w:r>
          </w:p>
        </w:tc>
        <w:tc>
          <w:tcPr>
            <w:tcW w:w="689" w:type="dxa"/>
            <w:vMerge w:val="restart"/>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8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商业</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企业</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科研</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机构</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社会公益组织</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法律服务机构</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其他</w:t>
            </w:r>
          </w:p>
        </w:tc>
        <w:tc>
          <w:tcPr>
            <w:tcW w:w="689"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1" w:type="dxa"/>
            <w:gridSpan w:val="3"/>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一、本年新收政府信息公开申请数量</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二、上年结转政府信息公开申请数量</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三、本年度办理结果</w:t>
            </w:r>
          </w:p>
        </w:tc>
        <w:tc>
          <w:tcPr>
            <w:tcW w:w="4163" w:type="dxa"/>
            <w:gridSpan w:val="2"/>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（一）予以公开</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4163" w:type="dxa"/>
            <w:gridSpan w:val="2"/>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（二）部分公开</w:t>
            </w:r>
            <w:r>
              <w:rPr>
                <w:rFonts w:ascii="Times New Roman" w:hAnsi="Times New Roman" w:eastAsia="楷体" w:cs="楷体"/>
                <w:color w:val="000000"/>
                <w:kern w:val="0"/>
                <w:sz w:val="20"/>
                <w:szCs w:val="22"/>
                <w:lang w:bidi="ar"/>
              </w:rPr>
              <w:t>（区分处理的，只计这一情形，不计其他情形）</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（三）不予公开</w:t>
            </w: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1.</w:t>
            </w:r>
            <w:r>
              <w:rPr>
                <w:rFonts w:hint="eastAsia" w:ascii="Times New Roman" w:hAnsi="Times New Roman" w:eastAsia="宋体" w:cs="宋体"/>
                <w:color w:val="000000"/>
                <w:kern w:val="0"/>
                <w:sz w:val="20"/>
                <w:szCs w:val="22"/>
                <w:lang w:bidi="ar"/>
              </w:rPr>
              <w:t>属于国家秘密</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2</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其他法律行政法规禁止公开</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3</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危及“三安全一稳定”</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4</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保护第三方合法权益</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5</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属于三类内部事务信息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6</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属于四类过程性信息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7</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属于行政执法案卷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8</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属于行政查询事项</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（四）无法提供</w:t>
            </w: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1</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本机关不掌握相关政府信息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2</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没有现成信息需要另行制作</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3</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补正后申请内容仍不明确</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（五）不予处理</w:t>
            </w: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1</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信访举报投诉类申请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2</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重复申请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3</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要求提供公开出版物</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4</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无正当理由大量反复申请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center"/>
          </w:tcPr>
          <w:p>
            <w:pPr>
              <w:widowControl/>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5</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要求行政机关确认或重新出具已获取信息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（六）其他处理</w:t>
            </w:r>
          </w:p>
        </w:tc>
        <w:tc>
          <w:tcPr>
            <w:tcW w:w="3220" w:type="dxa"/>
            <w:noWrap w:val="0"/>
            <w:tcMar>
              <w:left w:w="57" w:type="dxa"/>
              <w:right w:w="57" w:type="dxa"/>
            </w:tcMar>
            <w:vAlign w:val="center"/>
          </w:tcPr>
          <w:p>
            <w:pPr>
              <w:widowControl/>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1</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申请人无正当理由逾期不补正、行政机关不再处理其政府信息公开申请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center"/>
          </w:tcPr>
          <w:p>
            <w:pPr>
              <w:widowControl/>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2</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申请人逾期未按收费通知要求缴纳费用、行政机关不再处理其政府信息公开申请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3</w:t>
            </w:r>
            <w:r>
              <w:rPr>
                <w:rFonts w:hint="eastAsia" w:ascii="Times New Roman" w:hAnsi="Times New Roman" w:eastAsia="宋体" w:cs="Times New Roman"/>
                <w:color w:val="000000"/>
                <w:kern w:val="0"/>
                <w:sz w:val="20"/>
                <w:szCs w:val="22"/>
                <w:lang w:bidi="ar"/>
              </w:rPr>
              <w:t>.</w:t>
            </w:r>
            <w:r>
              <w:rPr>
                <w:rFonts w:hint="eastAsia" w:ascii="Times New Roman" w:hAnsi="Times New Roman" w:eastAsia="宋体" w:cs="宋体"/>
                <w:color w:val="000000"/>
                <w:kern w:val="0"/>
                <w:sz w:val="20"/>
                <w:szCs w:val="22"/>
                <w:lang w:bidi="ar"/>
              </w:rPr>
              <w:t>其他</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4163" w:type="dxa"/>
            <w:gridSpan w:val="2"/>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（七）总计</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四、结转下年度继续办理</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default"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r>
    </w:tbl>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方正黑体_GBK" w:cs="方正黑体_GBK"/>
          <w:color w:val="000000"/>
          <w:sz w:val="21"/>
          <w:szCs w:val="32"/>
        </w:rPr>
      </w:pPr>
      <w:r>
        <w:rPr>
          <w:rFonts w:hint="eastAsia" w:ascii="Times New Roman" w:hAnsi="Times New Roman" w:eastAsia="方正黑体_GBK" w:cs="方正黑体_GBK"/>
          <w:color w:val="000000"/>
          <w:sz w:val="32"/>
          <w:szCs w:val="32"/>
        </w:rPr>
        <w:t>四、政府信息公开行政复议、行政诉讼情况</w:t>
      </w:r>
    </w:p>
    <w:tbl>
      <w:tblPr>
        <w:tblStyle w:val="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45" w:type="dxa"/>
            <w:gridSpan w:val="5"/>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行政复议</w:t>
            </w:r>
          </w:p>
        </w:tc>
        <w:tc>
          <w:tcPr>
            <w:tcW w:w="6503" w:type="dxa"/>
            <w:gridSpan w:val="10"/>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9" w:type="dxa"/>
            <w:vMerge w:val="restart"/>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结果维持</w:t>
            </w:r>
          </w:p>
        </w:tc>
        <w:tc>
          <w:tcPr>
            <w:tcW w:w="649" w:type="dxa"/>
            <w:vMerge w:val="restart"/>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结果</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纠正</w:t>
            </w:r>
          </w:p>
        </w:tc>
        <w:tc>
          <w:tcPr>
            <w:tcW w:w="649" w:type="dxa"/>
            <w:vMerge w:val="restart"/>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其他</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p>
        </w:tc>
        <w:tc>
          <w:tcPr>
            <w:tcW w:w="649" w:type="dxa"/>
            <w:vMerge w:val="restart"/>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尚未</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审结</w:t>
            </w:r>
          </w:p>
        </w:tc>
        <w:tc>
          <w:tcPr>
            <w:tcW w:w="649" w:type="dxa"/>
            <w:vMerge w:val="restart"/>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c>
          <w:tcPr>
            <w:tcW w:w="3248" w:type="dxa"/>
            <w:gridSpan w:val="5"/>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未经复议直接起诉</w:t>
            </w:r>
          </w:p>
        </w:tc>
        <w:tc>
          <w:tcPr>
            <w:tcW w:w="3255" w:type="dxa"/>
            <w:gridSpan w:val="5"/>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结果</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维持</w:t>
            </w:r>
          </w:p>
        </w:tc>
        <w:tc>
          <w:tcPr>
            <w:tcW w:w="649"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结果</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纠正</w:t>
            </w:r>
          </w:p>
        </w:tc>
        <w:tc>
          <w:tcPr>
            <w:tcW w:w="650"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其他</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p>
        </w:tc>
        <w:tc>
          <w:tcPr>
            <w:tcW w:w="650"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尚未</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审结</w:t>
            </w:r>
          </w:p>
        </w:tc>
        <w:tc>
          <w:tcPr>
            <w:tcW w:w="650"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c>
          <w:tcPr>
            <w:tcW w:w="651"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结果</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维持</w:t>
            </w:r>
          </w:p>
        </w:tc>
        <w:tc>
          <w:tcPr>
            <w:tcW w:w="651"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结果</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纠正</w:t>
            </w:r>
          </w:p>
        </w:tc>
        <w:tc>
          <w:tcPr>
            <w:tcW w:w="651"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其他</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p>
        </w:tc>
        <w:tc>
          <w:tcPr>
            <w:tcW w:w="651" w:type="dxa"/>
            <w:noWrap w:val="0"/>
            <w:tcMar>
              <w:left w:w="108" w:type="dxa"/>
              <w:right w:w="108" w:type="dxa"/>
            </w:tcMar>
            <w:vAlign w:val="center"/>
          </w:tcPr>
          <w:p>
            <w:pPr>
              <w:widowControl/>
              <w:jc w:val="center"/>
              <w:rPr>
                <w:rFonts w:hint="eastAsia" w:ascii="Times New Roman" w:hAnsi="Times New Roman" w:eastAsia="宋体" w:cs="宋体"/>
                <w:color w:val="000000"/>
                <w:kern w:val="0"/>
                <w:sz w:val="20"/>
                <w:szCs w:val="22"/>
                <w:lang w:eastAsia="zh-CN" w:bidi="ar"/>
              </w:rPr>
            </w:pPr>
            <w:r>
              <w:rPr>
                <w:rFonts w:hint="eastAsia" w:ascii="Times New Roman" w:hAnsi="Times New Roman" w:eastAsia="宋体" w:cs="宋体"/>
                <w:color w:val="000000"/>
                <w:kern w:val="0"/>
                <w:sz w:val="20"/>
                <w:szCs w:val="22"/>
                <w:lang w:bidi="ar"/>
              </w:rPr>
              <w:t>尚未</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审结</w:t>
            </w:r>
          </w:p>
        </w:tc>
        <w:tc>
          <w:tcPr>
            <w:tcW w:w="651"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49" w:type="dxa"/>
            <w:noWrap w:val="0"/>
            <w:tcMar>
              <w:left w:w="108" w:type="dxa"/>
              <w:right w:w="108"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49" w:type="dxa"/>
            <w:noWrap w:val="0"/>
            <w:tcMar>
              <w:left w:w="108" w:type="dxa"/>
              <w:right w:w="108"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default" w:ascii="Times New Roman" w:hAnsi="Times New Roman" w:eastAsia="宋体" w:cs="Times New Roman"/>
                <w:color w:val="000000"/>
                <w:sz w:val="21"/>
                <w:szCs w:val="22"/>
                <w:lang w:val="en-US" w:eastAsia="zh-CN"/>
              </w:rPr>
              <w:t>0</w:t>
            </w:r>
          </w:p>
        </w:tc>
        <w:tc>
          <w:tcPr>
            <w:tcW w:w="650"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default" w:ascii="Times New Roman" w:hAnsi="Times New Roman" w:eastAsia="黑体" w:cs="Times New Roman"/>
                <w:color w:val="000000"/>
                <w:sz w:val="21"/>
                <w:szCs w:val="22"/>
                <w:lang w:val="en-US" w:eastAsia="zh-CN"/>
              </w:rPr>
              <w:t>0</w:t>
            </w:r>
          </w:p>
        </w:tc>
        <w:tc>
          <w:tcPr>
            <w:tcW w:w="650"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default" w:ascii="Times New Roman" w:hAnsi="Times New Roman" w:eastAsia="黑体" w:cs="Times New Roman"/>
                <w:color w:val="000000"/>
                <w:sz w:val="21"/>
                <w:szCs w:val="22"/>
                <w:lang w:val="en-US" w:eastAsia="zh-CN"/>
              </w:rPr>
              <w:t>0</w:t>
            </w:r>
          </w:p>
        </w:tc>
        <w:tc>
          <w:tcPr>
            <w:tcW w:w="650"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default"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default"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default"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default"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default"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rPr>
                <w:rFonts w:hint="eastAsia" w:ascii="Times New Roman" w:hAnsi="Times New Roman" w:eastAsia="等线" w:cs="Times New Roman"/>
                <w:color w:val="000000"/>
                <w:sz w:val="24"/>
                <w:szCs w:val="24"/>
                <w:lang w:val="en-US" w:eastAsia="zh-CN"/>
              </w:rPr>
            </w:pPr>
            <w:r>
              <w:rPr>
                <w:rFonts w:hint="default" w:ascii="Times New Roman" w:hAnsi="Times New Roman" w:cs="Times New Roman"/>
                <w:color w:val="000000"/>
                <w:sz w:val="24"/>
                <w:szCs w:val="24"/>
                <w:lang w:val="en-US" w:eastAsia="zh-CN"/>
              </w:rPr>
              <w:t>0</w:t>
            </w:r>
          </w:p>
        </w:tc>
      </w:tr>
    </w:tbl>
    <w:p>
      <w:pPr>
        <w:keepNext w:val="0"/>
        <w:keepLines w:val="0"/>
        <w:pageBreakBefore w:val="0"/>
        <w:widowControl w:val="0"/>
        <w:kinsoku/>
        <w:wordWrap/>
        <w:overflowPunct/>
        <w:topLinePunct w:val="0"/>
        <w:autoSpaceDE w:val="0"/>
        <w:autoSpaceDN w:val="0"/>
        <w:bidi w:val="0"/>
        <w:adjustRightInd w:val="0"/>
        <w:snapToGrid/>
        <w:spacing w:line="578" w:lineRule="exact"/>
        <w:ind w:right="482" w:firstLine="640" w:firstLineChars="200"/>
        <w:jc w:val="left"/>
        <w:textAlignment w:val="auto"/>
        <w:rPr>
          <w:rFonts w:ascii="Times New Roman" w:hAnsi="Times New Roman" w:eastAsia="方正黑体_GBK" w:cs="HiddenHorzOCR"/>
          <w:kern w:val="0"/>
          <w:sz w:val="32"/>
          <w:szCs w:val="32"/>
        </w:rPr>
      </w:pPr>
      <w:r>
        <w:rPr>
          <w:rFonts w:hint="eastAsia" w:ascii="Times New Roman" w:hAnsi="Times New Roman" w:eastAsia="方正黑体_GBK" w:cs="HiddenHorzOCR"/>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今年我局的政务公开工作虽然取得了一定</w:t>
      </w:r>
      <w:r>
        <w:rPr>
          <w:rFonts w:hint="eastAsia" w:ascii="方正仿宋_GBK" w:hAnsi="方正仿宋_GBK" w:eastAsia="方正仿宋_GBK" w:cs="方正仿宋_GBK"/>
          <w:sz w:val="32"/>
          <w:szCs w:val="32"/>
          <w:lang w:val="en-US" w:eastAsia="zh-CN"/>
        </w:rPr>
        <w:t>成效</w:t>
      </w:r>
      <w:r>
        <w:rPr>
          <w:rFonts w:hint="eastAsia" w:ascii="方正仿宋_GBK" w:hAnsi="方正仿宋_GBK" w:eastAsia="方正仿宋_GBK" w:cs="方正仿宋_GBK"/>
          <w:sz w:val="32"/>
          <w:szCs w:val="32"/>
        </w:rPr>
        <w:t>，但</w:t>
      </w:r>
      <w:r>
        <w:rPr>
          <w:rFonts w:hint="eastAsia" w:ascii="方正仿宋_GBK" w:hAnsi="方正仿宋_GBK" w:eastAsia="方正仿宋_GBK" w:cs="方正仿宋_GBK"/>
          <w:sz w:val="32"/>
          <w:szCs w:val="32"/>
          <w:lang w:val="en-US" w:eastAsia="zh-CN"/>
        </w:rPr>
        <w:t>仍然存在一些问题。一是经办</w:t>
      </w:r>
      <w:r>
        <w:rPr>
          <w:rFonts w:hint="eastAsia" w:ascii="方正仿宋_GBK" w:hAnsi="方正仿宋_GBK" w:eastAsia="方正仿宋_GBK" w:cs="方正仿宋_GBK"/>
          <w:sz w:val="32"/>
          <w:szCs w:val="32"/>
        </w:rPr>
        <w:t>人员</w:t>
      </w:r>
      <w:r>
        <w:rPr>
          <w:rFonts w:hint="eastAsia" w:ascii="方正仿宋_GBK" w:hAnsi="方正仿宋_GBK" w:eastAsia="方正仿宋_GBK" w:cs="方正仿宋_GBK"/>
          <w:sz w:val="32"/>
          <w:szCs w:val="32"/>
          <w:lang w:val="en-US" w:eastAsia="zh-CN"/>
        </w:rPr>
        <w:t>工作交接不够到位，接任的经办人员对相关工作了解不够全面、学习不够深入，</w:t>
      </w:r>
      <w:r>
        <w:rPr>
          <w:rFonts w:hint="eastAsia" w:ascii="方正仿宋_GBK" w:hAnsi="方正仿宋_GBK" w:eastAsia="方正仿宋_GBK" w:cs="方正仿宋_GBK"/>
          <w:sz w:val="32"/>
          <w:szCs w:val="32"/>
        </w:rPr>
        <w:t>在一定程度上影响了工作质量；</w:t>
      </w:r>
      <w:r>
        <w:rPr>
          <w:rFonts w:hint="eastAsia" w:ascii="方正仿宋_GBK" w:hAnsi="方正仿宋_GBK" w:eastAsia="方正仿宋_GBK" w:cs="方正仿宋_GBK"/>
          <w:sz w:val="32"/>
          <w:szCs w:val="32"/>
          <w:lang w:val="en-US" w:eastAsia="zh-CN"/>
        </w:rPr>
        <w:t>二是信息发布的及时性有待进一步加强，有时存在上级督促我局发布、牵头科室催促业务科室提交信息的情况</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黑体_GBK" w:cs="HiddenHorzOCR"/>
          <w:kern w:val="0"/>
          <w:sz w:val="32"/>
          <w:szCs w:val="32"/>
        </w:rPr>
      </w:pPr>
      <w:r>
        <w:rPr>
          <w:rFonts w:hint="eastAsia" w:ascii="方正仿宋_GBK" w:hAnsi="方正仿宋_GBK" w:eastAsia="方正仿宋_GBK" w:cs="方正仿宋_GBK"/>
          <w:sz w:val="32"/>
          <w:szCs w:val="32"/>
        </w:rPr>
        <w:t>下一步，我局将从以下</w:t>
      </w:r>
      <w:r>
        <w:rPr>
          <w:rFonts w:hint="eastAsia" w:ascii="方正仿宋_GBK" w:hAnsi="方正仿宋_GBK" w:eastAsia="方正仿宋_GBK" w:cs="方正仿宋_GBK"/>
          <w:sz w:val="32"/>
          <w:szCs w:val="32"/>
          <w:lang w:val="en-US" w:eastAsia="zh-CN"/>
        </w:rPr>
        <w:t>几个</w:t>
      </w:r>
      <w:r>
        <w:rPr>
          <w:rFonts w:hint="eastAsia" w:ascii="方正仿宋_GBK" w:hAnsi="方正仿宋_GBK" w:eastAsia="方正仿宋_GBK" w:cs="方正仿宋_GBK"/>
          <w:sz w:val="32"/>
          <w:szCs w:val="32"/>
        </w:rPr>
        <w:t>方面</w:t>
      </w:r>
      <w:r>
        <w:rPr>
          <w:rFonts w:hint="eastAsia" w:ascii="方正仿宋_GBK" w:hAnsi="方正仿宋_GBK" w:eastAsia="方正仿宋_GBK" w:cs="方正仿宋_GBK"/>
          <w:sz w:val="32"/>
          <w:szCs w:val="32"/>
          <w:lang w:val="en-US" w:eastAsia="zh-CN"/>
        </w:rPr>
        <w:t>着手</w:t>
      </w:r>
      <w:r>
        <w:rPr>
          <w:rFonts w:hint="eastAsia" w:ascii="方正仿宋_GBK" w:hAnsi="方正仿宋_GBK" w:eastAsia="方正仿宋_GBK" w:cs="方正仿宋_GBK"/>
          <w:sz w:val="32"/>
          <w:szCs w:val="32"/>
        </w:rPr>
        <w:t>，进一步提升政务公开水平：</w:t>
      </w:r>
      <w:r>
        <w:rPr>
          <w:rFonts w:hint="eastAsia" w:ascii="方正仿宋_GBK" w:hAnsi="方正仿宋_GBK" w:eastAsia="方正仿宋_GBK" w:cs="方正仿宋_GBK"/>
          <w:sz w:val="32"/>
          <w:szCs w:val="32"/>
          <w:lang w:val="en-US" w:eastAsia="zh-CN"/>
        </w:rPr>
        <w:t>一是</w:t>
      </w:r>
      <w:r>
        <w:rPr>
          <w:rFonts w:hint="eastAsia" w:ascii="方正仿宋_GBK" w:hAnsi="方正仿宋_GBK" w:eastAsia="方正仿宋_GBK" w:cs="方正仿宋_GBK"/>
          <w:sz w:val="32"/>
          <w:szCs w:val="32"/>
        </w:rPr>
        <w:t>持续加强主动公开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对法定主动公开内容、政府信息公开目录等信息主动及时更新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提高政策信息发布的及时性、准确性</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二是持续加强有效互动，坚持人民至上，进一步畅通政府网站互动渠道，建好用好政策咨询问答库，及时回复和办理公开信箱的来信。三是持续加强队伍建设，增加业务培训频次，组织全局干部职工特别是经办人员学习政务公开相关文件以及会议精神，学习公开的内容、程序、目标、要求和任务，强化各科室政务公开的责任意识，切实提升工作人员的业务知识水平，进一步提高全局干部职工关心、支持、参与政府信息公开工作的积极性。</w:t>
      </w:r>
    </w:p>
    <w:p>
      <w:pPr>
        <w:keepNext w:val="0"/>
        <w:keepLines w:val="0"/>
        <w:pageBreakBefore w:val="0"/>
        <w:widowControl w:val="0"/>
        <w:kinsoku/>
        <w:wordWrap/>
        <w:overflowPunct/>
        <w:topLinePunct w:val="0"/>
        <w:autoSpaceDE w:val="0"/>
        <w:autoSpaceDN w:val="0"/>
        <w:bidi w:val="0"/>
        <w:adjustRightInd w:val="0"/>
        <w:snapToGrid/>
        <w:spacing w:line="578" w:lineRule="exact"/>
        <w:ind w:right="480" w:firstLine="640" w:firstLineChars="200"/>
        <w:jc w:val="left"/>
        <w:textAlignment w:val="auto"/>
        <w:rPr>
          <w:rFonts w:ascii="Times New Roman" w:hAnsi="Times New Roman" w:eastAsia="方正黑体_GBK" w:cs="HiddenHorzOCR"/>
          <w:kern w:val="0"/>
          <w:sz w:val="32"/>
          <w:szCs w:val="32"/>
        </w:rPr>
      </w:pPr>
      <w:r>
        <w:rPr>
          <w:rFonts w:hint="eastAsia" w:ascii="Times New Roman" w:hAnsi="Times New Roman" w:eastAsia="方正黑体_GBK" w:cs="HiddenHorzOCR"/>
          <w:kern w:val="0"/>
          <w:sz w:val="32"/>
          <w:szCs w:val="32"/>
        </w:rPr>
        <w:t>六、其他需要报告的事项</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无其他需要报告的事项</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bidi w:val="0"/>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云阳县统计局</w:t>
      </w:r>
    </w:p>
    <w:p>
      <w:pPr>
        <w:keepNext w:val="0"/>
        <w:keepLines w:val="0"/>
        <w:pageBreakBefore w:val="0"/>
        <w:widowControl w:val="0"/>
        <w:kinsoku/>
        <w:wordWrap/>
        <w:overflowPunct/>
        <w:topLinePunct w:val="0"/>
        <w:bidi w:val="0"/>
        <w:snapToGrid/>
        <w:spacing w:line="578" w:lineRule="exact"/>
        <w:jc w:val="right"/>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2024</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19</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bidi w:val="0"/>
        <w:snapToGrid/>
        <w:spacing w:line="578" w:lineRule="exact"/>
        <w:jc w:val="right"/>
        <w:textAlignment w:val="auto"/>
        <w:rPr>
          <w:rFonts w:hint="default" w:ascii="方正仿宋_GBK" w:hAnsi="方正仿宋_GBK" w:eastAsia="方正仿宋_GBK" w:cs="方正仿宋_GBK"/>
          <w:sz w:val="32"/>
          <w:szCs w:val="32"/>
          <w:lang w:val="en-US" w:eastAsia="zh-CN"/>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HiddenHorzOCR">
    <w:altName w:val="方正书宋_GBK"/>
    <w:panose1 w:val="00000000000000000000"/>
    <w:charset w:val="80"/>
    <w:family w:val="auto"/>
    <w:pitch w:val="default"/>
    <w:sig w:usb0="00000000" w:usb1="00000000" w:usb2="00000010" w:usb3="00000000" w:csb0="0002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YjAzYjYyMDY5OTNmMTBiY2YyZDMzZmEwNDE1ODcifQ=="/>
  </w:docVars>
  <w:rsids>
    <w:rsidRoot w:val="7B1B26BB"/>
    <w:rsid w:val="001F3ADA"/>
    <w:rsid w:val="01B110AA"/>
    <w:rsid w:val="032F2286"/>
    <w:rsid w:val="033E696D"/>
    <w:rsid w:val="036363D4"/>
    <w:rsid w:val="0845254C"/>
    <w:rsid w:val="08EC0C19"/>
    <w:rsid w:val="09181A0E"/>
    <w:rsid w:val="0BEF51C3"/>
    <w:rsid w:val="0E0D58BA"/>
    <w:rsid w:val="0EF95E3E"/>
    <w:rsid w:val="135E15DA"/>
    <w:rsid w:val="14F25809"/>
    <w:rsid w:val="15284D87"/>
    <w:rsid w:val="17410382"/>
    <w:rsid w:val="17D80CE7"/>
    <w:rsid w:val="17F35B20"/>
    <w:rsid w:val="19102702"/>
    <w:rsid w:val="19630A84"/>
    <w:rsid w:val="1A6C5716"/>
    <w:rsid w:val="1B9C64CF"/>
    <w:rsid w:val="1D6F5C49"/>
    <w:rsid w:val="1DE33F41"/>
    <w:rsid w:val="1FEB532F"/>
    <w:rsid w:val="20474C5B"/>
    <w:rsid w:val="21461C99"/>
    <w:rsid w:val="21F506E7"/>
    <w:rsid w:val="231B23CF"/>
    <w:rsid w:val="26212A87"/>
    <w:rsid w:val="26AA7CF2"/>
    <w:rsid w:val="26DE174A"/>
    <w:rsid w:val="2C1856FE"/>
    <w:rsid w:val="2CC17B44"/>
    <w:rsid w:val="2E9848D4"/>
    <w:rsid w:val="2F4B7B98"/>
    <w:rsid w:val="37B00EE0"/>
    <w:rsid w:val="38BD1B07"/>
    <w:rsid w:val="38C20ECB"/>
    <w:rsid w:val="3905525C"/>
    <w:rsid w:val="3C8F5568"/>
    <w:rsid w:val="40F005A0"/>
    <w:rsid w:val="43065E58"/>
    <w:rsid w:val="43104F29"/>
    <w:rsid w:val="44511355"/>
    <w:rsid w:val="4682613E"/>
    <w:rsid w:val="48F055E1"/>
    <w:rsid w:val="49831FB1"/>
    <w:rsid w:val="4CEF5BAF"/>
    <w:rsid w:val="4EA50C1B"/>
    <w:rsid w:val="4F0C47F7"/>
    <w:rsid w:val="502A762A"/>
    <w:rsid w:val="506D39BB"/>
    <w:rsid w:val="50AF7B2F"/>
    <w:rsid w:val="51340035"/>
    <w:rsid w:val="51D33CF1"/>
    <w:rsid w:val="51D830B6"/>
    <w:rsid w:val="52543E24"/>
    <w:rsid w:val="53A25729"/>
    <w:rsid w:val="543F566E"/>
    <w:rsid w:val="544669FD"/>
    <w:rsid w:val="547D67C1"/>
    <w:rsid w:val="56AD2D63"/>
    <w:rsid w:val="58DA5965"/>
    <w:rsid w:val="593432C8"/>
    <w:rsid w:val="597B0EF6"/>
    <w:rsid w:val="5AE75AD7"/>
    <w:rsid w:val="5ED2202A"/>
    <w:rsid w:val="5FDC1FC3"/>
    <w:rsid w:val="60477D84"/>
    <w:rsid w:val="624F4CCE"/>
    <w:rsid w:val="652A557F"/>
    <w:rsid w:val="65332685"/>
    <w:rsid w:val="65D025CA"/>
    <w:rsid w:val="67F0485E"/>
    <w:rsid w:val="68A67612"/>
    <w:rsid w:val="6E5B2C4D"/>
    <w:rsid w:val="6F345978"/>
    <w:rsid w:val="700A492A"/>
    <w:rsid w:val="70B34FC2"/>
    <w:rsid w:val="718F158B"/>
    <w:rsid w:val="721A5B23"/>
    <w:rsid w:val="72966949"/>
    <w:rsid w:val="74257F85"/>
    <w:rsid w:val="74884070"/>
    <w:rsid w:val="74B51309"/>
    <w:rsid w:val="763C15B6"/>
    <w:rsid w:val="777F79AC"/>
    <w:rsid w:val="7B1B26BB"/>
    <w:rsid w:val="7D250FF6"/>
    <w:rsid w:val="7E4454AB"/>
    <w:rsid w:val="7ED93E46"/>
    <w:rsid w:val="7F967F89"/>
    <w:rsid w:val="E6F8E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索引 51"/>
    <w:basedOn w:val="1"/>
    <w:next w:val="1"/>
    <w:qFormat/>
    <w:uiPriority w:val="0"/>
    <w:pPr>
      <w:ind w:left="1680"/>
    </w:pPr>
    <w:rPr>
      <w:rFonts w:cs="宋体"/>
      <w:color w:val="000000"/>
      <w:sz w:val="3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2024-01-13T02:40:00Z</dcterms:created>
  <dc:creator>北</dc:creator>
  <cp:lastModifiedBy>user</cp:lastModifiedBy>
  <cp:lastPrinted>2024-01-19T09:32:00Z</cp:lastPrinted>
  <dcterms:modified xsi:type="dcterms:W3CDTF">2024-01-24T17:06:47Z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7079CCC4C3154767AA2ABFB8EBE7FA63_11</vt:lpwstr>
  </property>
</Properties>
</file>