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both"/>
        <w:textAlignment w:val="auto"/>
        <w:rPr>
          <w:rFonts w:hint="default" w:ascii="方正小标宋_GBK" w:hAnsi="方正小标宋_GBK" w:eastAsia="方正小标宋_GBK" w:cs="方正小标宋_GBK"/>
          <w:b w:val="0"/>
          <w:bCs w:val="0"/>
          <w:color w:val="auto"/>
          <w:sz w:val="36"/>
          <w:szCs w:val="36"/>
          <w:lang w:val="en-US" w:eastAsia="zh-CN"/>
        </w:rPr>
      </w:pPr>
      <w:bookmarkStart w:id="0" w:name="_GoBack"/>
      <w:bookmarkEnd w:id="0"/>
    </w:p>
    <w:p>
      <w:pPr>
        <w:pStyle w:val="6"/>
        <w:spacing w:before="0" w:beforeAutospacing="0" w:after="0" w:afterAutospacing="0" w:line="596" w:lineRule="exact"/>
        <w:jc w:val="center"/>
        <w:rPr>
          <w:rFonts w:ascii="方正小标宋_GBK" w:hAnsi="方正小标宋_GBK" w:eastAsia="方正小标宋_GBK" w:cs="方正小标宋_GBK"/>
          <w:b w:val="0"/>
          <w:bCs w:val="0"/>
          <w:color w:val="auto"/>
          <w:sz w:val="44"/>
          <w:szCs w:val="44"/>
        </w:rPr>
      </w:pPr>
      <w:r>
        <w:rPr>
          <w:rFonts w:ascii="方正小标宋_GBK" w:hAnsi="方正小标宋_GBK" w:eastAsia="方正小标宋_GBK" w:cs="方正小标宋_GBK"/>
          <w:b w:val="0"/>
          <w:bCs w:val="0"/>
          <w:color w:val="auto"/>
          <w:sz w:val="44"/>
          <w:szCs w:val="44"/>
        </w:rPr>
        <w:t>重庆市云阳县路阳镇产业发展服务中心</w:t>
      </w:r>
    </w:p>
    <w:p>
      <w:pPr>
        <w:pStyle w:val="6"/>
        <w:spacing w:before="0" w:beforeAutospacing="0" w:after="0" w:afterAutospacing="0" w:line="596" w:lineRule="exact"/>
        <w:jc w:val="center"/>
        <w:rPr>
          <w:rFonts w:hint="default" w:ascii="方正小标宋_GBK" w:hAnsi="方正小标宋_GBK" w:eastAsia="方正小标宋_GBK" w:cs="方正小标宋_GBK"/>
          <w:b w:val="0"/>
          <w:bCs w:val="0"/>
          <w:color w:val="auto"/>
          <w:sz w:val="44"/>
          <w:szCs w:val="44"/>
          <w:shd w:val="clear" w:color="auto" w:fill="FFFFFF"/>
        </w:rPr>
      </w:pPr>
      <w:r>
        <w:rPr>
          <w:rFonts w:hint="default" w:ascii="Times New Roman" w:hAnsi="Times New Roman" w:eastAsia="方正小标宋_GBK"/>
          <w:b w:val="0"/>
          <w:bCs w:val="0"/>
          <w:color w:val="auto"/>
          <w:sz w:val="44"/>
          <w:szCs w:val="44"/>
          <w:shd w:val="clear" w:color="auto" w:fill="FFFFFF"/>
        </w:rPr>
        <w:t>2024</w:t>
      </w:r>
      <w:r>
        <w:rPr>
          <w:rFonts w:ascii="方正小标宋_GBK" w:hAnsi="方正小标宋_GBK" w:eastAsia="方正小标宋_GBK" w:cs="方正小标宋_GBK"/>
          <w:b w:val="0"/>
          <w:bCs w:val="0"/>
          <w:color w:val="auto"/>
          <w:sz w:val="44"/>
          <w:szCs w:val="44"/>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一、</w:t>
      </w:r>
      <w:r>
        <w:rPr>
          <w:rStyle w:val="10"/>
          <w:rFonts w:hint="eastAsia" w:ascii="黑体" w:hAnsi="黑体" w:eastAsia="黑体" w:cs="黑体"/>
          <w:color w:val="auto"/>
          <w:sz w:val="32"/>
          <w:szCs w:val="32"/>
          <w:shd w:val="clear" w:color="auto" w:fill="FFFFFF"/>
          <w:lang w:eastAsia="zh-CN"/>
        </w:rPr>
        <w:t>部门</w:t>
      </w:r>
      <w:r>
        <w:rPr>
          <w:rStyle w:val="10"/>
          <w:rFonts w:ascii="黑体" w:hAnsi="黑体" w:eastAsia="黑体" w:cs="黑体"/>
          <w:color w:val="auto"/>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（一）职能职责</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20" w:firstLineChars="200"/>
        <w:textAlignment w:val="auto"/>
        <w:rPr>
          <w:rFonts w:hint="default" w:ascii="Times New Roman" w:hAnsi="Times New Roman" w:eastAsia="方正仿宋_GBK" w:cs="Times New Roman"/>
          <w:i w:val="0"/>
          <w:iCs w:val="0"/>
          <w:caps w:val="0"/>
          <w:color w:val="auto"/>
          <w:spacing w:val="0"/>
          <w:sz w:val="31"/>
          <w:szCs w:val="31"/>
          <w:shd w:val="clear" w:fill="FFFFFF"/>
        </w:rPr>
      </w:pPr>
      <w:r>
        <w:rPr>
          <w:rFonts w:hint="default" w:ascii="Times New Roman" w:hAnsi="Times New Roman" w:eastAsia="方正仿宋_GBK" w:cs="Times New Roman"/>
          <w:i w:val="0"/>
          <w:iCs w:val="0"/>
          <w:caps w:val="0"/>
          <w:color w:val="auto"/>
          <w:spacing w:val="0"/>
          <w:sz w:val="31"/>
          <w:szCs w:val="31"/>
          <w:shd w:val="clear" w:fill="FFFFFF"/>
        </w:rPr>
        <w:t>承担农业农村信息服务、技术推广、质量监督、产品检测、农资供应和物流配送等职务的一种机构或组织形式。其主要职责包括：1. 农技推广：开展农业技术示范、培训和咨询等工作，提供专业的种植技术、养殖技术、地块规划等方面的服务。2. 种子管理：对当地农作物种子进行核查、登记并管理，同时开展种子繁育和培育工作，确保种子的质量和数量。3. 农产品质量检测：开展农产品质量监测和安全评估等工作，对农产品进行采样测试，以确保产品质量符合国家标准。4. 农资供应：负责农药、化肥、种子等农资的供应，为农户提供可靠的农资供应和技术咨询服务。</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Fonts w:hint="default" w:ascii="楷体" w:hAnsi="楷体" w:eastAsia="楷体" w:cs="楷体"/>
          <w:color w:val="auto"/>
          <w:sz w:val="32"/>
          <w:szCs w:val="32"/>
        </w:rPr>
      </w:pPr>
      <w:r>
        <w:rPr>
          <w:rStyle w:val="10"/>
          <w:rFonts w:ascii="楷体" w:hAnsi="楷体" w:eastAsia="楷体" w:cs="楷体"/>
          <w:color w:val="auto"/>
          <w:sz w:val="32"/>
          <w:szCs w:val="32"/>
          <w:shd w:val="clear" w:color="auto" w:fill="FFFFFF"/>
        </w:rPr>
        <w:t>（二）机构设置</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20" w:firstLineChars="200"/>
        <w:textAlignment w:val="auto"/>
        <w:rPr>
          <w:rFonts w:hint="default" w:ascii="Times New Roman" w:hAnsi="Times New Roman" w:eastAsia="方正仿宋_GBK" w:cs="Times New Roman"/>
          <w:i w:val="0"/>
          <w:iCs w:val="0"/>
          <w:caps w:val="0"/>
          <w:color w:val="auto"/>
          <w:spacing w:val="0"/>
          <w:sz w:val="31"/>
          <w:szCs w:val="31"/>
          <w:shd w:val="clear" w:fill="FFFFFF"/>
          <w:lang w:val="en-US" w:eastAsia="zh-CN"/>
        </w:rPr>
      </w:pPr>
      <w:r>
        <w:rPr>
          <w:rFonts w:hint="default" w:ascii="Times New Roman" w:hAnsi="Times New Roman" w:eastAsia="方正仿宋_GBK" w:cs="Times New Roman"/>
          <w:i w:val="0"/>
          <w:iCs w:val="0"/>
          <w:caps w:val="0"/>
          <w:color w:val="auto"/>
          <w:spacing w:val="0"/>
          <w:sz w:val="31"/>
          <w:szCs w:val="31"/>
          <w:shd w:val="clear" w:fill="FFFFFF"/>
          <w:lang w:val="en-US" w:eastAsia="zh-CN"/>
        </w:rPr>
        <w:t>本单位为路阳镇人民政府下属单位，无独立的机构设置。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Fonts w:hint="default" w:ascii="方正仿宋_GBK" w:hAnsi="方正仿宋_GBK" w:eastAsia="方正仿宋_GBK" w:cs="方正仿宋_GBK"/>
          <w:color w:val="auto"/>
          <w:sz w:val="32"/>
          <w:szCs w:val="32"/>
        </w:rPr>
      </w:pPr>
      <w:r>
        <w:rPr>
          <w:rStyle w:val="10"/>
          <w:rFonts w:ascii="黑体" w:hAnsi="黑体" w:eastAsia="黑体" w:cs="黑体"/>
          <w:color w:val="auto"/>
          <w:sz w:val="32"/>
          <w:szCs w:val="32"/>
          <w:shd w:val="clear" w:color="auto" w:fill="FFFFFF"/>
        </w:rPr>
        <w:t>二、</w:t>
      </w:r>
      <w:r>
        <w:rPr>
          <w:rStyle w:val="10"/>
          <w:rFonts w:hint="eastAsia" w:ascii="黑体" w:hAnsi="黑体" w:eastAsia="黑体" w:cs="黑体"/>
          <w:color w:val="auto"/>
          <w:sz w:val="32"/>
          <w:szCs w:val="32"/>
          <w:shd w:val="clear" w:color="auto" w:fill="FFFFFF"/>
          <w:lang w:eastAsia="zh-CN"/>
        </w:rPr>
        <w:t>部门</w:t>
      </w:r>
      <w:r>
        <w:rPr>
          <w:rStyle w:val="10"/>
          <w:rFonts w:ascii="黑体" w:hAnsi="黑体" w:eastAsia="黑体" w:cs="黑体"/>
          <w:color w:val="auto"/>
          <w:sz w:val="32"/>
          <w:szCs w:val="32"/>
          <w:shd w:val="clear" w:color="auto" w:fill="FFFFFF"/>
        </w:rPr>
        <w:t>决算</w:t>
      </w:r>
      <w:r>
        <w:rPr>
          <w:rStyle w:val="10"/>
          <w:rFonts w:hint="eastAsia" w:ascii="黑体" w:hAnsi="黑体" w:eastAsia="黑体" w:cs="黑体"/>
          <w:color w:val="auto"/>
          <w:sz w:val="32"/>
          <w:szCs w:val="32"/>
          <w:shd w:val="clear" w:color="auto" w:fill="FFFFFF"/>
          <w:lang w:eastAsia="zh-CN"/>
        </w:rPr>
        <w:t>收支</w:t>
      </w:r>
      <w:r>
        <w:rPr>
          <w:rStyle w:val="10"/>
          <w:rFonts w:ascii="黑体" w:hAnsi="黑体" w:eastAsia="黑体" w:cs="黑体"/>
          <w:color w:val="auto"/>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1.总体情况。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度收入总计241.53万元，支出总计</w:t>
      </w:r>
      <w:r>
        <w:rPr>
          <w:rFonts w:ascii="方正仿宋_GBK" w:hAnsi="方正仿宋_GBK" w:eastAsia="方正仿宋_GBK" w:cs="方正仿宋_GBK"/>
          <w:color w:val="auto"/>
          <w:sz w:val="32"/>
          <w:szCs w:val="32"/>
        </w:rPr>
        <w:t>241.53</w:t>
      </w:r>
      <w:r>
        <w:rPr>
          <w:rFonts w:ascii="方正仿宋_GBK" w:hAnsi="方正仿宋_GBK" w:eastAsia="方正仿宋_GBK" w:cs="方正仿宋_GBK"/>
          <w:color w:val="auto"/>
          <w:sz w:val="32"/>
          <w:szCs w:val="32"/>
          <w:shd w:val="clear" w:color="auto" w:fill="FFFFFF"/>
        </w:rPr>
        <w:t>万元。收、支与2023年度相比，增加241.53万元，增长100.0%，主要原因是我单位为2024年新设置预算单位，无法与上年同期数进行比较</w:t>
      </w:r>
      <w:r>
        <w:rPr>
          <w:rFonts w:hint="eastAsia" w:ascii="方正仿宋_GBK" w:hAnsi="方正仿宋_GBK" w:eastAsia="方正仿宋_GBK" w:cs="方正仿宋_GBK"/>
          <w:color w:val="auto"/>
          <w:sz w:val="32"/>
          <w:szCs w:val="32"/>
          <w:shd w:val="clear" w:color="auto" w:fill="FFFFFF"/>
          <w:lang w:eastAsia="zh-CN"/>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color w:val="auto"/>
          <w:sz w:val="32"/>
          <w:szCs w:val="32"/>
          <w:shd w:val="clear" w:color="auto" w:fill="FFFFFF"/>
        </w:rPr>
        <w:t>2.收入情况。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度收入合计241.53万元，与2023年度相比，增加241.53万元，增长100.0%，主要原因是我单位为2024年新设置预算单位，无法与上年同期数进行比较</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其中：财政拨款收入</w:t>
      </w:r>
      <w:r>
        <w:rPr>
          <w:rFonts w:ascii="方正仿宋_GBK" w:hAnsi="方正仿宋_GBK" w:eastAsia="方正仿宋_GBK" w:cs="方正仿宋_GBK"/>
          <w:color w:val="auto"/>
          <w:sz w:val="32"/>
          <w:szCs w:val="32"/>
        </w:rPr>
        <w:t>241.53</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%；事业收入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万元，占0.00%；其他收入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万元，占0.00%。此外，使用非财政拨款结余和专用结余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万元，年初结转和结余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color w:val="auto"/>
          <w:sz w:val="32"/>
          <w:szCs w:val="32"/>
          <w:shd w:val="clear" w:color="auto" w:fill="FFFFFF"/>
        </w:rPr>
        <w:t>3.支出情况。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度支出合计</w:t>
      </w:r>
      <w:r>
        <w:rPr>
          <w:rFonts w:ascii="方正仿宋_GBK" w:hAnsi="方正仿宋_GBK" w:eastAsia="方正仿宋_GBK" w:cs="方正仿宋_GBK"/>
          <w:color w:val="auto"/>
          <w:sz w:val="32"/>
          <w:szCs w:val="32"/>
        </w:rPr>
        <w:t>241.53</w:t>
      </w:r>
      <w:r>
        <w:rPr>
          <w:rFonts w:ascii="方正仿宋_GBK" w:hAnsi="方正仿宋_GBK" w:eastAsia="方正仿宋_GBK" w:cs="方正仿宋_GBK"/>
          <w:color w:val="auto"/>
          <w:sz w:val="32"/>
          <w:szCs w:val="32"/>
          <w:shd w:val="clear" w:color="auto" w:fill="FFFFFF"/>
        </w:rPr>
        <w:t>万元，与2023年度相比，增加241.53万元，增长100.0%，主要原因是我单位为2024年新设置预算单位，无法与上年同期数进行比较</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其中：基本支出</w:t>
      </w:r>
      <w:r>
        <w:rPr>
          <w:rFonts w:ascii="方正仿宋_GBK" w:hAnsi="方正仿宋_GBK" w:eastAsia="方正仿宋_GBK" w:cs="方正仿宋_GBK"/>
          <w:color w:val="auto"/>
          <w:sz w:val="32"/>
          <w:szCs w:val="32"/>
        </w:rPr>
        <w:t>241.53</w:t>
      </w:r>
      <w:r>
        <w:rPr>
          <w:rFonts w:ascii="方正仿宋_GBK" w:hAnsi="方正仿宋_GBK" w:eastAsia="方正仿宋_GBK" w:cs="方正仿宋_GBK"/>
          <w:color w:val="auto"/>
          <w:sz w:val="32"/>
          <w:szCs w:val="32"/>
          <w:shd w:val="clear" w:color="auto" w:fill="FFFFFF"/>
        </w:rPr>
        <w:t>万元，占100.00%；项目支出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万元，占0.00%。此外，结余分配</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numPr>
          <w:ilvl w:val="0"/>
          <w:numId w:val="0"/>
        </w:numPr>
        <w:rPr>
          <w:rFonts w:hint="default" w:ascii="方正仿宋_GBK" w:hAnsi="方正仿宋_GBK" w:eastAsia="方正仿宋_GBK" w:cs="方正仿宋_GBK"/>
          <w:color w:val="auto"/>
          <w:sz w:val="32"/>
          <w:szCs w:val="32"/>
          <w:lang w:val="en-US" w:eastAsia="zh-CN"/>
        </w:rPr>
      </w:pPr>
      <w:r>
        <w:rPr>
          <w:rStyle w:val="10"/>
          <w:rFonts w:ascii="方正仿宋_GBK" w:hAnsi="方正仿宋_GBK" w:eastAsia="方正仿宋_GBK" w:cs="方正仿宋_GBK"/>
          <w:color w:val="auto"/>
          <w:sz w:val="32"/>
          <w:szCs w:val="32"/>
          <w:shd w:val="clear" w:color="auto" w:fill="FFFFFF"/>
        </w:rPr>
        <w:t>4.结转结余情况。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val="en-US" w:eastAsia="zh-CN"/>
        </w:rPr>
        <w:t>我单位为2024年新设置预算单位，无法与上年同期数进行比较。</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度财政拨款收、支总计241.53万元。与202</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年相比，财政拨款收、支总计各增加241.53万元，增长100.0%。主要原因是我单位为2024年新设置预算单位，无法与上年同期数进行比较</w:t>
      </w:r>
      <w:r>
        <w:rPr>
          <w:rFonts w:hint="eastAsia" w:ascii="方正仿宋_GBK" w:hAnsi="方正仿宋_GBK" w:eastAsia="方正仿宋_GBK" w:cs="方正仿宋_GBK"/>
          <w:color w:val="auto"/>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1.收入情况。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度一般公共预算财政拨款收入</w:t>
      </w:r>
      <w:r>
        <w:rPr>
          <w:rFonts w:ascii="方正仿宋_GBK" w:hAnsi="方正仿宋_GBK" w:eastAsia="方正仿宋_GBK" w:cs="方正仿宋_GBK"/>
          <w:color w:val="auto"/>
          <w:sz w:val="32"/>
          <w:szCs w:val="32"/>
        </w:rPr>
        <w:t>241.53</w:t>
      </w:r>
      <w:r>
        <w:rPr>
          <w:rFonts w:ascii="方正仿宋_GBK" w:hAnsi="方正仿宋_GBK" w:eastAsia="方正仿宋_GBK" w:cs="方正仿宋_GBK"/>
          <w:color w:val="auto"/>
          <w:sz w:val="32"/>
          <w:szCs w:val="32"/>
          <w:shd w:val="clear" w:color="auto" w:fill="FFFFFF"/>
        </w:rPr>
        <w:t>万元，与2023年度相比，增加241.53万元，增长100.0%。主要原因是我单位为2024年新设置预算单位，无法与上年同期数进行比较</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较年初预算数增加9.04万元，增长3.9%。主要原因是</w:t>
      </w:r>
      <w:r>
        <w:rPr>
          <w:rFonts w:hint="eastAsia" w:ascii="方正仿宋_GBK" w:hAnsi="方正仿宋_GBK" w:eastAsia="方正仿宋_GBK" w:cs="方正仿宋_GBK"/>
          <w:color w:val="auto"/>
          <w:sz w:val="32"/>
          <w:szCs w:val="32"/>
          <w:shd w:val="clear" w:color="auto" w:fill="FFFFFF"/>
          <w:lang w:val="en-US" w:eastAsia="zh-CN"/>
        </w:rPr>
        <w:t>工资福利及社保等进行了调标，追加了预算</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此外，年初财政拨款结转和结余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Style w:val="10"/>
          <w:rFonts w:ascii="方正仿宋_GBK" w:hAnsi="方正仿宋_GBK" w:eastAsia="方正仿宋_GBK" w:cs="方正仿宋_GBK"/>
          <w:color w:val="auto"/>
          <w:sz w:val="32"/>
          <w:szCs w:val="32"/>
          <w:shd w:val="clear" w:color="auto" w:fill="FFFFFF"/>
        </w:rPr>
        <w:t>2.支出情况。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度一般公共预算财政拨款支出</w:t>
      </w:r>
      <w:r>
        <w:rPr>
          <w:rFonts w:ascii="方正仿宋_GBK" w:hAnsi="方正仿宋_GBK" w:eastAsia="方正仿宋_GBK" w:cs="方正仿宋_GBK"/>
          <w:color w:val="auto"/>
          <w:sz w:val="32"/>
          <w:szCs w:val="32"/>
        </w:rPr>
        <w:t>241.53</w:t>
      </w:r>
      <w:r>
        <w:rPr>
          <w:rFonts w:ascii="方正仿宋_GBK" w:hAnsi="方正仿宋_GBK" w:eastAsia="方正仿宋_GBK" w:cs="方正仿宋_GBK"/>
          <w:color w:val="auto"/>
          <w:sz w:val="32"/>
          <w:szCs w:val="32"/>
          <w:shd w:val="clear" w:color="auto" w:fill="FFFFFF"/>
        </w:rPr>
        <w:t>万元，与2023年度相比，增加241.53万元，增长100.0%。主要原因是我单位为2024年新设置预算单位，无法与上年同期数进行比较</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较年初预算数增加9.04万元，增长3.9%。主要原因是</w:t>
      </w:r>
      <w:r>
        <w:rPr>
          <w:rFonts w:hint="eastAsia" w:ascii="方正仿宋_GBK" w:hAnsi="方正仿宋_GBK" w:eastAsia="方正仿宋_GBK" w:cs="方正仿宋_GBK"/>
          <w:color w:val="auto"/>
          <w:sz w:val="32"/>
          <w:szCs w:val="32"/>
          <w:shd w:val="clear" w:color="auto" w:fill="FFFFFF"/>
          <w:lang w:val="en-US" w:eastAsia="zh-CN"/>
        </w:rPr>
        <w:t>工资福利及社保等进行了调标，追加了预算</w:t>
      </w:r>
      <w:r>
        <w:rPr>
          <w:rFonts w:hint="eastAsia" w:ascii="方正仿宋_GBK" w:hAnsi="方正仿宋_GBK" w:eastAsia="方正仿宋_GBK" w:cs="方正仿宋_GBK"/>
          <w:color w:val="auto"/>
          <w:sz w:val="32"/>
          <w:szCs w:val="32"/>
          <w:shd w:val="clear" w:color="auto" w:fill="FFFFFF"/>
          <w:lang w:eastAsia="zh-CN"/>
        </w:rPr>
        <w:t>。</w:t>
      </w:r>
    </w:p>
    <w:p>
      <w:pPr>
        <w:numPr>
          <w:ilvl w:val="0"/>
          <w:numId w:val="0"/>
        </w:numPr>
        <w:ind w:firstLine="640" w:firstLineChars="200"/>
        <w:rPr>
          <w:rFonts w:hint="eastAsia"/>
          <w:sz w:val="36"/>
          <w:szCs w:val="36"/>
          <w:lang w:val="en-US" w:eastAsia="zh-CN"/>
        </w:rPr>
      </w:pPr>
      <w:r>
        <w:rPr>
          <w:rStyle w:val="10"/>
          <w:rFonts w:ascii="方正仿宋_GBK" w:hAnsi="方正仿宋_GBK" w:eastAsia="方正仿宋_GBK" w:cs="方正仿宋_GBK"/>
          <w:color w:val="auto"/>
          <w:sz w:val="32"/>
          <w:szCs w:val="32"/>
          <w:shd w:val="clear" w:color="auto" w:fill="FFFFFF"/>
        </w:rPr>
        <w:t>3.结转结余情况。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度年末一般公共预算财政拨款结转和结余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w:t>
      </w:r>
      <w:r>
        <w:rPr>
          <w:rFonts w:hint="eastAsia" w:ascii="方正仿宋_GBK" w:hAnsi="方正仿宋_GBK" w:eastAsia="方正仿宋_GBK" w:cs="方正仿宋_GBK"/>
          <w:color w:val="auto"/>
          <w:sz w:val="32"/>
          <w:szCs w:val="32"/>
          <w:shd w:val="clear" w:color="auto" w:fill="FFFFFF"/>
          <w:lang w:val="en-US" w:eastAsia="zh-CN"/>
        </w:rPr>
        <w:t>是我单位为2024年新设置预算单位，无法与上年同期数进行比较。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highlight w:val="cyan"/>
          <w:shd w:val="clear" w:color="auto" w:fill="FFFFFF"/>
        </w:rPr>
      </w:pPr>
      <w:r>
        <w:rPr>
          <w:rStyle w:val="10"/>
          <w:rFonts w:ascii="方正仿宋_GBK" w:hAnsi="方正仿宋_GBK" w:eastAsia="方正仿宋_GBK" w:cs="方正仿宋_GBK"/>
          <w:color w:val="auto"/>
          <w:sz w:val="32"/>
          <w:szCs w:val="32"/>
          <w:shd w:val="clear" w:color="auto" w:fill="FFFFFF"/>
        </w:rPr>
        <w:t>4.比较情况。</w:t>
      </w:r>
      <w:r>
        <w:rPr>
          <w:rFonts w:ascii="方正仿宋_GBK" w:hAnsi="方正仿宋_GBK" w:eastAsia="方正仿宋_GBK" w:cs="方正仿宋_GBK"/>
          <w:color w:val="auto"/>
          <w:sz w:val="32"/>
          <w:szCs w:val="32"/>
          <w:shd w:val="clear" w:color="auto" w:fill="FFFFFF"/>
        </w:rPr>
        <w:t>本部门</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度一般公共预算财政拨款支出主要用于以下几个方面：</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（1）一般公共服务支出</w:t>
      </w:r>
      <w:r>
        <w:rPr>
          <w:rFonts w:ascii="方正仿宋_GBK" w:hAnsi="方正仿宋_GBK" w:eastAsia="方正仿宋_GBK" w:cs="方正仿宋_GBK"/>
          <w:color w:val="auto"/>
          <w:sz w:val="32"/>
          <w:szCs w:val="32"/>
        </w:rPr>
        <w:t>66.11</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27.37</w:t>
      </w:r>
      <w:r>
        <w:rPr>
          <w:rFonts w:ascii="方正仿宋_GBK" w:hAnsi="方正仿宋_GBK" w:eastAsia="方正仿宋_GBK" w:cs="方正仿宋_GBK"/>
          <w:color w:val="auto"/>
          <w:sz w:val="32"/>
          <w:szCs w:val="32"/>
          <w:shd w:val="clear" w:color="auto" w:fill="FFFFFF"/>
        </w:rPr>
        <w:t>%，较年初预算数增加66.11万元，增长100.0%，主要原因是我单位为2024年新设置预算单位，无法与上年同期数进行比较</w:t>
      </w:r>
      <w:r>
        <w:rPr>
          <w:rFonts w:hint="eastAsia" w:ascii="方正仿宋_GBK" w:hAnsi="方正仿宋_GBK" w:eastAsia="方正仿宋_GBK" w:cs="方正仿宋_GBK"/>
          <w:color w:val="auto"/>
          <w:sz w:val="32"/>
          <w:szCs w:val="32"/>
          <w:shd w:val="clear" w:color="auto" w:fill="FFFFFF"/>
          <w:lang w:eastAsia="zh-CN"/>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（2）社会保障与就业支出</w:t>
      </w:r>
      <w:r>
        <w:rPr>
          <w:rFonts w:ascii="方正仿宋_GBK" w:hAnsi="方正仿宋_GBK" w:eastAsia="方正仿宋_GBK" w:cs="方正仿宋_GBK"/>
          <w:color w:val="auto"/>
          <w:sz w:val="32"/>
          <w:szCs w:val="32"/>
        </w:rPr>
        <w:t>69.99</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28.98</w:t>
      </w:r>
      <w:r>
        <w:rPr>
          <w:rFonts w:ascii="方正仿宋_GBK" w:hAnsi="方正仿宋_GBK" w:eastAsia="方正仿宋_GBK" w:cs="方正仿宋_GBK"/>
          <w:color w:val="auto"/>
          <w:sz w:val="32"/>
          <w:szCs w:val="32"/>
          <w:shd w:val="clear" w:color="auto" w:fill="FFFFFF"/>
        </w:rPr>
        <w:t>%，较年初预算数增加27.07万元，增长63.1%，主要原因是</w:t>
      </w:r>
      <w:r>
        <w:rPr>
          <w:rFonts w:hint="eastAsia" w:ascii="方正仿宋_GBK" w:hAnsi="方正仿宋_GBK" w:eastAsia="方正仿宋_GBK" w:cs="方正仿宋_GBK"/>
          <w:color w:val="auto"/>
          <w:sz w:val="32"/>
          <w:szCs w:val="32"/>
          <w:shd w:val="clear" w:color="auto" w:fill="FFFFFF"/>
          <w:lang w:val="en-US" w:eastAsia="zh-CN"/>
        </w:rPr>
        <w:t>工资福利及社保等进行了调标，追加了预算</w:t>
      </w:r>
      <w:r>
        <w:rPr>
          <w:rFonts w:hint="eastAsia" w:ascii="方正仿宋_GBK" w:hAnsi="方正仿宋_GBK" w:eastAsia="方正仿宋_GBK" w:cs="方正仿宋_GBK"/>
          <w:color w:val="auto"/>
          <w:sz w:val="32"/>
          <w:szCs w:val="32"/>
          <w:shd w:val="clear" w:color="auto" w:fill="FFFFFF"/>
          <w:lang w:eastAsia="zh-CN"/>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）卫生健康支出</w:t>
      </w:r>
      <w:r>
        <w:rPr>
          <w:rFonts w:ascii="方正仿宋_GBK" w:hAnsi="方正仿宋_GBK" w:eastAsia="方正仿宋_GBK" w:cs="方正仿宋_GBK"/>
          <w:color w:val="auto"/>
          <w:sz w:val="32"/>
          <w:szCs w:val="32"/>
        </w:rPr>
        <w:t>10.86</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4.50</w:t>
      </w:r>
      <w:r>
        <w:rPr>
          <w:rFonts w:ascii="方正仿宋_GBK" w:hAnsi="方正仿宋_GBK" w:eastAsia="方正仿宋_GBK" w:cs="方正仿宋_GBK"/>
          <w:color w:val="auto"/>
          <w:sz w:val="32"/>
          <w:szCs w:val="32"/>
          <w:shd w:val="clear" w:color="auto" w:fill="FFFFFF"/>
        </w:rPr>
        <w:t>%，较年初预算数减少0.61万元，下降5.3%，主要原因是</w:t>
      </w:r>
      <w:r>
        <w:rPr>
          <w:rFonts w:hint="eastAsia" w:ascii="方正仿宋_GBK" w:hAnsi="方正仿宋_GBK" w:eastAsia="方正仿宋_GBK" w:cs="方正仿宋_GBK"/>
          <w:color w:val="auto"/>
          <w:sz w:val="32"/>
          <w:szCs w:val="32"/>
          <w:shd w:val="clear" w:color="auto" w:fill="FFFFFF"/>
          <w:lang w:val="en-US" w:eastAsia="zh-CN"/>
        </w:rPr>
        <w:t>人员调进调出，追减了预算</w:t>
      </w:r>
      <w:r>
        <w:rPr>
          <w:rFonts w:hint="eastAsia" w:ascii="方正仿宋_GBK" w:hAnsi="方正仿宋_GBK" w:eastAsia="方正仿宋_GBK" w:cs="方正仿宋_GBK"/>
          <w:color w:val="auto"/>
          <w:sz w:val="32"/>
          <w:szCs w:val="32"/>
          <w:shd w:val="clear" w:color="auto" w:fill="FFFFFF"/>
          <w:lang w:eastAsia="zh-CN"/>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）农林水支出</w:t>
      </w:r>
      <w:r>
        <w:rPr>
          <w:rFonts w:ascii="方正仿宋_GBK" w:hAnsi="方正仿宋_GBK" w:eastAsia="方正仿宋_GBK" w:cs="方正仿宋_GBK"/>
          <w:color w:val="auto"/>
          <w:sz w:val="32"/>
          <w:szCs w:val="32"/>
        </w:rPr>
        <w:t>83.16</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34.43</w:t>
      </w:r>
      <w:r>
        <w:rPr>
          <w:rFonts w:ascii="方正仿宋_GBK" w:hAnsi="方正仿宋_GBK" w:eastAsia="方正仿宋_GBK" w:cs="方正仿宋_GBK"/>
          <w:color w:val="auto"/>
          <w:sz w:val="32"/>
          <w:szCs w:val="32"/>
          <w:shd w:val="clear" w:color="auto" w:fill="FFFFFF"/>
        </w:rPr>
        <w:t>%，较年初预算数减少83.47万元，下降50.1%，主要原因是</w:t>
      </w:r>
      <w:r>
        <w:rPr>
          <w:rFonts w:hint="eastAsia" w:ascii="方正仿宋_GBK" w:hAnsi="方正仿宋_GBK" w:eastAsia="方正仿宋_GBK" w:cs="方正仿宋_GBK"/>
          <w:color w:val="auto"/>
          <w:sz w:val="32"/>
          <w:szCs w:val="32"/>
          <w:shd w:val="clear" w:color="auto" w:fill="FFFFFF"/>
          <w:lang w:val="en-US" w:eastAsia="zh-CN"/>
        </w:rPr>
        <w:t>人员调进调出，机构改革，追减了预算。</w:t>
      </w:r>
    </w:p>
    <w:p>
      <w:pPr>
        <w:keepNext w:val="0"/>
        <w:keepLines w:val="0"/>
        <w:pageBreakBefore w:val="0"/>
        <w:widowControl/>
        <w:kinsoku/>
        <w:wordWrap/>
        <w:overflowPunct/>
        <w:topLinePunct w:val="0"/>
        <w:autoSpaceDN/>
        <w:bidi w:val="0"/>
        <w:adjustRightInd/>
        <w:spacing w:beforeAutospacing="0" w:afterAutospacing="0" w:line="578" w:lineRule="exact"/>
        <w:ind w:firstLine="640" w:firstLineChars="200"/>
        <w:textAlignment w:val="auto"/>
        <w:rPr>
          <w:rFonts w:hint="default"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5</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住房保障支出11.41</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4.72</w:t>
      </w:r>
      <w:r>
        <w:rPr>
          <w:rFonts w:ascii="方正仿宋_GBK" w:hAnsi="方正仿宋_GBK" w:eastAsia="方正仿宋_GBK" w:cs="方正仿宋_GBK"/>
          <w:color w:val="auto"/>
          <w:sz w:val="32"/>
          <w:szCs w:val="32"/>
          <w:shd w:val="clear" w:color="auto" w:fill="FFFFFF"/>
        </w:rPr>
        <w:t>%，较年初预算数减少0.05万元，下降0.4%，主要原因是</w:t>
      </w:r>
      <w:r>
        <w:rPr>
          <w:rFonts w:hint="eastAsia" w:ascii="方正仿宋_GBK" w:hAnsi="方正仿宋_GBK" w:eastAsia="方正仿宋_GBK" w:cs="方正仿宋_GBK"/>
          <w:color w:val="auto"/>
          <w:sz w:val="32"/>
          <w:szCs w:val="32"/>
          <w:shd w:val="clear" w:color="auto" w:fill="FFFFFF"/>
          <w:lang w:val="en-US" w:eastAsia="zh-CN"/>
        </w:rPr>
        <w:t>公积金调标，以及机构改革人员调出，追减了预算。</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度一般公共财政拨款基本支出</w:t>
      </w:r>
      <w:r>
        <w:rPr>
          <w:rFonts w:ascii="方正仿宋_GBK" w:hAnsi="方正仿宋_GBK" w:eastAsia="方正仿宋_GBK" w:cs="方正仿宋_GBK"/>
          <w:color w:val="auto"/>
          <w:sz w:val="32"/>
          <w:szCs w:val="32"/>
        </w:rPr>
        <w:t>241.53</w:t>
      </w:r>
      <w:r>
        <w:rPr>
          <w:rFonts w:ascii="方正仿宋_GBK" w:hAnsi="方正仿宋_GBK" w:eastAsia="方正仿宋_GBK" w:cs="方正仿宋_GBK"/>
          <w:color w:val="auto"/>
          <w:sz w:val="32"/>
          <w:szCs w:val="32"/>
          <w:shd w:val="clear" w:color="auto" w:fill="FFFFFF"/>
        </w:rPr>
        <w:t>万元。其中：人员经费</w:t>
      </w:r>
      <w:r>
        <w:rPr>
          <w:rFonts w:ascii="方正仿宋_GBK" w:hAnsi="方正仿宋_GBK" w:eastAsia="方正仿宋_GBK" w:cs="方正仿宋_GBK"/>
          <w:color w:val="auto"/>
          <w:sz w:val="32"/>
          <w:szCs w:val="32"/>
        </w:rPr>
        <w:t>237.14</w:t>
      </w:r>
      <w:r>
        <w:rPr>
          <w:rFonts w:ascii="方正仿宋_GBK" w:hAnsi="方正仿宋_GBK" w:eastAsia="方正仿宋_GBK" w:cs="方正仿宋_GBK"/>
          <w:color w:val="auto"/>
          <w:sz w:val="32"/>
          <w:szCs w:val="32"/>
          <w:shd w:val="clear" w:color="auto" w:fill="FFFFFF"/>
        </w:rPr>
        <w:t>万元，与2023年度相比，增加237.14万元，增长100.0%，主要原因是我单位为2024年新设置预算单位，无法与上年同期数进行比较</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lang w:val="en-US" w:eastAsia="zh-CN"/>
        </w:rPr>
        <w:t>工资福利支出。</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4.39</w:t>
      </w:r>
      <w:r>
        <w:rPr>
          <w:rFonts w:ascii="方正仿宋_GBK" w:hAnsi="方正仿宋_GBK" w:eastAsia="方正仿宋_GBK" w:cs="方正仿宋_GBK"/>
          <w:color w:val="auto"/>
          <w:sz w:val="32"/>
          <w:szCs w:val="32"/>
          <w:shd w:val="clear" w:color="auto" w:fill="FFFFFF"/>
        </w:rPr>
        <w:t>万元，与2023年度相比，增加4.39万元，增长100.0%，主要原因是我单位为2024年新设置预算单位，无法与上年同期数进行比较</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lang w:val="en-US" w:eastAsia="zh-CN"/>
        </w:rPr>
        <w:t>差旅费、办公费、培训费等办公需要的工作经费列支。</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highlight w:val="none"/>
          <w:shd w:val="clear" w:color="auto" w:fill="FFFFFF"/>
          <w:lang w:val="en-US" w:eastAsia="zh-CN"/>
        </w:rPr>
        <w:t>本部门2024年度无政府性基金预算财政拨款收支。</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highlight w:val="none"/>
          <w:shd w:val="clear" w:color="auto" w:fill="FFFFFF"/>
          <w:lang w:val="en-US" w:eastAsia="zh-CN"/>
        </w:rPr>
        <w:t>本部门2024年度无国有资本经营预算财政拨款支出。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三、</w:t>
      </w:r>
      <w:r>
        <w:rPr>
          <w:rStyle w:val="10"/>
          <w:rFonts w:hint="eastAsia" w:ascii="黑体" w:hAnsi="黑体" w:eastAsia="黑体" w:cs="黑体"/>
          <w:color w:val="auto"/>
          <w:sz w:val="32"/>
          <w:szCs w:val="32"/>
          <w:shd w:val="clear" w:color="auto" w:fill="FFFFFF"/>
          <w:lang w:eastAsia="zh-CN"/>
        </w:rPr>
        <w:t>财政拨款</w:t>
      </w:r>
      <w:r>
        <w:rPr>
          <w:rStyle w:val="10"/>
          <w:rFonts w:ascii="黑体" w:hAnsi="黑体" w:eastAsia="黑体" w:cs="黑体"/>
          <w:color w:val="auto"/>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xml:space="preserve"> （一）“三公”经费支出总体情况说明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度“三公”经费支出共计</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万元，较年初预算数无增减，主要原因是</w:t>
      </w:r>
      <w:r>
        <w:rPr>
          <w:rFonts w:hint="eastAsia" w:ascii="方正仿宋_GBK" w:hAnsi="方正仿宋_GBK" w:eastAsia="方正仿宋_GBK" w:cs="方正仿宋_GBK"/>
          <w:kern w:val="0"/>
          <w:sz w:val="32"/>
          <w:szCs w:val="32"/>
        </w:rPr>
        <w:t>按照</w:t>
      </w:r>
      <w:r>
        <w:rPr>
          <w:rFonts w:hint="eastAsia" w:ascii="方正仿宋_GBK" w:hAnsi="方正仿宋_GBK" w:eastAsia="方正仿宋_GBK" w:cs="方正仿宋_GBK"/>
          <w:kern w:val="0"/>
          <w:sz w:val="32"/>
          <w:szCs w:val="32"/>
          <w:lang w:eastAsia="zh-CN"/>
        </w:rPr>
        <w:t>单位</w:t>
      </w:r>
      <w:r>
        <w:rPr>
          <w:rFonts w:hint="eastAsia" w:ascii="方正仿宋_GBK" w:hAnsi="方正仿宋_GBK" w:eastAsia="方正仿宋_GBK" w:cs="方正仿宋_GBK"/>
          <w:kern w:val="0"/>
          <w:sz w:val="32"/>
          <w:szCs w:val="32"/>
        </w:rPr>
        <w:t>决算列报口径，</w:t>
      </w:r>
      <w:r>
        <w:rPr>
          <w:rFonts w:hint="eastAsia" w:ascii="方正仿宋_GBK" w:hAnsi="方正仿宋_GBK" w:eastAsia="方正仿宋_GBK" w:cs="方正仿宋_GBK"/>
          <w:kern w:val="0"/>
          <w:sz w:val="32"/>
          <w:szCs w:val="32"/>
          <w:lang w:eastAsia="zh-CN"/>
        </w:rPr>
        <w:t>统一在政府机关本级列报</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sz w:val="32"/>
          <w:szCs w:val="32"/>
          <w:shd w:val="clear" w:color="auto" w:fill="FFFFFF"/>
          <w:lang w:eastAsia="zh-CN"/>
        </w:rPr>
        <w:t>我</w:t>
      </w:r>
      <w:r>
        <w:rPr>
          <w:rFonts w:ascii="方正仿宋_GBK" w:hAnsi="方正仿宋_GBK" w:eastAsia="方正仿宋_GBK" w:cs="方正仿宋_GBK"/>
          <w:sz w:val="32"/>
          <w:szCs w:val="32"/>
          <w:shd w:val="clear" w:color="auto" w:fill="FFFFFF"/>
        </w:rPr>
        <w:t>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度本部门因公出国（境）费用</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万元，主要是用于</w:t>
      </w:r>
      <w:r>
        <w:rPr>
          <w:rFonts w:hint="eastAsia" w:ascii="方正仿宋_GBK" w:hAnsi="方正仿宋_GBK" w:eastAsia="方正仿宋_GBK" w:cs="方正仿宋_GBK"/>
          <w:color w:val="auto"/>
          <w:sz w:val="32"/>
          <w:szCs w:val="32"/>
          <w:shd w:val="clear" w:color="auto" w:fill="FFFFFF"/>
          <w:lang w:val="en-US" w:eastAsia="zh-CN"/>
        </w:rPr>
        <w:t>本单位出国公务交流的费用。</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kern w:val="0"/>
          <w:sz w:val="32"/>
          <w:szCs w:val="32"/>
        </w:rPr>
        <w:t>按照</w:t>
      </w:r>
      <w:r>
        <w:rPr>
          <w:rFonts w:hint="eastAsia" w:ascii="方正仿宋_GBK" w:hAnsi="方正仿宋_GBK" w:eastAsia="方正仿宋_GBK" w:cs="方正仿宋_GBK"/>
          <w:kern w:val="0"/>
          <w:sz w:val="32"/>
          <w:szCs w:val="32"/>
          <w:lang w:eastAsia="zh-CN"/>
        </w:rPr>
        <w:t>单位</w:t>
      </w:r>
      <w:r>
        <w:rPr>
          <w:rFonts w:hint="eastAsia" w:ascii="方正仿宋_GBK" w:hAnsi="方正仿宋_GBK" w:eastAsia="方正仿宋_GBK" w:cs="方正仿宋_GBK"/>
          <w:kern w:val="0"/>
          <w:sz w:val="32"/>
          <w:szCs w:val="32"/>
        </w:rPr>
        <w:t>决算列报口径，</w:t>
      </w:r>
      <w:r>
        <w:rPr>
          <w:rFonts w:hint="eastAsia" w:ascii="方正仿宋_GBK" w:hAnsi="方正仿宋_GBK" w:eastAsia="方正仿宋_GBK" w:cs="方正仿宋_GBK"/>
          <w:kern w:val="0"/>
          <w:sz w:val="32"/>
          <w:szCs w:val="32"/>
          <w:lang w:eastAsia="zh-CN"/>
        </w:rPr>
        <w:t>统一在政府机关本级列报</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sz w:val="32"/>
          <w:szCs w:val="32"/>
          <w:shd w:val="clear" w:color="auto" w:fill="FFFFFF"/>
          <w:lang w:eastAsia="zh-CN"/>
        </w:rPr>
        <w:t>我</w:t>
      </w:r>
      <w:r>
        <w:rPr>
          <w:rFonts w:ascii="方正仿宋_GBK" w:hAnsi="方正仿宋_GBK" w:eastAsia="方正仿宋_GBK" w:cs="方正仿宋_GBK"/>
          <w:sz w:val="32"/>
          <w:szCs w:val="32"/>
          <w:shd w:val="clear" w:color="auto" w:fill="FFFFFF"/>
        </w:rPr>
        <w:t>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 公务车购置费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val="en-US" w:eastAsia="zh-CN"/>
        </w:rPr>
        <w:t>公务用车购置支出。</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kern w:val="0"/>
          <w:sz w:val="32"/>
          <w:szCs w:val="32"/>
        </w:rPr>
        <w:t>按照</w:t>
      </w:r>
      <w:r>
        <w:rPr>
          <w:rFonts w:hint="eastAsia" w:ascii="方正仿宋_GBK" w:hAnsi="方正仿宋_GBK" w:eastAsia="方正仿宋_GBK" w:cs="方正仿宋_GBK"/>
          <w:kern w:val="0"/>
          <w:sz w:val="32"/>
          <w:szCs w:val="32"/>
          <w:lang w:eastAsia="zh-CN"/>
        </w:rPr>
        <w:t>单位</w:t>
      </w:r>
      <w:r>
        <w:rPr>
          <w:rFonts w:hint="eastAsia" w:ascii="方正仿宋_GBK" w:hAnsi="方正仿宋_GBK" w:eastAsia="方正仿宋_GBK" w:cs="方正仿宋_GBK"/>
          <w:kern w:val="0"/>
          <w:sz w:val="32"/>
          <w:szCs w:val="32"/>
        </w:rPr>
        <w:t>决算列报口径，</w:t>
      </w:r>
      <w:r>
        <w:rPr>
          <w:rFonts w:hint="eastAsia" w:ascii="方正仿宋_GBK" w:hAnsi="方正仿宋_GBK" w:eastAsia="方正仿宋_GBK" w:cs="方正仿宋_GBK"/>
          <w:kern w:val="0"/>
          <w:sz w:val="32"/>
          <w:szCs w:val="32"/>
          <w:lang w:eastAsia="zh-CN"/>
        </w:rPr>
        <w:t>统一在政府机关本级列报</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sz w:val="32"/>
          <w:szCs w:val="32"/>
          <w:shd w:val="clear" w:color="auto" w:fill="FFFFFF"/>
          <w:lang w:eastAsia="zh-CN"/>
        </w:rPr>
        <w:t>我</w:t>
      </w:r>
      <w:r>
        <w:rPr>
          <w:rFonts w:ascii="方正仿宋_GBK" w:hAnsi="方正仿宋_GBK" w:eastAsia="方正仿宋_GBK" w:cs="方正仿宋_GBK"/>
          <w:sz w:val="32"/>
          <w:szCs w:val="32"/>
          <w:shd w:val="clear" w:color="auto" w:fill="FFFFFF"/>
        </w:rPr>
        <w:t>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 公务车运行维护费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val="en-US" w:eastAsia="zh-CN"/>
        </w:rPr>
        <w:t>公务用车的运行维护、保险及加油费用。</w:t>
      </w:r>
      <w:r>
        <w:rPr>
          <w:rFonts w:ascii="方正仿宋_GBK" w:hAnsi="方正仿宋_GBK" w:eastAsia="方正仿宋_GBK" w:cs="方正仿宋_GBK"/>
          <w:color w:val="auto"/>
          <w:sz w:val="32"/>
          <w:szCs w:val="32"/>
          <w:shd w:val="clear" w:color="auto" w:fill="FFFFFF"/>
        </w:rPr>
        <w:t>费用支出较年初预算数无增减，主要原因是</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kern w:val="0"/>
          <w:sz w:val="32"/>
          <w:szCs w:val="32"/>
        </w:rPr>
        <w:t>按照</w:t>
      </w:r>
      <w:r>
        <w:rPr>
          <w:rFonts w:hint="eastAsia" w:ascii="方正仿宋_GBK" w:hAnsi="方正仿宋_GBK" w:eastAsia="方正仿宋_GBK" w:cs="方正仿宋_GBK"/>
          <w:kern w:val="0"/>
          <w:sz w:val="32"/>
          <w:szCs w:val="32"/>
          <w:lang w:eastAsia="zh-CN"/>
        </w:rPr>
        <w:t>单位</w:t>
      </w:r>
      <w:r>
        <w:rPr>
          <w:rFonts w:hint="eastAsia" w:ascii="方正仿宋_GBK" w:hAnsi="方正仿宋_GBK" w:eastAsia="方正仿宋_GBK" w:cs="方正仿宋_GBK"/>
          <w:kern w:val="0"/>
          <w:sz w:val="32"/>
          <w:szCs w:val="32"/>
        </w:rPr>
        <w:t>决算列报口径，</w:t>
      </w:r>
      <w:r>
        <w:rPr>
          <w:rFonts w:hint="eastAsia" w:ascii="方正仿宋_GBK" w:hAnsi="方正仿宋_GBK" w:eastAsia="方正仿宋_GBK" w:cs="方正仿宋_GBK"/>
          <w:kern w:val="0"/>
          <w:sz w:val="32"/>
          <w:szCs w:val="32"/>
          <w:lang w:eastAsia="zh-CN"/>
        </w:rPr>
        <w:t>统一在政府机关本级列报</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sz w:val="32"/>
          <w:szCs w:val="32"/>
          <w:shd w:val="clear" w:color="auto" w:fill="FFFFFF"/>
          <w:lang w:eastAsia="zh-CN"/>
        </w:rPr>
        <w:t>我</w:t>
      </w:r>
      <w:r>
        <w:rPr>
          <w:rFonts w:ascii="方正仿宋_GBK" w:hAnsi="方正仿宋_GBK" w:eastAsia="方正仿宋_GBK" w:cs="方正仿宋_GBK"/>
          <w:sz w:val="32"/>
          <w:szCs w:val="32"/>
          <w:shd w:val="clear" w:color="auto" w:fill="FFFFFF"/>
        </w:rPr>
        <w:t>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公务接待费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val="en-US" w:eastAsia="zh-CN"/>
        </w:rPr>
        <w:t>接待市级、县级领导来本单位检查。</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kern w:val="0"/>
          <w:sz w:val="32"/>
          <w:szCs w:val="32"/>
        </w:rPr>
        <w:t>按照</w:t>
      </w:r>
      <w:r>
        <w:rPr>
          <w:rFonts w:hint="eastAsia" w:ascii="方正仿宋_GBK" w:hAnsi="方正仿宋_GBK" w:eastAsia="方正仿宋_GBK" w:cs="方正仿宋_GBK"/>
          <w:kern w:val="0"/>
          <w:sz w:val="32"/>
          <w:szCs w:val="32"/>
          <w:lang w:eastAsia="zh-CN"/>
        </w:rPr>
        <w:t>单位</w:t>
      </w:r>
      <w:r>
        <w:rPr>
          <w:rFonts w:hint="eastAsia" w:ascii="方正仿宋_GBK" w:hAnsi="方正仿宋_GBK" w:eastAsia="方正仿宋_GBK" w:cs="方正仿宋_GBK"/>
          <w:kern w:val="0"/>
          <w:sz w:val="32"/>
          <w:szCs w:val="32"/>
        </w:rPr>
        <w:t>决算列报口径，</w:t>
      </w:r>
      <w:r>
        <w:rPr>
          <w:rFonts w:hint="eastAsia" w:ascii="方正仿宋_GBK" w:hAnsi="方正仿宋_GBK" w:eastAsia="方正仿宋_GBK" w:cs="方正仿宋_GBK"/>
          <w:kern w:val="0"/>
          <w:sz w:val="32"/>
          <w:szCs w:val="32"/>
          <w:lang w:eastAsia="zh-CN"/>
        </w:rPr>
        <w:t>统一在政府机关本级列报</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sz w:val="32"/>
          <w:szCs w:val="32"/>
          <w:shd w:val="clear" w:color="auto" w:fill="FFFFFF"/>
          <w:lang w:eastAsia="zh-CN"/>
        </w:rPr>
        <w:t>我</w:t>
      </w:r>
      <w:r>
        <w:rPr>
          <w:rFonts w:ascii="方正仿宋_GBK" w:hAnsi="方正仿宋_GBK" w:eastAsia="方正仿宋_GBK" w:cs="方正仿宋_GBK"/>
          <w:sz w:val="32"/>
          <w:szCs w:val="32"/>
          <w:shd w:val="clear" w:color="auto" w:fill="FFFFFF"/>
        </w:rPr>
        <w:t>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度本部门因公出国（境）共计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个团组，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人；公务用车购置</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辆，公务车保有量为</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辆；国内公务接待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人，其中：国内外事接待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人；国（境）外公务接待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本部门人均接待费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元，车均购置费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万元，车均维护费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四、其他需要说明的事项</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（一）财政拨款会议费和培训费情况说明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本年度会议费支出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我</w:t>
      </w:r>
      <w:r>
        <w:rPr>
          <w:rFonts w:ascii="方正仿宋_GBK" w:hAnsi="方正仿宋_GBK" w:eastAsia="方正仿宋_GBK" w:cs="方正仿宋_GBK"/>
          <w:sz w:val="32"/>
          <w:szCs w:val="32"/>
          <w:shd w:val="clear" w:color="auto" w:fill="FFFFFF"/>
        </w:rPr>
        <w:t>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本年度培训费支出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我</w:t>
      </w:r>
      <w:r>
        <w:rPr>
          <w:rFonts w:ascii="方正仿宋_GBK" w:hAnsi="方正仿宋_GBK" w:eastAsia="方正仿宋_GBK" w:cs="方正仿宋_GBK"/>
          <w:sz w:val="32"/>
          <w:szCs w:val="32"/>
          <w:shd w:val="clear" w:color="auto" w:fill="FFFFFF"/>
        </w:rPr>
        <w:t>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度本部门机关运行经费支出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万元，机关运行经费主要用于开支</w:t>
      </w:r>
      <w:r>
        <w:rPr>
          <w:rFonts w:hint="eastAsia" w:ascii="方正仿宋_GBK" w:hAnsi="方正仿宋_GBK" w:eastAsia="方正仿宋_GBK" w:cs="方正仿宋_GBK"/>
          <w:color w:val="auto"/>
          <w:sz w:val="32"/>
          <w:szCs w:val="32"/>
          <w:shd w:val="clear" w:color="auto" w:fill="FFFFFF"/>
          <w:lang w:val="en-US" w:eastAsia="zh-CN"/>
        </w:rPr>
        <w:t>会议费、培训费、公车维护费等。</w:t>
      </w:r>
      <w:r>
        <w:rPr>
          <w:rFonts w:hint="eastAsia" w:ascii="方正仿宋_GBK" w:hAnsi="方正仿宋_GBK" w:eastAsia="方正仿宋_GBK" w:cs="方正仿宋_GBK"/>
          <w:sz w:val="32"/>
          <w:szCs w:val="32"/>
          <w:shd w:val="clear" w:color="auto" w:fill="FFFFFF"/>
          <w:lang w:eastAsia="zh-CN"/>
        </w:rPr>
        <w:t>我</w:t>
      </w:r>
      <w:r>
        <w:rPr>
          <w:rFonts w:ascii="方正仿宋_GBK" w:hAnsi="方正仿宋_GBK" w:eastAsia="方正仿宋_GBK" w:cs="方正仿宋_GBK"/>
          <w:sz w:val="32"/>
          <w:szCs w:val="32"/>
          <w:shd w:val="clear" w:color="auto" w:fill="FFFFFF"/>
        </w:rPr>
        <w:t>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12月31日，本部门共有车辆</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辆，其中，副部（省）级及以上领导用车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辆、主要负责人用车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辆、机要通信用车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辆、应急保障用车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辆、执法执勤用车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辆，特种专业技术用车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辆，离退休干部用车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辆。单价100万元（含）以上专用设备</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10"/>
          <w:rFonts w:hint="eastAsia" w:ascii="黑体" w:hAnsi="黑体" w:eastAsia="黑体" w:cs="黑体"/>
          <w:color w:val="auto"/>
          <w:sz w:val="32"/>
          <w:szCs w:val="32"/>
          <w:shd w:val="clear" w:color="auto" w:fill="FFFFFF"/>
          <w:lang w:val="en-US" w:eastAsia="zh-CN" w:bidi="ar-SA"/>
        </w:rPr>
      </w:pPr>
      <w:r>
        <w:rPr>
          <w:rStyle w:val="10"/>
          <w:rFonts w:hint="eastAsia" w:ascii="黑体" w:hAnsi="黑体" w:eastAsia="黑体" w:cs="黑体"/>
          <w:color w:val="auto"/>
          <w:sz w:val="32"/>
          <w:szCs w:val="32"/>
          <w:shd w:val="clear" w:color="auto" w:fill="FFFFFF"/>
          <w:lang w:val="en-US" w:eastAsia="zh-CN" w:bidi="ar-SA"/>
        </w:rPr>
        <w:t>五、2024年度预算绩效管理情况说明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3" w:firstLineChars="200"/>
        <w:jc w:val="left"/>
        <w:textAlignment w:val="auto"/>
        <w:rPr>
          <w:rFonts w:hint="eastAsia" w:ascii="楷体" w:hAnsi="楷体" w:eastAsia="楷体" w:cs="楷体"/>
          <w:b/>
          <w:bCs/>
          <w:color w:val="auto"/>
          <w:kern w:val="0"/>
          <w:sz w:val="32"/>
          <w:szCs w:val="32"/>
          <w:shd w:val="clear" w:fill="FFFFFF"/>
        </w:rPr>
      </w:pPr>
      <w:r>
        <w:rPr>
          <w:rFonts w:hint="eastAsia" w:ascii="楷体" w:hAnsi="楷体" w:eastAsia="楷体" w:cs="楷体"/>
          <w:b/>
          <w:bCs/>
          <w:color w:val="auto"/>
          <w:kern w:val="0"/>
          <w:sz w:val="32"/>
          <w:szCs w:val="32"/>
          <w:shd w:val="clear" w:fill="FFFFFF"/>
        </w:rPr>
        <w:t>（一）单位自评情况</w:t>
      </w:r>
    </w:p>
    <w:p>
      <w:pPr>
        <w:pStyle w:val="16"/>
        <w:keepNext w:val="0"/>
        <w:keepLines w:val="0"/>
        <w:pageBreakBefore w:val="0"/>
        <w:widowControl/>
        <w:kinsoku/>
        <w:wordWrap/>
        <w:overflowPunct/>
        <w:topLinePunct w:val="0"/>
        <w:autoSpaceDE/>
        <w:autoSpaceDN/>
        <w:bidi w:val="0"/>
        <w:adjustRightInd/>
        <w:spacing w:beforeAutospacing="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根据预算绩效管理要求，本单位项目支出基本属于人员经费支出，不进行项目预算绩效管理。</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3" w:firstLineChars="200"/>
        <w:jc w:val="left"/>
        <w:textAlignment w:val="auto"/>
        <w:rPr>
          <w:rFonts w:hint="eastAsia" w:ascii="楷体" w:hAnsi="楷体" w:eastAsia="楷体" w:cs="楷体"/>
          <w:b/>
          <w:bCs/>
          <w:color w:val="auto"/>
          <w:kern w:val="0"/>
          <w:sz w:val="32"/>
          <w:szCs w:val="32"/>
          <w:shd w:val="clear" w:fill="FFFFFF"/>
        </w:rPr>
      </w:pPr>
      <w:r>
        <w:rPr>
          <w:rFonts w:hint="eastAsia" w:ascii="楷体" w:hAnsi="楷体" w:eastAsia="楷体" w:cs="楷体"/>
          <w:b/>
          <w:bCs/>
          <w:color w:val="auto"/>
          <w:kern w:val="0"/>
          <w:sz w:val="32"/>
          <w:szCs w:val="32"/>
          <w:shd w:val="clear" w:fill="FFFFFF"/>
        </w:rPr>
        <w:t>（二）部门绩效评价情况</w:t>
      </w:r>
    </w:p>
    <w:p>
      <w:pPr>
        <w:pStyle w:val="16"/>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我</w:t>
      </w:r>
      <w:r>
        <w:rPr>
          <w:rFonts w:hint="eastAsia" w:ascii="方正仿宋_GBK" w:hAnsi="方正仿宋_GBK" w:eastAsia="方正仿宋_GBK" w:cs="方正仿宋_GBK"/>
          <w:color w:val="auto"/>
          <w:kern w:val="0"/>
          <w:sz w:val="32"/>
          <w:szCs w:val="32"/>
          <w:shd w:val="clear" w:fill="FFFFFF"/>
          <w:lang w:val="en-US" w:eastAsia="zh-CN"/>
        </w:rPr>
        <w:t>部门</w:t>
      </w:r>
      <w:r>
        <w:rPr>
          <w:rFonts w:hint="eastAsia" w:ascii="方正仿宋_GBK" w:hAnsi="方正仿宋_GBK" w:eastAsia="方正仿宋_GBK" w:cs="方正仿宋_GBK"/>
          <w:color w:val="auto"/>
          <w:kern w:val="0"/>
          <w:sz w:val="32"/>
          <w:szCs w:val="32"/>
          <w:shd w:val="clear" w:fill="FFFFFF"/>
        </w:rPr>
        <w:t>未组织开展绩效评价。</w:t>
      </w:r>
    </w:p>
    <w:p>
      <w:pPr>
        <w:pStyle w:val="16"/>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3" w:firstLineChars="200"/>
        <w:textAlignment w:val="auto"/>
        <w:rPr>
          <w:rFonts w:hint="eastAsia" w:ascii="方正仿宋_GBK" w:hAnsi="方正仿宋_GBK" w:eastAsia="方正仿宋_GBK" w:cs="方正仿宋_GBK"/>
          <w:b w:val="0"/>
          <w:bCs w:val="0"/>
          <w:color w:val="auto"/>
          <w:kern w:val="0"/>
          <w:sz w:val="32"/>
          <w:szCs w:val="32"/>
          <w:shd w:val="clear" w:fill="FFFFFF"/>
        </w:rPr>
      </w:pPr>
      <w:r>
        <w:rPr>
          <w:rFonts w:hint="eastAsia" w:ascii="楷体" w:hAnsi="楷体" w:eastAsia="楷体" w:cs="楷体"/>
          <w:b/>
          <w:bCs/>
          <w:color w:val="auto"/>
          <w:kern w:val="0"/>
          <w:sz w:val="32"/>
          <w:szCs w:val="32"/>
          <w:shd w:val="clear" w:fill="FFFFFF"/>
          <w:lang w:val="en-US" w:eastAsia="zh-CN" w:bidi="ar"/>
        </w:rPr>
        <w:t>（三）财政绩效评价情况</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rPr>
      </w:pPr>
      <w:r>
        <w:rPr>
          <w:rFonts w:hint="eastAsia" w:ascii="方正仿宋_GBK" w:hAnsi="方正仿宋_GBK" w:eastAsia="方正仿宋_GBK" w:cs="方正仿宋_GBK"/>
          <w:color w:val="auto"/>
          <w:kern w:val="0"/>
          <w:sz w:val="32"/>
          <w:szCs w:val="32"/>
          <w:shd w:val="clear" w:fill="FFFFFF"/>
          <w:lang w:val="en-US" w:eastAsia="zh-CN"/>
        </w:rPr>
        <w:t>县财政局未委托第三方对我单位开展绩效评价。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textAlignment w:val="auto"/>
        <w:rPr>
          <w:rFonts w:hint="eastAsia" w:ascii="方正仿宋_GBK" w:hAnsi="方正仿宋_GBK" w:eastAsia="方正仿宋_GBK" w:cs="方正仿宋_GBK"/>
          <w:color w:val="auto"/>
          <w:kern w:val="0"/>
          <w:sz w:val="32"/>
          <w:szCs w:val="32"/>
        </w:rPr>
      </w:pPr>
      <w:r>
        <w:rPr>
          <w:rStyle w:val="13"/>
          <w:rFonts w:hint="eastAsia" w:ascii="方正仿宋_GBK" w:hAnsi="方正仿宋_GBK" w:eastAsia="方正仿宋_GBK" w:cs="方正仿宋_GBK"/>
          <w:b/>
          <w:bCs/>
          <w:color w:val="auto"/>
          <w:sz w:val="32"/>
          <w:szCs w:val="32"/>
          <w:shd w:val="clear" w:fill="FFFFFF"/>
        </w:rPr>
        <w:t xml:space="preserve"> </w:t>
      </w:r>
      <w:r>
        <w:rPr>
          <w:rStyle w:val="13"/>
          <w:rFonts w:hint="eastAsia" w:ascii="方正仿宋_GBK" w:hAnsi="方正仿宋_GBK" w:eastAsia="方正仿宋_GBK" w:cs="方正仿宋_GBK"/>
          <w:b/>
          <w:bCs/>
          <w:color w:val="auto"/>
          <w:sz w:val="32"/>
          <w:szCs w:val="32"/>
          <w:shd w:val="clear" w:fill="FFFFFF"/>
          <w:lang w:val="en-US" w:eastAsia="zh-CN"/>
        </w:rPr>
        <w:t xml:space="preserve">  </w:t>
      </w:r>
      <w:r>
        <w:rPr>
          <w:rStyle w:val="10"/>
          <w:rFonts w:hint="eastAsia" w:ascii="黑体" w:hAnsi="黑体" w:eastAsia="黑体" w:cs="黑体"/>
          <w:color w:val="auto"/>
          <w:sz w:val="32"/>
          <w:szCs w:val="32"/>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（一）财政拨款收入：</w:t>
      </w:r>
      <w:r>
        <w:rPr>
          <w:rFonts w:hint="eastAsia" w:ascii="方正仿宋_GBK" w:hAnsi="方正仿宋_GBK" w:eastAsia="方正仿宋_GBK" w:cs="方正仿宋_GBK"/>
          <w:color w:val="auto"/>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（二）事业收入：</w:t>
      </w:r>
      <w:r>
        <w:rPr>
          <w:rFonts w:hint="eastAsia" w:ascii="方正仿宋_GBK" w:hAnsi="方正仿宋_GBK" w:eastAsia="方正仿宋_GBK" w:cs="方正仿宋_GBK"/>
          <w:color w:val="auto"/>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（三）经营收入：</w:t>
      </w:r>
      <w:r>
        <w:rPr>
          <w:rFonts w:hint="eastAsia" w:ascii="方正仿宋_GBK" w:hAnsi="方正仿宋_GBK" w:eastAsia="方正仿宋_GBK" w:cs="方正仿宋_GBK"/>
          <w:color w:val="auto"/>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（四）其他收入：</w:t>
      </w:r>
      <w:r>
        <w:rPr>
          <w:rFonts w:hint="eastAsia" w:ascii="方正仿宋_GBK" w:hAnsi="方正仿宋_GBK" w:eastAsia="方正仿宋_GBK" w:cs="方正仿宋_GBK"/>
          <w:color w:val="auto"/>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（五）使用非财政拨款结余：</w:t>
      </w:r>
      <w:r>
        <w:rPr>
          <w:rFonts w:hint="eastAsia" w:ascii="方正仿宋_GBK" w:hAnsi="方正仿宋_GBK" w:eastAsia="方正仿宋_GBK" w:cs="方正仿宋_GBK"/>
          <w:color w:val="auto"/>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（六）年初结转和结余：</w:t>
      </w:r>
      <w:r>
        <w:rPr>
          <w:rFonts w:hint="eastAsia" w:ascii="方正仿宋_GBK" w:hAnsi="方正仿宋_GBK" w:eastAsia="方正仿宋_GBK" w:cs="方正仿宋_GBK"/>
          <w:color w:val="auto"/>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（七）结余分配：</w:t>
      </w:r>
      <w:r>
        <w:rPr>
          <w:rFonts w:hint="eastAsia" w:ascii="方正仿宋_GBK" w:hAnsi="方正仿宋_GBK" w:eastAsia="方正仿宋_GBK" w:cs="方正仿宋_GBK"/>
          <w:color w:val="auto"/>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（八）年末结转和结余：</w:t>
      </w:r>
      <w:r>
        <w:rPr>
          <w:rFonts w:hint="eastAsia" w:ascii="方正仿宋_GBK" w:hAnsi="方正仿宋_GBK" w:eastAsia="方正仿宋_GBK" w:cs="方正仿宋_GBK"/>
          <w:color w:val="auto"/>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（九）基本支出：</w:t>
      </w:r>
      <w:r>
        <w:rPr>
          <w:rFonts w:hint="eastAsia" w:ascii="方正仿宋_GBK" w:hAnsi="方正仿宋_GBK" w:eastAsia="方正仿宋_GBK" w:cs="方正仿宋_GBK"/>
          <w:color w:val="auto"/>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（十）项目支出：</w:t>
      </w:r>
      <w:r>
        <w:rPr>
          <w:rFonts w:hint="eastAsia" w:ascii="方正仿宋_GBK" w:hAnsi="方正仿宋_GBK" w:eastAsia="方正仿宋_GBK" w:cs="方正仿宋_GBK"/>
          <w:color w:val="auto"/>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（十一）经营支出：</w:t>
      </w:r>
      <w:r>
        <w:rPr>
          <w:rFonts w:hint="eastAsia" w:ascii="方正仿宋_GBK" w:hAnsi="方正仿宋_GBK" w:eastAsia="方正仿宋_GBK" w:cs="方正仿宋_GBK"/>
          <w:color w:val="auto"/>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（十二）“三公”经费：</w:t>
      </w:r>
      <w:r>
        <w:rPr>
          <w:rFonts w:hint="eastAsia" w:ascii="方正仿宋_GBK" w:hAnsi="方正仿宋_GBK" w:eastAsia="方正仿宋_GBK" w:cs="方正仿宋_GBK"/>
          <w:color w:val="auto"/>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（十三）机关运行经费：</w:t>
      </w:r>
      <w:r>
        <w:rPr>
          <w:rFonts w:hint="eastAsia" w:ascii="方正仿宋_GBK" w:hAnsi="方正仿宋_GBK" w:eastAsia="方正仿宋_GBK" w:cs="方正仿宋_GBK"/>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color w:val="auto"/>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color w:val="auto"/>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color w:val="auto"/>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color w:val="auto"/>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Style w:val="10"/>
          <w:rFonts w:hint="eastAsia" w:ascii="黑体" w:hAnsi="黑体" w:eastAsia="黑体" w:cs="黑体"/>
          <w:color w:val="auto"/>
          <w:sz w:val="32"/>
          <w:szCs w:val="32"/>
          <w:shd w:val="clear" w:color="auto" w:fill="FFFFFF"/>
          <w:lang w:val="en-US" w:eastAsia="zh-CN" w:bidi="ar-SA"/>
        </w:rPr>
      </w:pPr>
      <w:r>
        <w:rPr>
          <w:rStyle w:val="10"/>
          <w:rFonts w:hint="eastAsia" w:ascii="黑体" w:hAnsi="黑体" w:eastAsia="黑体" w:cs="黑体"/>
          <w:color w:val="auto"/>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shd w:val="clear" w:fill="FFFFFF"/>
        </w:rPr>
        <w:t>本单位决算公开信息反馈和联系方式：023-</w:t>
      </w:r>
      <w:r>
        <w:rPr>
          <w:rFonts w:hint="eastAsia" w:ascii="方正仿宋_GBK" w:hAnsi="方正仿宋_GBK" w:eastAsia="方正仿宋_GBK" w:cs="方正仿宋_GBK"/>
          <w:color w:val="auto"/>
          <w:kern w:val="0"/>
          <w:sz w:val="32"/>
          <w:szCs w:val="32"/>
          <w:shd w:val="clear" w:fill="FFFFFF"/>
          <w:lang w:val="en-US" w:eastAsia="zh-CN"/>
        </w:rPr>
        <w:t>55821012</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Style w:val="10"/>
          <w:rFonts w:hint="eastAsia" w:ascii="黑体" w:hAnsi="黑体" w:eastAsia="黑体" w:cs="黑体"/>
          <w:color w:val="auto"/>
          <w:sz w:val="32"/>
          <w:szCs w:val="32"/>
          <w:shd w:val="clear" w:color="auto" w:fill="FFFFFF"/>
          <w:lang w:val="en-US" w:eastAsia="zh-CN" w:bidi="ar-SA"/>
        </w:rPr>
        <w:sectPr>
          <w:headerReference r:id="rId3" w:type="default"/>
          <w:footerReference r:id="rId4" w:type="default"/>
          <w:pgSz w:w="11850" w:h="16783"/>
          <w:pgMar w:top="2098" w:right="1531" w:bottom="1984" w:left="1531" w:header="0" w:footer="283" w:gutter="0"/>
          <w:pgNumType w:fmt="numberInDash"/>
          <w:cols w:space="720" w:num="1"/>
          <w:docGrid w:type="lines" w:linePitch="326" w:charSpace="0"/>
        </w:sectPr>
      </w:pPr>
    </w:p>
    <w:tbl>
      <w:tblPr>
        <w:tblStyle w:val="7"/>
        <w:tblpPr w:leftFromText="180" w:rightFromText="180" w:vertAnchor="text" w:horzAnchor="page" w:tblpX="1058" w:tblpY="22"/>
        <w:tblOverlap w:val="never"/>
        <w:tblW w:w="14786" w:type="dxa"/>
        <w:tblInd w:w="0" w:type="dxa"/>
        <w:tblLayout w:type="fixed"/>
        <w:tblCellMar>
          <w:top w:w="0" w:type="dxa"/>
          <w:left w:w="0" w:type="dxa"/>
          <w:bottom w:w="0" w:type="dxa"/>
          <w:right w:w="0" w:type="dxa"/>
        </w:tblCellMar>
      </w:tblPr>
      <w:tblGrid>
        <w:gridCol w:w="4309"/>
        <w:gridCol w:w="3569"/>
        <w:gridCol w:w="4057"/>
        <w:gridCol w:w="2851"/>
      </w:tblGrid>
      <w:tr>
        <w:tblPrEx>
          <w:tblCellMar>
            <w:top w:w="0" w:type="dxa"/>
            <w:left w:w="0" w:type="dxa"/>
            <w:bottom w:w="0" w:type="dxa"/>
            <w:right w:w="0" w:type="dxa"/>
          </w:tblCellMar>
        </w:tblPrEx>
        <w:trPr>
          <w:trHeight w:val="232" w:hRule="atLeast"/>
        </w:trPr>
        <w:tc>
          <w:tcPr>
            <w:tcW w:w="14786"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auto"/>
                <w:sz w:val="32"/>
                <w:szCs w:val="32"/>
              </w:rPr>
            </w:pPr>
            <w:r>
              <w:rPr>
                <w:rFonts w:cs="宋体"/>
                <w:b/>
                <w:color w:val="auto"/>
                <w:sz w:val="32"/>
                <w:szCs w:val="32"/>
              </w:rPr>
              <w:t>收入支出决算总表</w:t>
            </w:r>
          </w:p>
        </w:tc>
      </w:tr>
      <w:tr>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auto"/>
                <w:sz w:val="20"/>
                <w:szCs w:val="20"/>
              </w:rPr>
            </w:pPr>
          </w:p>
        </w:tc>
        <w:tc>
          <w:tcPr>
            <w:tcW w:w="3569"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auto"/>
                <w:sz w:val="20"/>
                <w:szCs w:val="20"/>
              </w:rPr>
            </w:pPr>
          </w:p>
        </w:tc>
        <w:tc>
          <w:tcPr>
            <w:tcW w:w="405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auto"/>
                <w:sz w:val="20"/>
                <w:szCs w:val="20"/>
              </w:rPr>
            </w:pPr>
          </w:p>
        </w:tc>
        <w:tc>
          <w:tcPr>
            <w:tcW w:w="285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01</w:t>
            </w:r>
            <w:r>
              <w:rPr>
                <w:rFonts w:cs="宋体"/>
                <w:color w:val="auto"/>
                <w:sz w:val="20"/>
                <w:szCs w:val="20"/>
              </w:rPr>
              <w:t>表</w:t>
            </w:r>
          </w:p>
        </w:tc>
      </w:tr>
      <w:tr>
        <w:tblPrEx>
          <w:tblCellMar>
            <w:top w:w="0" w:type="dxa"/>
            <w:left w:w="0" w:type="dxa"/>
            <w:bottom w:w="0" w:type="dxa"/>
            <w:right w:w="0" w:type="dxa"/>
          </w:tblCellMar>
        </w:tblPrEx>
        <w:trPr>
          <w:trHeight w:val="232" w:hRule="atLeast"/>
        </w:trPr>
        <w:tc>
          <w:tcPr>
            <w:tcW w:w="7878"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auto"/>
                <w:sz w:val="22"/>
                <w:szCs w:val="22"/>
              </w:rPr>
            </w:pPr>
            <w:r>
              <w:rPr>
                <w:rFonts w:hint="eastAsia" w:cs="宋体"/>
                <w:color w:val="auto"/>
                <w:sz w:val="20"/>
                <w:szCs w:val="20"/>
                <w:lang w:eastAsia="zh-CN"/>
              </w:rPr>
              <w:t>部门</w:t>
            </w:r>
            <w:r>
              <w:rPr>
                <w:rFonts w:cs="宋体"/>
                <w:color w:val="auto"/>
                <w:sz w:val="20"/>
                <w:szCs w:val="20"/>
              </w:rPr>
              <w:t>：</w:t>
            </w:r>
            <w:r>
              <w:rPr>
                <w:color w:val="auto"/>
                <w:sz w:val="20"/>
                <w:u w:color="auto"/>
              </w:rPr>
              <w:t>路阳镇产业发展服务中心</w:t>
            </w:r>
          </w:p>
        </w:tc>
        <w:tc>
          <w:tcPr>
            <w:tcW w:w="405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auto"/>
                <w:sz w:val="22"/>
                <w:szCs w:val="22"/>
              </w:rPr>
            </w:pPr>
          </w:p>
        </w:tc>
        <w:tc>
          <w:tcPr>
            <w:tcW w:w="285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tblPrEx>
          <w:tblCellMar>
            <w:top w:w="0" w:type="dxa"/>
            <w:left w:w="0" w:type="dxa"/>
            <w:bottom w:w="0" w:type="dxa"/>
            <w:right w:w="0" w:type="dxa"/>
          </w:tblCellMar>
        </w:tblPrEx>
        <w:trPr>
          <w:trHeight w:val="243" w:hRule="atLeast"/>
        </w:trPr>
        <w:tc>
          <w:tcPr>
            <w:tcW w:w="78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收入</w:t>
            </w:r>
          </w:p>
        </w:tc>
        <w:tc>
          <w:tcPr>
            <w:tcW w:w="6908"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支出</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项目</w:t>
            </w: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决算数</w:t>
            </w: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功能分类科目</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决算数</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一、一般公共预算财政拨款收入</w:t>
            </w: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241.53</w:t>
            </w:r>
            <w:r>
              <w:rPr>
                <w:rFonts w:ascii="Times New Roman" w:hAnsi="Times New Roman"/>
                <w:color w:val="auto"/>
                <w:sz w:val="20"/>
                <w:u w:color="auto"/>
              </w:rPr>
              <w:t xml:space="preserve"> </w:t>
            </w: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一、一般公共服务支出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66.11</w:t>
            </w: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二、政府性基金预算财政拨款收入</w:t>
            </w: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二、外交支出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三、国有资本经营预算财政拨款收入</w:t>
            </w: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三、国防支出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四、上级补助收入</w:t>
            </w: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四、公共安全支出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五、事业收入</w:t>
            </w: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五、教育支出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六、经营收入</w:t>
            </w: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六、科学技术支出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七、附属单位上缴收入</w:t>
            </w: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七、文化旅游体育与传媒支出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八、其他收入</w:t>
            </w:r>
          </w:p>
        </w:tc>
        <w:tc>
          <w:tcPr>
            <w:tcW w:w="3569"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八、社会保障和就业支出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69.99</w:t>
            </w: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九、卫生健康支出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10.86</w:t>
            </w: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十、节能环保支出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十一、城乡社区支出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十二、农林水支出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83.16</w:t>
            </w: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十三、交通运输支出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十四、资源勘探工业信息等支出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十五、商业服务业等支出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十六、金融支出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十七、援助其他地区支出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十八、自然资源海洋气象等支出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十九、住房保障支出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11.41</w:t>
            </w: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二十、粮油物资储备支出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二十一、国有资本经营预算支出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二十二、灾害防治及应急管理支出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二十三、其他支出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auto"/>
                <w:sz w:val="20"/>
                <w:szCs w:val="20"/>
              </w:rPr>
            </w:pP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二十四、债务还本支出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二十五、债务付息支出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二十六、抗疫特别国债安排的支出</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auto"/>
                <w:sz w:val="20"/>
                <w:szCs w:val="20"/>
              </w:rPr>
            </w:pPr>
            <w:r>
              <w:rPr>
                <w:rFonts w:cs="宋体"/>
                <w:b/>
                <w:bCs/>
                <w:color w:val="auto"/>
                <w:sz w:val="20"/>
                <w:szCs w:val="20"/>
              </w:rPr>
              <w:t>本年收入合计</w:t>
            </w: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241.53</w:t>
            </w:r>
            <w:r>
              <w:rPr>
                <w:rFonts w:ascii="Times New Roman" w:hAnsi="Times New Roman"/>
                <w:color w:val="auto"/>
                <w:sz w:val="20"/>
                <w:u w:color="auto"/>
              </w:rPr>
              <w:t xml:space="preserve"> </w:t>
            </w: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auto"/>
                <w:sz w:val="20"/>
                <w:szCs w:val="20"/>
              </w:rPr>
            </w:pPr>
            <w:r>
              <w:rPr>
                <w:rFonts w:cs="宋体"/>
                <w:b/>
                <w:bCs/>
                <w:color w:val="auto"/>
                <w:sz w:val="20"/>
                <w:szCs w:val="20"/>
              </w:rPr>
              <w:t>本年支出合计</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241.53</w:t>
            </w: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使用非财政拨款结余和专用结余</w:t>
            </w: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结余分配</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年初结转和结余</w:t>
            </w: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年末结转和结余</w:t>
            </w:r>
          </w:p>
        </w:tc>
        <w:tc>
          <w:tcPr>
            <w:tcW w:w="285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3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241.53</w:t>
            </w:r>
            <w:r>
              <w:rPr>
                <w:rFonts w:ascii="Times New Roman" w:hAnsi="Times New Roman"/>
                <w:color w:val="auto"/>
                <w:sz w:val="20"/>
                <w:u w:color="auto"/>
              </w:rPr>
              <w:t xml:space="preserve"> </w:t>
            </w:r>
          </w:p>
        </w:tc>
        <w:tc>
          <w:tcPr>
            <w:tcW w:w="4057"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28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241.53</w:t>
            </w:r>
            <w:r>
              <w:rPr>
                <w:rFonts w:ascii="Times New Roman" w:hAnsi="Times New Roman"/>
                <w:color w:val="auto"/>
                <w:sz w:val="20"/>
                <w:u w:color="auto"/>
              </w:rPr>
              <w:t xml:space="preserve"> </w:t>
            </w:r>
          </w:p>
        </w:tc>
      </w:tr>
    </w:tbl>
    <w:p>
      <w:pPr>
        <w:rPr>
          <w:rFonts w:hint="default" w:cs="宋体"/>
          <w:color w:val="auto"/>
          <w:sz w:val="21"/>
          <w:szCs w:val="21"/>
        </w:rPr>
      </w:pPr>
    </w:p>
    <w:p>
      <w:pPr>
        <w:spacing w:line="240" w:lineRule="exact"/>
        <w:rPr>
          <w:rFonts w:hint="default" w:cs="宋体"/>
          <w:color w:val="auto"/>
          <w:sz w:val="20"/>
          <w:szCs w:val="20"/>
        </w:rPr>
      </w:pPr>
      <w:r>
        <w:rPr>
          <w:rFonts w:cs="宋体"/>
          <w:color w:val="auto"/>
          <w:sz w:val="20"/>
          <w:szCs w:val="20"/>
        </w:rPr>
        <w:t>备注：1.本表反映部门本年度的总收支和年末结转结余情况。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tbl>
      <w:tblPr>
        <w:tblStyle w:val="7"/>
        <w:tblW w:w="15554" w:type="dxa"/>
        <w:tblInd w:w="0" w:type="dxa"/>
        <w:tblLayout w:type="fixed"/>
        <w:tblCellMar>
          <w:top w:w="0" w:type="dxa"/>
          <w:left w:w="0" w:type="dxa"/>
          <w:bottom w:w="0" w:type="dxa"/>
          <w:right w:w="0" w:type="dxa"/>
        </w:tblCellMar>
      </w:tblPr>
      <w:tblGrid>
        <w:gridCol w:w="1366"/>
        <w:gridCol w:w="2983"/>
        <w:gridCol w:w="1382"/>
        <w:gridCol w:w="1437"/>
        <w:gridCol w:w="1471"/>
        <w:gridCol w:w="1362"/>
        <w:gridCol w:w="1388"/>
        <w:gridCol w:w="1260"/>
        <w:gridCol w:w="1260"/>
        <w:gridCol w:w="1645"/>
      </w:tblGrid>
      <w:tr>
        <w:tblPrEx>
          <w:tblCellMar>
            <w:top w:w="0" w:type="dxa"/>
            <w:left w:w="0" w:type="dxa"/>
            <w:bottom w:w="0" w:type="dxa"/>
            <w:right w:w="0" w:type="dxa"/>
          </w:tblCellMar>
        </w:tblPrEx>
        <w:trPr>
          <w:trHeight w:val="382" w:hRule="atLeast"/>
        </w:trPr>
        <w:tc>
          <w:tcPr>
            <w:tcW w:w="15554"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收入决算表</w:t>
            </w:r>
          </w:p>
        </w:tc>
      </w:tr>
      <w:tr>
        <w:tblPrEx>
          <w:tblCellMar>
            <w:top w:w="0" w:type="dxa"/>
            <w:left w:w="0" w:type="dxa"/>
            <w:bottom w:w="0" w:type="dxa"/>
            <w:right w:w="0" w:type="dxa"/>
          </w:tblCellMar>
        </w:tblPrEx>
        <w:trPr>
          <w:trHeight w:val="328" w:hRule="atLeast"/>
        </w:trPr>
        <w:tc>
          <w:tcPr>
            <w:tcW w:w="573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rPr>
            </w:pPr>
            <w:r>
              <w:rPr>
                <w:rFonts w:hint="eastAsia" w:cs="宋体"/>
                <w:color w:val="auto"/>
                <w:sz w:val="20"/>
                <w:szCs w:val="20"/>
                <w:lang w:eastAsia="zh-CN"/>
              </w:rPr>
              <w:t>部门</w:t>
            </w:r>
            <w:r>
              <w:rPr>
                <w:rFonts w:cs="宋体"/>
                <w:color w:val="auto"/>
                <w:sz w:val="20"/>
                <w:szCs w:val="20"/>
              </w:rPr>
              <w:t>：</w:t>
            </w:r>
            <w:r>
              <w:rPr>
                <w:color w:val="auto"/>
                <w:sz w:val="20"/>
                <w:u w:color="auto"/>
              </w:rPr>
              <w:t>路阳镇产业发展服务中心</w:t>
            </w:r>
          </w:p>
        </w:tc>
        <w:tc>
          <w:tcPr>
            <w:tcW w:w="143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4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36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38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26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26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64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02</w:t>
            </w:r>
            <w:r>
              <w:rPr>
                <w:rFonts w:cs="宋体"/>
                <w:color w:val="auto"/>
                <w:sz w:val="20"/>
                <w:szCs w:val="20"/>
              </w:rPr>
              <w:t>表</w:t>
            </w:r>
          </w:p>
        </w:tc>
      </w:tr>
      <w:tr>
        <w:tblPrEx>
          <w:tblCellMar>
            <w:top w:w="0" w:type="dxa"/>
            <w:left w:w="0" w:type="dxa"/>
            <w:bottom w:w="0" w:type="dxa"/>
            <w:right w:w="0" w:type="dxa"/>
          </w:tblCellMar>
        </w:tblPrEx>
        <w:trPr>
          <w:trHeight w:val="328" w:hRule="atLeast"/>
        </w:trPr>
        <w:tc>
          <w:tcPr>
            <w:tcW w:w="57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43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4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36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38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26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26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64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3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本年收入合计</w:t>
            </w:r>
          </w:p>
        </w:tc>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财政拨款收入</w:t>
            </w:r>
          </w:p>
        </w:tc>
        <w:tc>
          <w:tcPr>
            <w:tcW w:w="14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上级补助收入</w:t>
            </w:r>
          </w:p>
        </w:tc>
        <w:tc>
          <w:tcPr>
            <w:tcW w:w="2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事业收入</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经营收入</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附属单位上缴收入</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其他收入</w:t>
            </w:r>
          </w:p>
        </w:tc>
      </w:tr>
      <w:tr>
        <w:tblPrEx>
          <w:tblCellMar>
            <w:top w:w="0" w:type="dxa"/>
            <w:left w:w="0" w:type="dxa"/>
            <w:bottom w:w="0" w:type="dxa"/>
            <w:right w:w="0" w:type="dxa"/>
          </w:tblCellMar>
        </w:tblPrEx>
        <w:trPr>
          <w:trHeight w:val="334" w:hRule="atLeast"/>
        </w:trPr>
        <w:tc>
          <w:tcPr>
            <w:tcW w:w="136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2983"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小计</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其中：教育收费</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334" w:hRule="atLeast"/>
        </w:trPr>
        <w:tc>
          <w:tcPr>
            <w:tcW w:w="136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98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334" w:hRule="atLeast"/>
        </w:trPr>
        <w:tc>
          <w:tcPr>
            <w:tcW w:w="136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98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334" w:hRule="atLeast"/>
        </w:trPr>
        <w:tc>
          <w:tcPr>
            <w:tcW w:w="136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98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3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241.53</w:t>
            </w:r>
            <w:r>
              <w:rPr>
                <w:rFonts w:ascii="Times New Roman" w:hAnsi="Times New Roman"/>
                <w:b/>
                <w:color w:val="auto"/>
                <w:sz w:val="20"/>
                <w:u w:color="auto"/>
              </w:rPr>
              <w:t xml:space="preserve"> </w:t>
            </w:r>
          </w:p>
        </w:tc>
        <w:tc>
          <w:tcPr>
            <w:tcW w:w="14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241.53</w:t>
            </w:r>
            <w:r>
              <w:rPr>
                <w:rFonts w:ascii="Times New Roman" w:hAnsi="Times New Roman"/>
                <w:b/>
                <w:color w:val="auto"/>
                <w:sz w:val="20"/>
                <w:u w:color="auto"/>
              </w:rPr>
              <w:t xml:space="preserve"> </w:t>
            </w:r>
          </w:p>
        </w:tc>
        <w:tc>
          <w:tcPr>
            <w:tcW w:w="1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3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3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48" w:hRule="atLeast"/>
        </w:trPr>
        <w:tc>
          <w:tcPr>
            <w:tcW w:w="13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一般公共服务支出</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66.11</w:t>
            </w:r>
            <w:r>
              <w:rPr>
                <w:rFonts w:ascii="Times New Roman" w:hAnsi="Times New Roman"/>
                <w:b/>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66.11</w:t>
            </w:r>
            <w:r>
              <w:rPr>
                <w:rFonts w:ascii="Times New Roman" w:hAnsi="Times New Roman"/>
                <w:b/>
                <w:color w:val="auto"/>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48" w:hRule="atLeast"/>
        </w:trPr>
        <w:tc>
          <w:tcPr>
            <w:tcW w:w="13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20103</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政府办公厅（室）及相关机构事务</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66.11</w:t>
            </w:r>
            <w:r>
              <w:rPr>
                <w:rFonts w:ascii="Times New Roman" w:hAnsi="Times New Roman"/>
                <w:b/>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66.11</w:t>
            </w:r>
            <w:r>
              <w:rPr>
                <w:rFonts w:ascii="Times New Roman" w:hAnsi="Times New Roman"/>
                <w:b/>
                <w:color w:val="auto"/>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48" w:hRule="atLeast"/>
        </w:trPr>
        <w:tc>
          <w:tcPr>
            <w:tcW w:w="13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2010350</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事业运行</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66.11</w:t>
            </w:r>
            <w:r>
              <w:rPr>
                <w:rFonts w:ascii="Times New Roman" w:hAnsi="Times New Roman"/>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66.11</w:t>
            </w:r>
            <w:r>
              <w:rPr>
                <w:rFonts w:ascii="Times New Roman" w:hAnsi="Times New Roman"/>
                <w:color w:val="auto"/>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348" w:hRule="atLeast"/>
        </w:trPr>
        <w:tc>
          <w:tcPr>
            <w:tcW w:w="13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69.99</w:t>
            </w:r>
            <w:r>
              <w:rPr>
                <w:rFonts w:ascii="Times New Roman" w:hAnsi="Times New Roman"/>
                <w:b/>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69.99</w:t>
            </w:r>
            <w:r>
              <w:rPr>
                <w:rFonts w:ascii="Times New Roman" w:hAnsi="Times New Roman"/>
                <w:b/>
                <w:color w:val="auto"/>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48" w:hRule="atLeast"/>
        </w:trPr>
        <w:tc>
          <w:tcPr>
            <w:tcW w:w="13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69.99</w:t>
            </w:r>
            <w:r>
              <w:rPr>
                <w:rFonts w:ascii="Times New Roman" w:hAnsi="Times New Roman"/>
                <w:b/>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69.99</w:t>
            </w:r>
            <w:r>
              <w:rPr>
                <w:rFonts w:ascii="Times New Roman" w:hAnsi="Times New Roman"/>
                <w:b/>
                <w:color w:val="auto"/>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48" w:hRule="atLeast"/>
        </w:trPr>
        <w:tc>
          <w:tcPr>
            <w:tcW w:w="13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21.84</w:t>
            </w:r>
            <w:r>
              <w:rPr>
                <w:rFonts w:ascii="Times New Roman" w:hAnsi="Times New Roman"/>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21.84</w:t>
            </w:r>
            <w:r>
              <w:rPr>
                <w:rFonts w:ascii="Times New Roman" w:hAnsi="Times New Roman"/>
                <w:color w:val="auto"/>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348" w:hRule="atLeast"/>
        </w:trPr>
        <w:tc>
          <w:tcPr>
            <w:tcW w:w="13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30.46</w:t>
            </w:r>
            <w:r>
              <w:rPr>
                <w:rFonts w:ascii="Times New Roman" w:hAnsi="Times New Roman"/>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30.46</w:t>
            </w:r>
            <w:r>
              <w:rPr>
                <w:rFonts w:ascii="Times New Roman" w:hAnsi="Times New Roman"/>
                <w:color w:val="auto"/>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348" w:hRule="atLeast"/>
        </w:trPr>
        <w:tc>
          <w:tcPr>
            <w:tcW w:w="13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2080599</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其他行政事业单位养老支出</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17.69</w:t>
            </w:r>
            <w:r>
              <w:rPr>
                <w:rFonts w:ascii="Times New Roman" w:hAnsi="Times New Roman"/>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17.69</w:t>
            </w:r>
            <w:r>
              <w:rPr>
                <w:rFonts w:ascii="Times New Roman" w:hAnsi="Times New Roman"/>
                <w:color w:val="auto"/>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348" w:hRule="atLeast"/>
        </w:trPr>
        <w:tc>
          <w:tcPr>
            <w:tcW w:w="13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10.86</w:t>
            </w:r>
            <w:r>
              <w:rPr>
                <w:rFonts w:ascii="Times New Roman" w:hAnsi="Times New Roman"/>
                <w:b/>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10.86</w:t>
            </w:r>
            <w:r>
              <w:rPr>
                <w:rFonts w:ascii="Times New Roman" w:hAnsi="Times New Roman"/>
                <w:b/>
                <w:color w:val="auto"/>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48" w:hRule="atLeast"/>
        </w:trPr>
        <w:tc>
          <w:tcPr>
            <w:tcW w:w="13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10.86</w:t>
            </w:r>
            <w:r>
              <w:rPr>
                <w:rFonts w:ascii="Times New Roman" w:hAnsi="Times New Roman"/>
                <w:b/>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10.86</w:t>
            </w:r>
            <w:r>
              <w:rPr>
                <w:rFonts w:ascii="Times New Roman" w:hAnsi="Times New Roman"/>
                <w:b/>
                <w:color w:val="auto"/>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48" w:hRule="atLeast"/>
        </w:trPr>
        <w:tc>
          <w:tcPr>
            <w:tcW w:w="13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2101102</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10.86</w:t>
            </w:r>
            <w:r>
              <w:rPr>
                <w:rFonts w:ascii="Times New Roman" w:hAnsi="Times New Roman"/>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10.86</w:t>
            </w:r>
            <w:r>
              <w:rPr>
                <w:rFonts w:ascii="Times New Roman" w:hAnsi="Times New Roman"/>
                <w:color w:val="auto"/>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348" w:hRule="atLeast"/>
        </w:trPr>
        <w:tc>
          <w:tcPr>
            <w:tcW w:w="13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213</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农林水支出</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83.16</w:t>
            </w:r>
            <w:r>
              <w:rPr>
                <w:rFonts w:ascii="Times New Roman" w:hAnsi="Times New Roman"/>
                <w:b/>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83.16</w:t>
            </w:r>
            <w:r>
              <w:rPr>
                <w:rFonts w:ascii="Times New Roman" w:hAnsi="Times New Roman"/>
                <w:b/>
                <w:color w:val="auto"/>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48" w:hRule="atLeast"/>
        </w:trPr>
        <w:tc>
          <w:tcPr>
            <w:tcW w:w="13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21301</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农业农村</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83.16</w:t>
            </w:r>
            <w:r>
              <w:rPr>
                <w:rFonts w:ascii="Times New Roman" w:hAnsi="Times New Roman"/>
                <w:b/>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83.16</w:t>
            </w:r>
            <w:r>
              <w:rPr>
                <w:rFonts w:ascii="Times New Roman" w:hAnsi="Times New Roman"/>
                <w:b/>
                <w:color w:val="auto"/>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48" w:hRule="atLeast"/>
        </w:trPr>
        <w:tc>
          <w:tcPr>
            <w:tcW w:w="13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2130104</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事业运行</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83.16</w:t>
            </w:r>
            <w:r>
              <w:rPr>
                <w:rFonts w:ascii="Times New Roman" w:hAnsi="Times New Roman"/>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83.16</w:t>
            </w:r>
            <w:r>
              <w:rPr>
                <w:rFonts w:ascii="Times New Roman" w:hAnsi="Times New Roman"/>
                <w:color w:val="auto"/>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348" w:hRule="atLeast"/>
        </w:trPr>
        <w:tc>
          <w:tcPr>
            <w:tcW w:w="13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11.41</w:t>
            </w:r>
            <w:r>
              <w:rPr>
                <w:rFonts w:ascii="Times New Roman" w:hAnsi="Times New Roman"/>
                <w:b/>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11.41</w:t>
            </w:r>
            <w:r>
              <w:rPr>
                <w:rFonts w:ascii="Times New Roman" w:hAnsi="Times New Roman"/>
                <w:b/>
                <w:color w:val="auto"/>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48" w:hRule="atLeast"/>
        </w:trPr>
        <w:tc>
          <w:tcPr>
            <w:tcW w:w="13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11.41</w:t>
            </w:r>
            <w:r>
              <w:rPr>
                <w:rFonts w:ascii="Times New Roman" w:hAnsi="Times New Roman"/>
                <w:b/>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11.41</w:t>
            </w:r>
            <w:r>
              <w:rPr>
                <w:rFonts w:ascii="Times New Roman" w:hAnsi="Times New Roman"/>
                <w:b/>
                <w:color w:val="auto"/>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48" w:hRule="atLeast"/>
        </w:trPr>
        <w:tc>
          <w:tcPr>
            <w:tcW w:w="13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11.41</w:t>
            </w:r>
            <w:r>
              <w:rPr>
                <w:rFonts w:ascii="Times New Roman" w:hAnsi="Times New Roman"/>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11.41</w:t>
            </w:r>
            <w:r>
              <w:rPr>
                <w:rFonts w:ascii="Times New Roman" w:hAnsi="Times New Roman"/>
                <w:color w:val="auto"/>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ind w:left="600" w:hanging="600" w:hangingChars="300"/>
        <w:rPr>
          <w:rFonts w:hint="default" w:cs="宋体"/>
          <w:color w:val="auto"/>
          <w:sz w:val="20"/>
          <w:szCs w:val="20"/>
        </w:rPr>
      </w:pPr>
      <w:r>
        <w:rPr>
          <w:rFonts w:cs="宋体"/>
          <w:color w:val="auto"/>
          <w:sz w:val="20"/>
          <w:szCs w:val="20"/>
        </w:rPr>
        <w:t>备注：1.本表反映部门本年度取得的各项收入情况。</w:t>
      </w:r>
      <w:r>
        <w:rPr>
          <w:rFonts w:cs="宋体"/>
          <w:color w:val="auto"/>
          <w:sz w:val="20"/>
          <w:szCs w:val="20"/>
        </w:rPr>
        <w:br w:type="textWrapping"/>
      </w:r>
      <w:r>
        <w:rPr>
          <w:rFonts w:cs="宋体"/>
          <w:color w:val="auto"/>
          <w:sz w:val="20"/>
          <w:szCs w:val="20"/>
        </w:rPr>
        <w:t>2.本套报表金额单位转换时可能存在尾数误差。</w:t>
      </w:r>
      <w:r>
        <w:rPr>
          <w:rFonts w:cs="宋体"/>
          <w:color w:val="auto"/>
          <w:sz w:val="20"/>
          <w:szCs w:val="20"/>
        </w:rPr>
        <w:br w:type="textWrapping"/>
      </w:r>
      <w:r>
        <w:rPr>
          <w:rFonts w:cs="宋体"/>
          <w:color w:val="auto"/>
          <w:sz w:val="20"/>
          <w:szCs w:val="20"/>
        </w:rPr>
        <w:br w:type="textWrapping"/>
      </w:r>
    </w:p>
    <w:p>
      <w:pPr>
        <w:rPr>
          <w:rFonts w:hint="default" w:cs="宋体"/>
          <w:color w:val="auto"/>
          <w:sz w:val="20"/>
          <w:szCs w:val="20"/>
        </w:rPr>
      </w:pPr>
      <w:r>
        <w:rPr>
          <w:rFonts w:cs="宋体"/>
          <w:color w:val="auto"/>
          <w:sz w:val="20"/>
          <w:szCs w:val="20"/>
        </w:rPr>
        <w:br w:type="page"/>
      </w:r>
    </w:p>
    <w:tbl>
      <w:tblPr>
        <w:tblStyle w:val="7"/>
        <w:tblW w:w="15372" w:type="dxa"/>
        <w:tblInd w:w="0" w:type="dxa"/>
        <w:tblLayout w:type="fixed"/>
        <w:tblCellMar>
          <w:top w:w="0" w:type="dxa"/>
          <w:left w:w="0" w:type="dxa"/>
          <w:bottom w:w="0" w:type="dxa"/>
          <w:right w:w="0" w:type="dxa"/>
        </w:tblCellMar>
      </w:tblPr>
      <w:tblGrid>
        <w:gridCol w:w="1242"/>
        <w:gridCol w:w="3928"/>
        <w:gridCol w:w="1804"/>
        <w:gridCol w:w="1745"/>
        <w:gridCol w:w="1577"/>
        <w:gridCol w:w="1515"/>
        <w:gridCol w:w="1677"/>
        <w:gridCol w:w="1884"/>
      </w:tblGrid>
      <w:tr>
        <w:tblPrEx>
          <w:tblCellMar>
            <w:top w:w="0" w:type="dxa"/>
            <w:left w:w="0" w:type="dxa"/>
            <w:bottom w:w="0" w:type="dxa"/>
            <w:right w:w="0" w:type="dxa"/>
          </w:tblCellMar>
        </w:tblPrEx>
        <w:trPr>
          <w:trHeight w:val="654" w:hRule="atLeast"/>
        </w:trPr>
        <w:tc>
          <w:tcPr>
            <w:tcW w:w="1537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支出决算表</w:t>
            </w:r>
          </w:p>
        </w:tc>
      </w:tr>
      <w:tr>
        <w:tblPrEx>
          <w:tblCellMar>
            <w:top w:w="0" w:type="dxa"/>
            <w:left w:w="0" w:type="dxa"/>
            <w:bottom w:w="0" w:type="dxa"/>
            <w:right w:w="0" w:type="dxa"/>
          </w:tblCellMar>
        </w:tblPrEx>
        <w:trPr>
          <w:trHeight w:val="342" w:hRule="atLeast"/>
        </w:trPr>
        <w:tc>
          <w:tcPr>
            <w:tcW w:w="6974"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auto"/>
                <w:sz w:val="20"/>
                <w:szCs w:val="20"/>
              </w:rPr>
            </w:pPr>
            <w:r>
              <w:rPr>
                <w:rFonts w:hint="eastAsia" w:cs="宋体"/>
                <w:color w:val="auto"/>
                <w:sz w:val="20"/>
                <w:szCs w:val="20"/>
                <w:lang w:eastAsia="zh-CN"/>
              </w:rPr>
              <w:t>部门</w:t>
            </w:r>
            <w:r>
              <w:rPr>
                <w:rFonts w:cs="宋体"/>
                <w:color w:val="auto"/>
                <w:sz w:val="20"/>
                <w:szCs w:val="20"/>
              </w:rPr>
              <w:t>：</w:t>
            </w:r>
            <w:r>
              <w:rPr>
                <w:color w:val="auto"/>
                <w:sz w:val="20"/>
                <w:u w:color="auto"/>
              </w:rPr>
              <w:t xml:space="preserve">路阳镇产业发展服务中心 </w:t>
            </w:r>
          </w:p>
        </w:tc>
        <w:tc>
          <w:tcPr>
            <w:tcW w:w="174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57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51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67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88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03</w:t>
            </w:r>
            <w:r>
              <w:rPr>
                <w:rFonts w:cs="宋体"/>
                <w:color w:val="auto"/>
                <w:sz w:val="20"/>
                <w:szCs w:val="20"/>
              </w:rPr>
              <w:t>表</w:t>
            </w:r>
          </w:p>
        </w:tc>
      </w:tr>
      <w:tr>
        <w:tblPrEx>
          <w:tblCellMar>
            <w:top w:w="0" w:type="dxa"/>
            <w:left w:w="0" w:type="dxa"/>
            <w:bottom w:w="0" w:type="dxa"/>
            <w:right w:w="0" w:type="dxa"/>
          </w:tblCellMar>
        </w:tblPrEx>
        <w:trPr>
          <w:trHeight w:val="342" w:hRule="atLeast"/>
        </w:trPr>
        <w:tc>
          <w:tcPr>
            <w:tcW w:w="697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4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57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51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67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88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tblPrEx>
          <w:tblCellMar>
            <w:top w:w="0" w:type="dxa"/>
            <w:left w:w="0" w:type="dxa"/>
            <w:bottom w:w="0" w:type="dxa"/>
            <w:right w:w="0" w:type="dxa"/>
          </w:tblCellMar>
        </w:tblPrEx>
        <w:trPr>
          <w:trHeight w:val="362" w:hRule="atLeast"/>
        </w:trPr>
        <w:tc>
          <w:tcPr>
            <w:tcW w:w="51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8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本年支出合计</w:t>
            </w:r>
          </w:p>
        </w:tc>
        <w:tc>
          <w:tcPr>
            <w:tcW w:w="17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15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上缴上级支出</w:t>
            </w:r>
          </w:p>
        </w:tc>
        <w:tc>
          <w:tcPr>
            <w:tcW w:w="16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经营支出</w:t>
            </w:r>
          </w:p>
        </w:tc>
        <w:tc>
          <w:tcPr>
            <w:tcW w:w="18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对附属单位补助支出</w:t>
            </w:r>
          </w:p>
        </w:tc>
      </w:tr>
      <w:tr>
        <w:tblPrEx>
          <w:tblCellMar>
            <w:top w:w="0" w:type="dxa"/>
            <w:left w:w="0" w:type="dxa"/>
            <w:bottom w:w="0" w:type="dxa"/>
            <w:right w:w="0" w:type="dxa"/>
          </w:tblCellMar>
        </w:tblPrEx>
        <w:trPr>
          <w:trHeight w:val="338" w:hRule="atLeast"/>
        </w:trPr>
        <w:tc>
          <w:tcPr>
            <w:tcW w:w="124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928"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338" w:hRule="atLeast"/>
        </w:trPr>
        <w:tc>
          <w:tcPr>
            <w:tcW w:w="124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92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338" w:hRule="atLeast"/>
        </w:trPr>
        <w:tc>
          <w:tcPr>
            <w:tcW w:w="124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92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338" w:hRule="atLeast"/>
        </w:trPr>
        <w:tc>
          <w:tcPr>
            <w:tcW w:w="124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92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362" w:hRule="atLeast"/>
        </w:trPr>
        <w:tc>
          <w:tcPr>
            <w:tcW w:w="51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8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241.53</w:t>
            </w:r>
            <w:r>
              <w:rPr>
                <w:rFonts w:ascii="Times New Roman" w:hAnsi="Times New Roman"/>
                <w:b/>
                <w:color w:val="auto"/>
                <w:sz w:val="20"/>
                <w:u w:color="auto"/>
              </w:rPr>
              <w:t xml:space="preserve"> </w:t>
            </w:r>
          </w:p>
        </w:tc>
        <w:tc>
          <w:tcPr>
            <w:tcW w:w="17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241.53</w:t>
            </w:r>
            <w:r>
              <w:rPr>
                <w:rFonts w:ascii="Times New Roman" w:hAnsi="Times New Roman"/>
                <w:b/>
                <w:color w:val="auto"/>
                <w:sz w:val="20"/>
                <w:u w:color="auto"/>
              </w:rPr>
              <w:t xml:space="preserve"> </w:t>
            </w:r>
          </w:p>
        </w:tc>
        <w:tc>
          <w:tcPr>
            <w:tcW w:w="15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5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6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8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82" w:hRule="atLeast"/>
        </w:trPr>
        <w:tc>
          <w:tcPr>
            <w:tcW w:w="12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一般公共服务支出</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66.11</w:t>
            </w:r>
            <w:r>
              <w:rPr>
                <w:rFonts w:ascii="Times New Roman" w:hAnsi="Times New Roman"/>
                <w:b/>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66.11</w:t>
            </w:r>
            <w:r>
              <w:rPr>
                <w:rFonts w:ascii="Times New Roman" w:hAnsi="Times New Roman"/>
                <w:b/>
                <w:color w:val="auto"/>
                <w:sz w:val="20"/>
                <w:u w:color="auto"/>
              </w:rPr>
              <w:t xml:space="preserve"> </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82" w:hRule="atLeast"/>
        </w:trPr>
        <w:tc>
          <w:tcPr>
            <w:tcW w:w="12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20103</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政府办公厅（室）及相关机构事务</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66.11</w:t>
            </w:r>
            <w:r>
              <w:rPr>
                <w:rFonts w:ascii="Times New Roman" w:hAnsi="Times New Roman"/>
                <w:b/>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66.11</w:t>
            </w:r>
            <w:r>
              <w:rPr>
                <w:rFonts w:ascii="Times New Roman" w:hAnsi="Times New Roman"/>
                <w:b/>
                <w:color w:val="auto"/>
                <w:sz w:val="20"/>
                <w:u w:color="auto"/>
              </w:rPr>
              <w:t xml:space="preserve"> </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82" w:hRule="atLeast"/>
        </w:trPr>
        <w:tc>
          <w:tcPr>
            <w:tcW w:w="12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2010350</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事业运行</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66.11</w:t>
            </w:r>
            <w:r>
              <w:rPr>
                <w:rFonts w:ascii="Times New Roman" w:hAnsi="Times New Roman"/>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66.11</w:t>
            </w:r>
            <w:r>
              <w:rPr>
                <w:rFonts w:ascii="Times New Roman" w:hAnsi="Times New Roman"/>
                <w:color w:val="auto"/>
                <w:sz w:val="20"/>
                <w:u w:color="auto"/>
              </w:rPr>
              <w:t xml:space="preserve"> </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382" w:hRule="atLeast"/>
        </w:trPr>
        <w:tc>
          <w:tcPr>
            <w:tcW w:w="12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69.99</w:t>
            </w:r>
            <w:r>
              <w:rPr>
                <w:rFonts w:ascii="Times New Roman" w:hAnsi="Times New Roman"/>
                <w:b/>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69.99</w:t>
            </w:r>
            <w:r>
              <w:rPr>
                <w:rFonts w:ascii="Times New Roman" w:hAnsi="Times New Roman"/>
                <w:b/>
                <w:color w:val="auto"/>
                <w:sz w:val="20"/>
                <w:u w:color="auto"/>
              </w:rPr>
              <w:t xml:space="preserve"> </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82" w:hRule="atLeast"/>
        </w:trPr>
        <w:tc>
          <w:tcPr>
            <w:tcW w:w="12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69.99</w:t>
            </w:r>
            <w:r>
              <w:rPr>
                <w:rFonts w:ascii="Times New Roman" w:hAnsi="Times New Roman"/>
                <w:b/>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69.99</w:t>
            </w:r>
            <w:r>
              <w:rPr>
                <w:rFonts w:ascii="Times New Roman" w:hAnsi="Times New Roman"/>
                <w:b/>
                <w:color w:val="auto"/>
                <w:sz w:val="20"/>
                <w:u w:color="auto"/>
              </w:rPr>
              <w:t xml:space="preserve"> </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82" w:hRule="atLeast"/>
        </w:trPr>
        <w:tc>
          <w:tcPr>
            <w:tcW w:w="12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21.84</w:t>
            </w:r>
            <w:r>
              <w:rPr>
                <w:rFonts w:ascii="Times New Roman" w:hAnsi="Times New Roman"/>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21.84</w:t>
            </w:r>
            <w:r>
              <w:rPr>
                <w:rFonts w:ascii="Times New Roman" w:hAnsi="Times New Roman"/>
                <w:color w:val="auto"/>
                <w:sz w:val="20"/>
                <w:u w:color="auto"/>
              </w:rPr>
              <w:t xml:space="preserve"> </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382" w:hRule="atLeast"/>
        </w:trPr>
        <w:tc>
          <w:tcPr>
            <w:tcW w:w="12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30.46</w:t>
            </w:r>
            <w:r>
              <w:rPr>
                <w:rFonts w:ascii="Times New Roman" w:hAnsi="Times New Roman"/>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30.46</w:t>
            </w:r>
            <w:r>
              <w:rPr>
                <w:rFonts w:ascii="Times New Roman" w:hAnsi="Times New Roman"/>
                <w:color w:val="auto"/>
                <w:sz w:val="20"/>
                <w:u w:color="auto"/>
              </w:rPr>
              <w:t xml:space="preserve"> </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382" w:hRule="atLeast"/>
        </w:trPr>
        <w:tc>
          <w:tcPr>
            <w:tcW w:w="12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2080599</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其他行政事业单位养老支出</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17.69</w:t>
            </w:r>
            <w:r>
              <w:rPr>
                <w:rFonts w:ascii="Times New Roman" w:hAnsi="Times New Roman"/>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17.69</w:t>
            </w:r>
            <w:r>
              <w:rPr>
                <w:rFonts w:ascii="Times New Roman" w:hAnsi="Times New Roman"/>
                <w:color w:val="auto"/>
                <w:sz w:val="20"/>
                <w:u w:color="auto"/>
              </w:rPr>
              <w:t xml:space="preserve"> </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382" w:hRule="atLeast"/>
        </w:trPr>
        <w:tc>
          <w:tcPr>
            <w:tcW w:w="12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10.86</w:t>
            </w:r>
            <w:r>
              <w:rPr>
                <w:rFonts w:ascii="Times New Roman" w:hAnsi="Times New Roman"/>
                <w:b/>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10.86</w:t>
            </w:r>
            <w:r>
              <w:rPr>
                <w:rFonts w:ascii="Times New Roman" w:hAnsi="Times New Roman"/>
                <w:b/>
                <w:color w:val="auto"/>
                <w:sz w:val="20"/>
                <w:u w:color="auto"/>
              </w:rPr>
              <w:t xml:space="preserve"> </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82" w:hRule="atLeast"/>
        </w:trPr>
        <w:tc>
          <w:tcPr>
            <w:tcW w:w="12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10.86</w:t>
            </w:r>
            <w:r>
              <w:rPr>
                <w:rFonts w:ascii="Times New Roman" w:hAnsi="Times New Roman"/>
                <w:b/>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10.86</w:t>
            </w:r>
            <w:r>
              <w:rPr>
                <w:rFonts w:ascii="Times New Roman" w:hAnsi="Times New Roman"/>
                <w:b/>
                <w:color w:val="auto"/>
                <w:sz w:val="20"/>
                <w:u w:color="auto"/>
              </w:rPr>
              <w:t xml:space="preserve"> </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82" w:hRule="atLeast"/>
        </w:trPr>
        <w:tc>
          <w:tcPr>
            <w:tcW w:w="12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2101102</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10.86</w:t>
            </w:r>
            <w:r>
              <w:rPr>
                <w:rFonts w:ascii="Times New Roman" w:hAnsi="Times New Roman"/>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10.86</w:t>
            </w:r>
            <w:r>
              <w:rPr>
                <w:rFonts w:ascii="Times New Roman" w:hAnsi="Times New Roman"/>
                <w:color w:val="auto"/>
                <w:sz w:val="20"/>
                <w:u w:color="auto"/>
              </w:rPr>
              <w:t xml:space="preserve"> </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382" w:hRule="atLeast"/>
        </w:trPr>
        <w:tc>
          <w:tcPr>
            <w:tcW w:w="12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213</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农林水支出</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83.16</w:t>
            </w:r>
            <w:r>
              <w:rPr>
                <w:rFonts w:ascii="Times New Roman" w:hAnsi="Times New Roman"/>
                <w:b/>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83.16</w:t>
            </w:r>
            <w:r>
              <w:rPr>
                <w:rFonts w:ascii="Times New Roman" w:hAnsi="Times New Roman"/>
                <w:b/>
                <w:color w:val="auto"/>
                <w:sz w:val="20"/>
                <w:u w:color="auto"/>
              </w:rPr>
              <w:t xml:space="preserve"> </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82" w:hRule="atLeast"/>
        </w:trPr>
        <w:tc>
          <w:tcPr>
            <w:tcW w:w="12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21301</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农业农村</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83.16</w:t>
            </w:r>
            <w:r>
              <w:rPr>
                <w:rFonts w:ascii="Times New Roman" w:hAnsi="Times New Roman"/>
                <w:b/>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83.16</w:t>
            </w:r>
            <w:r>
              <w:rPr>
                <w:rFonts w:ascii="Times New Roman" w:hAnsi="Times New Roman"/>
                <w:b/>
                <w:color w:val="auto"/>
                <w:sz w:val="20"/>
                <w:u w:color="auto"/>
              </w:rPr>
              <w:t xml:space="preserve"> </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82" w:hRule="atLeast"/>
        </w:trPr>
        <w:tc>
          <w:tcPr>
            <w:tcW w:w="12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2130104</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事业运行</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83.16</w:t>
            </w:r>
            <w:r>
              <w:rPr>
                <w:rFonts w:ascii="Times New Roman" w:hAnsi="Times New Roman"/>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83.16</w:t>
            </w:r>
            <w:r>
              <w:rPr>
                <w:rFonts w:ascii="Times New Roman" w:hAnsi="Times New Roman"/>
                <w:color w:val="auto"/>
                <w:sz w:val="20"/>
                <w:u w:color="auto"/>
              </w:rPr>
              <w:t xml:space="preserve"> </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382" w:hRule="atLeast"/>
        </w:trPr>
        <w:tc>
          <w:tcPr>
            <w:tcW w:w="12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11.41</w:t>
            </w:r>
            <w:r>
              <w:rPr>
                <w:rFonts w:ascii="Times New Roman" w:hAnsi="Times New Roman"/>
                <w:b/>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11.41</w:t>
            </w:r>
            <w:r>
              <w:rPr>
                <w:rFonts w:ascii="Times New Roman" w:hAnsi="Times New Roman"/>
                <w:b/>
                <w:color w:val="auto"/>
                <w:sz w:val="20"/>
                <w:u w:color="auto"/>
              </w:rPr>
              <w:t xml:space="preserve"> </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82" w:hRule="atLeast"/>
        </w:trPr>
        <w:tc>
          <w:tcPr>
            <w:tcW w:w="12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11.41</w:t>
            </w:r>
            <w:r>
              <w:rPr>
                <w:rFonts w:ascii="Times New Roman" w:hAnsi="Times New Roman"/>
                <w:b/>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11.41</w:t>
            </w:r>
            <w:r>
              <w:rPr>
                <w:rFonts w:ascii="Times New Roman" w:hAnsi="Times New Roman"/>
                <w:b/>
                <w:color w:val="auto"/>
                <w:sz w:val="20"/>
                <w:u w:color="auto"/>
              </w:rPr>
              <w:t xml:space="preserve"> </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82" w:hRule="atLeast"/>
        </w:trPr>
        <w:tc>
          <w:tcPr>
            <w:tcW w:w="12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11.41</w:t>
            </w:r>
            <w:r>
              <w:rPr>
                <w:rFonts w:ascii="Times New Roman" w:hAnsi="Times New Roman"/>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11.41</w:t>
            </w:r>
            <w:r>
              <w:rPr>
                <w:rFonts w:ascii="Times New Roman" w:hAnsi="Times New Roman"/>
                <w:color w:val="auto"/>
                <w:sz w:val="20"/>
                <w:u w:color="auto"/>
              </w:rPr>
              <w:t xml:space="preserve"> </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0"/>
          <w:szCs w:val="20"/>
        </w:rPr>
      </w:pPr>
      <w:r>
        <w:rPr>
          <w:rFonts w:cs="宋体"/>
          <w:color w:val="auto"/>
          <w:sz w:val="20"/>
          <w:szCs w:val="20"/>
        </w:rPr>
        <w:t>备注：1.本表反映部门本年度各项支出情况。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cs="宋体"/>
          <w:color w:val="auto"/>
          <w:sz w:val="21"/>
          <w:szCs w:val="21"/>
        </w:rPr>
        <w:br w:type="page"/>
      </w:r>
    </w:p>
    <w:p>
      <w:pPr>
        <w:rPr>
          <w:rFonts w:hint="default" w:cs="宋体"/>
          <w:color w:val="auto"/>
          <w:sz w:val="21"/>
          <w:szCs w:val="21"/>
        </w:rPr>
      </w:pPr>
    </w:p>
    <w:tbl>
      <w:tblPr>
        <w:tblStyle w:val="7"/>
        <w:tblW w:w="14727" w:type="dxa"/>
        <w:tblInd w:w="0" w:type="dxa"/>
        <w:tblLayout w:type="fixed"/>
        <w:tblCellMar>
          <w:top w:w="0" w:type="dxa"/>
          <w:left w:w="0" w:type="dxa"/>
          <w:bottom w:w="0" w:type="dxa"/>
          <w:right w:w="0" w:type="dxa"/>
        </w:tblCellMar>
      </w:tblPr>
      <w:tblGrid>
        <w:gridCol w:w="2978"/>
        <w:gridCol w:w="1526"/>
        <w:gridCol w:w="3190"/>
        <w:gridCol w:w="1699"/>
        <w:gridCol w:w="1699"/>
        <w:gridCol w:w="1699"/>
        <w:gridCol w:w="1936"/>
      </w:tblGrid>
      <w:tr>
        <w:tblPrEx>
          <w:tblCellMar>
            <w:top w:w="0" w:type="dxa"/>
            <w:left w:w="0" w:type="dxa"/>
            <w:bottom w:w="0" w:type="dxa"/>
            <w:right w:w="0" w:type="dxa"/>
          </w:tblCellMar>
        </w:tblPrEx>
        <w:trPr>
          <w:trHeight w:val="90" w:hRule="atLeast"/>
        </w:trPr>
        <w:tc>
          <w:tcPr>
            <w:tcW w:w="14727"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auto"/>
                <w:sz w:val="32"/>
                <w:szCs w:val="32"/>
              </w:rPr>
            </w:pPr>
            <w:r>
              <w:rPr>
                <w:rFonts w:cs="宋体"/>
                <w:b/>
                <w:color w:val="auto"/>
                <w:sz w:val="32"/>
                <w:szCs w:val="32"/>
              </w:rPr>
              <w:t>财政拨款收入支出决算总表</w:t>
            </w:r>
          </w:p>
        </w:tc>
      </w:tr>
      <w:tr>
        <w:tblPrEx>
          <w:tblCellMar>
            <w:top w:w="0" w:type="dxa"/>
            <w:left w:w="0" w:type="dxa"/>
            <w:bottom w:w="0" w:type="dxa"/>
            <w:right w:w="0" w:type="dxa"/>
          </w:tblCellMar>
        </w:tblPrEx>
        <w:trPr>
          <w:trHeight w:val="90" w:hRule="atLeast"/>
        </w:trPr>
        <w:tc>
          <w:tcPr>
            <w:tcW w:w="769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18"/>
                <w:szCs w:val="18"/>
              </w:rPr>
            </w:pPr>
            <w:r>
              <w:rPr>
                <w:rFonts w:hint="eastAsia" w:cs="宋体"/>
                <w:color w:val="auto"/>
                <w:sz w:val="20"/>
                <w:szCs w:val="20"/>
                <w:lang w:eastAsia="zh-CN"/>
              </w:rPr>
              <w:t>部门</w:t>
            </w:r>
            <w:r>
              <w:rPr>
                <w:rFonts w:cs="宋体"/>
                <w:color w:val="auto"/>
                <w:sz w:val="20"/>
                <w:szCs w:val="20"/>
              </w:rPr>
              <w:t>：</w:t>
            </w:r>
            <w:r>
              <w:rPr>
                <w:color w:val="auto"/>
                <w:sz w:val="20"/>
                <w:u w:color="auto"/>
              </w:rPr>
              <w:t>路阳镇产业发展服务中心</w:t>
            </w:r>
          </w:p>
        </w:tc>
        <w:tc>
          <w:tcPr>
            <w:tcW w:w="169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9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9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04</w:t>
            </w:r>
            <w:r>
              <w:rPr>
                <w:rFonts w:cs="宋体"/>
                <w:color w:val="auto"/>
                <w:sz w:val="20"/>
                <w:szCs w:val="20"/>
              </w:rPr>
              <w:t>表</w:t>
            </w:r>
          </w:p>
        </w:tc>
      </w:tr>
      <w:tr>
        <w:tblPrEx>
          <w:tblCellMar>
            <w:top w:w="0" w:type="dxa"/>
            <w:left w:w="0" w:type="dxa"/>
            <w:bottom w:w="0" w:type="dxa"/>
            <w:right w:w="0" w:type="dxa"/>
          </w:tblCellMar>
        </w:tblPrEx>
        <w:trPr>
          <w:trHeight w:val="90" w:hRule="atLeast"/>
        </w:trPr>
        <w:tc>
          <w:tcPr>
            <w:tcW w:w="7694"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9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9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9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auto"/>
                <w:sz w:val="20"/>
                <w:szCs w:val="20"/>
              </w:rPr>
            </w:pPr>
            <w:r>
              <w:rPr>
                <w:rFonts w:cs="宋体"/>
                <w:color w:val="auto"/>
                <w:sz w:val="20"/>
                <w:szCs w:val="20"/>
              </w:rPr>
              <w:t>单位：万元</w:t>
            </w:r>
          </w:p>
        </w:tc>
      </w:tr>
      <w:tr>
        <w:tblPrEx>
          <w:tblCellMar>
            <w:top w:w="0" w:type="dxa"/>
            <w:left w:w="0" w:type="dxa"/>
            <w:bottom w:w="0" w:type="dxa"/>
            <w:right w:w="0" w:type="dxa"/>
          </w:tblCellMar>
        </w:tblPrEx>
        <w:trPr>
          <w:trHeight w:val="90" w:hRule="atLeast"/>
        </w:trPr>
        <w:tc>
          <w:tcPr>
            <w:tcW w:w="45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收     入</w:t>
            </w:r>
          </w:p>
        </w:tc>
        <w:tc>
          <w:tcPr>
            <w:tcW w:w="1022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支     出</w:t>
            </w:r>
          </w:p>
        </w:tc>
      </w:tr>
      <w:tr>
        <w:tblPrEx>
          <w:tblCellMar>
            <w:top w:w="0" w:type="dxa"/>
            <w:left w:w="0" w:type="dxa"/>
            <w:bottom w:w="0" w:type="dxa"/>
            <w:right w:w="0" w:type="dxa"/>
          </w:tblCellMar>
        </w:tblPrEx>
        <w:trPr>
          <w:trHeight w:val="90" w:hRule="atLeast"/>
        </w:trPr>
        <w:tc>
          <w:tcPr>
            <w:tcW w:w="29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决算数</w:t>
            </w:r>
          </w:p>
        </w:tc>
        <w:tc>
          <w:tcPr>
            <w:tcW w:w="31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功能分类科目</w:t>
            </w:r>
          </w:p>
        </w:tc>
        <w:tc>
          <w:tcPr>
            <w:tcW w:w="7033"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决算数</w:t>
            </w:r>
          </w:p>
        </w:tc>
      </w:tr>
      <w:tr>
        <w:tblPrEx>
          <w:tblCellMar>
            <w:top w:w="0" w:type="dxa"/>
            <w:left w:w="0" w:type="dxa"/>
            <w:bottom w:w="0" w:type="dxa"/>
            <w:right w:w="0" w:type="dxa"/>
          </w:tblCellMar>
        </w:tblPrEx>
        <w:trPr>
          <w:trHeight w:val="90" w:hRule="atLeast"/>
        </w:trPr>
        <w:tc>
          <w:tcPr>
            <w:tcW w:w="29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31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小计</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一般公共预算财政拨款</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国有资本经营预算财政拨款</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241.53</w:t>
            </w:r>
            <w:r>
              <w:rPr>
                <w:rFonts w:ascii="Times New Roman" w:hAnsi="Times New Roman"/>
                <w:color w:val="auto"/>
                <w:sz w:val="18"/>
                <w:u w:color="auto"/>
              </w:rPr>
              <w:t xml:space="preserve"> </w:t>
            </w: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一、一般公共服务支出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66.11</w:t>
            </w: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66.11</w:t>
            </w: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二、外交支出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三、国防支出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四、公共安全支出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五、教育支出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六、科学技术支出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七、文化旅游体育与传媒支出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八、社会保障和就业支出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69.99</w:t>
            </w: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69.99</w:t>
            </w: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九、卫生健康支出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10.86</w:t>
            </w: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10.86</w:t>
            </w: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十、节能环保支出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十一、城乡社区支出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十二、农林水支出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83.16</w:t>
            </w: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83.16</w:t>
            </w: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十三、交通运输支出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十四、资源勘探工业信息等支出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十五、商业服务业等支出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十六、金融支出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十七、援助其他地区支出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十八、自然资源海洋气象等支出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十九、住房保障支出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11.41</w:t>
            </w: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11.41</w:t>
            </w: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二十、粮油物资储备支出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二十一、国有资本经营预算支出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二十二、灾害防治及应急管理支出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二十三、其他支出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二十四、债务还本支出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二十五、债务付息支出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二十六、抗疫特别国债安排的支出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auto"/>
                <w:sz w:val="18"/>
                <w:szCs w:val="18"/>
              </w:rPr>
            </w:pPr>
            <w:r>
              <w:rPr>
                <w:rFonts w:cs="宋体"/>
                <w:b/>
                <w:bCs/>
                <w:color w:val="auto"/>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241.53</w:t>
            </w:r>
            <w:r>
              <w:rPr>
                <w:rFonts w:ascii="Times New Roman" w:hAnsi="Times New Roman"/>
                <w:color w:val="auto"/>
                <w:sz w:val="18"/>
                <w:u w:color="auto"/>
              </w:rPr>
              <w:t xml:space="preserve"> </w:t>
            </w: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auto"/>
                <w:sz w:val="18"/>
                <w:szCs w:val="18"/>
              </w:rPr>
            </w:pPr>
            <w:r>
              <w:rPr>
                <w:rFonts w:cs="宋体"/>
                <w:b/>
                <w:bCs/>
                <w:color w:val="auto"/>
                <w:sz w:val="18"/>
                <w:szCs w:val="18"/>
              </w:rPr>
              <w:t>本年支出合计</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241.53</w:t>
            </w: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241.53</w:t>
            </w: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年末财政拨款结转和结余</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241.53</w:t>
            </w:r>
            <w:r>
              <w:rPr>
                <w:rFonts w:ascii="Times New Roman" w:hAnsi="Times New Roman"/>
                <w:color w:val="auto"/>
                <w:sz w:val="18"/>
                <w:u w:color="auto"/>
              </w:rPr>
              <w:t xml:space="preserve"> </w:t>
            </w: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241.53</w:t>
            </w: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241.53</w:t>
            </w: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bl>
    <w:p>
      <w:pPr>
        <w:spacing w:line="240" w:lineRule="exact"/>
        <w:rPr>
          <w:rFonts w:hint="default" w:cs="宋体"/>
          <w:color w:val="auto"/>
          <w:sz w:val="20"/>
          <w:szCs w:val="20"/>
        </w:rPr>
      </w:pPr>
      <w:r>
        <w:rPr>
          <w:rFonts w:cs="宋体"/>
          <w:color w:val="auto"/>
          <w:sz w:val="20"/>
          <w:szCs w:val="20"/>
        </w:rPr>
        <w:t>备注：1.本表反映部门本年度一般公共预算财政拨款、政府性基金预算财政拨款及国有资本经营预算财政拨款的总收支和年末结转结余情况。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7"/>
        <w:tblW w:w="15373" w:type="dxa"/>
        <w:tblInd w:w="0" w:type="dxa"/>
        <w:tblLayout w:type="fixed"/>
        <w:tblCellMar>
          <w:top w:w="0" w:type="dxa"/>
          <w:left w:w="0" w:type="dxa"/>
          <w:bottom w:w="0" w:type="dxa"/>
          <w:right w:w="0" w:type="dxa"/>
        </w:tblCellMar>
      </w:tblPr>
      <w:tblGrid>
        <w:gridCol w:w="1310"/>
        <w:gridCol w:w="4086"/>
        <w:gridCol w:w="3317"/>
        <w:gridCol w:w="3308"/>
        <w:gridCol w:w="3352"/>
      </w:tblGrid>
      <w:tr>
        <w:tblPrEx>
          <w:tblCellMar>
            <w:top w:w="0" w:type="dxa"/>
            <w:left w:w="0" w:type="dxa"/>
            <w:bottom w:w="0" w:type="dxa"/>
            <w:right w:w="0" w:type="dxa"/>
          </w:tblCellMar>
        </w:tblPrEx>
        <w:trPr>
          <w:trHeight w:val="510" w:hRule="atLeast"/>
        </w:trPr>
        <w:tc>
          <w:tcPr>
            <w:tcW w:w="15373"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一般公共预算财政拨款支出决算表</w:t>
            </w:r>
          </w:p>
        </w:tc>
      </w:tr>
      <w:tr>
        <w:trPr>
          <w:trHeight w:val="255" w:hRule="atLeast"/>
        </w:trPr>
        <w:tc>
          <w:tcPr>
            <w:tcW w:w="8713"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rPr>
            </w:pPr>
            <w:r>
              <w:rPr>
                <w:rFonts w:hint="eastAsia" w:cs="宋体"/>
                <w:color w:val="auto"/>
                <w:sz w:val="20"/>
                <w:szCs w:val="20"/>
                <w:lang w:eastAsia="zh-CN"/>
              </w:rPr>
              <w:t>部门</w:t>
            </w:r>
            <w:r>
              <w:rPr>
                <w:rFonts w:cs="宋体"/>
                <w:color w:val="auto"/>
                <w:sz w:val="20"/>
                <w:szCs w:val="20"/>
              </w:rPr>
              <w:t>：</w:t>
            </w:r>
            <w:r>
              <w:rPr>
                <w:color w:val="auto"/>
                <w:sz w:val="20"/>
                <w:u w:color="auto"/>
              </w:rPr>
              <w:t>路阳镇产业发展服务中心</w:t>
            </w:r>
          </w:p>
        </w:tc>
        <w:tc>
          <w:tcPr>
            <w:tcW w:w="33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35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05</w:t>
            </w:r>
            <w:r>
              <w:rPr>
                <w:rFonts w:cs="宋体"/>
                <w:color w:val="auto"/>
                <w:sz w:val="20"/>
                <w:szCs w:val="20"/>
              </w:rPr>
              <w:t>表</w:t>
            </w:r>
          </w:p>
        </w:tc>
      </w:tr>
      <w:tr>
        <w:tblPrEx>
          <w:tblCellMar>
            <w:top w:w="0" w:type="dxa"/>
            <w:left w:w="0" w:type="dxa"/>
            <w:bottom w:w="0" w:type="dxa"/>
            <w:right w:w="0" w:type="dxa"/>
          </w:tblCellMar>
        </w:tblPrEx>
        <w:trPr>
          <w:trHeight w:val="285" w:hRule="atLeast"/>
        </w:trPr>
        <w:tc>
          <w:tcPr>
            <w:tcW w:w="8713"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3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35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tblPrEx>
          <w:tblCellMar>
            <w:top w:w="0" w:type="dxa"/>
            <w:left w:w="0" w:type="dxa"/>
            <w:bottom w:w="0" w:type="dxa"/>
            <w:right w:w="0" w:type="dxa"/>
          </w:tblCellMar>
        </w:tblPrEx>
        <w:trPr>
          <w:trHeight w:val="308" w:hRule="atLeast"/>
        </w:trPr>
        <w:tc>
          <w:tcPr>
            <w:tcW w:w="53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w:t>
            </w:r>
          </w:p>
        </w:tc>
      </w:tr>
      <w:tr>
        <w:tblPrEx>
          <w:tblCellMar>
            <w:top w:w="0" w:type="dxa"/>
            <w:left w:w="0" w:type="dxa"/>
            <w:bottom w:w="0" w:type="dxa"/>
            <w:right w:w="0" w:type="dxa"/>
          </w:tblCellMar>
        </w:tblPrEx>
        <w:trPr>
          <w:trHeight w:val="326" w:hRule="atLeast"/>
        </w:trPr>
        <w:tc>
          <w:tcPr>
            <w:tcW w:w="131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40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33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30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335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r>
      <w:tr>
        <w:tblPrEx>
          <w:tblCellMar>
            <w:top w:w="0" w:type="dxa"/>
            <w:left w:w="0" w:type="dxa"/>
            <w:bottom w:w="0" w:type="dxa"/>
            <w:right w:w="0" w:type="dxa"/>
          </w:tblCellMar>
        </w:tblPrEx>
        <w:trPr>
          <w:trHeight w:val="326" w:hRule="atLeast"/>
        </w:trPr>
        <w:tc>
          <w:tcPr>
            <w:tcW w:w="131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40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615" w:hRule="atLeast"/>
        </w:trPr>
        <w:tc>
          <w:tcPr>
            <w:tcW w:w="131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40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308" w:hRule="atLeast"/>
        </w:trPr>
        <w:tc>
          <w:tcPr>
            <w:tcW w:w="539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241.53</w:t>
            </w:r>
            <w:r>
              <w:rPr>
                <w:rFonts w:ascii="Times New Roman" w:hAnsi="Times New Roman"/>
                <w:b/>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241.53</w:t>
            </w:r>
            <w:r>
              <w:rPr>
                <w:rFonts w:ascii="Times New Roman" w:hAnsi="Times New Roman"/>
                <w:b/>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一般公共服务支出</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66.11</w:t>
            </w:r>
            <w:r>
              <w:rPr>
                <w:rFonts w:ascii="Times New Roman" w:hAnsi="Times New Roman"/>
                <w:b/>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66.11</w:t>
            </w:r>
            <w:r>
              <w:rPr>
                <w:rFonts w:ascii="Times New Roman" w:hAnsi="Times New Roman"/>
                <w:b/>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20103</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政府办公厅（室）及相关机构事务</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66.11</w:t>
            </w:r>
            <w:r>
              <w:rPr>
                <w:rFonts w:ascii="Times New Roman" w:hAnsi="Times New Roman"/>
                <w:b/>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66.11</w:t>
            </w:r>
            <w:r>
              <w:rPr>
                <w:rFonts w:ascii="Times New Roman" w:hAnsi="Times New Roman"/>
                <w:b/>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2010350</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事业运行</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66.11</w:t>
            </w:r>
            <w:r>
              <w:rPr>
                <w:rFonts w:ascii="Times New Roman" w:hAnsi="Times New Roman"/>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66.11</w:t>
            </w:r>
            <w:r>
              <w:rPr>
                <w:rFonts w:ascii="Times New Roman" w:hAnsi="Times New Roman"/>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69.99</w:t>
            </w:r>
            <w:r>
              <w:rPr>
                <w:rFonts w:ascii="Times New Roman" w:hAnsi="Times New Roman"/>
                <w:b/>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69.99</w:t>
            </w:r>
            <w:r>
              <w:rPr>
                <w:rFonts w:ascii="Times New Roman" w:hAnsi="Times New Roman"/>
                <w:b/>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69.99</w:t>
            </w:r>
            <w:r>
              <w:rPr>
                <w:rFonts w:ascii="Times New Roman" w:hAnsi="Times New Roman"/>
                <w:b/>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69.99</w:t>
            </w:r>
            <w:r>
              <w:rPr>
                <w:rFonts w:ascii="Times New Roman" w:hAnsi="Times New Roman"/>
                <w:b/>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21.84</w:t>
            </w:r>
            <w:r>
              <w:rPr>
                <w:rFonts w:ascii="Times New Roman" w:hAnsi="Times New Roman"/>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21.84</w:t>
            </w:r>
            <w:r>
              <w:rPr>
                <w:rFonts w:ascii="Times New Roman" w:hAnsi="Times New Roman"/>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30.46</w:t>
            </w:r>
            <w:r>
              <w:rPr>
                <w:rFonts w:ascii="Times New Roman" w:hAnsi="Times New Roman"/>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30.46</w:t>
            </w:r>
            <w:r>
              <w:rPr>
                <w:rFonts w:ascii="Times New Roman" w:hAnsi="Times New Roman"/>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2080599</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其他行政事业单位养老支出</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17.69</w:t>
            </w:r>
            <w:r>
              <w:rPr>
                <w:rFonts w:ascii="Times New Roman" w:hAnsi="Times New Roman"/>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17.69</w:t>
            </w:r>
            <w:r>
              <w:rPr>
                <w:rFonts w:ascii="Times New Roman" w:hAnsi="Times New Roman"/>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10.86</w:t>
            </w:r>
            <w:r>
              <w:rPr>
                <w:rFonts w:ascii="Times New Roman" w:hAnsi="Times New Roman"/>
                <w:b/>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10.86</w:t>
            </w:r>
            <w:r>
              <w:rPr>
                <w:rFonts w:ascii="Times New Roman" w:hAnsi="Times New Roman"/>
                <w:b/>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10.86</w:t>
            </w:r>
            <w:r>
              <w:rPr>
                <w:rFonts w:ascii="Times New Roman" w:hAnsi="Times New Roman"/>
                <w:b/>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10.86</w:t>
            </w:r>
            <w:r>
              <w:rPr>
                <w:rFonts w:ascii="Times New Roman" w:hAnsi="Times New Roman"/>
                <w:b/>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2101102</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10.86</w:t>
            </w:r>
            <w:r>
              <w:rPr>
                <w:rFonts w:ascii="Times New Roman" w:hAnsi="Times New Roman"/>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10.86</w:t>
            </w:r>
            <w:r>
              <w:rPr>
                <w:rFonts w:ascii="Times New Roman" w:hAnsi="Times New Roman"/>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213</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农林水支出</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83.16</w:t>
            </w:r>
            <w:r>
              <w:rPr>
                <w:rFonts w:ascii="Times New Roman" w:hAnsi="Times New Roman"/>
                <w:b/>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83.16</w:t>
            </w:r>
            <w:r>
              <w:rPr>
                <w:rFonts w:ascii="Times New Roman" w:hAnsi="Times New Roman"/>
                <w:b/>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21301</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农业农村</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83.16</w:t>
            </w:r>
            <w:r>
              <w:rPr>
                <w:rFonts w:ascii="Times New Roman" w:hAnsi="Times New Roman"/>
                <w:b/>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83.16</w:t>
            </w:r>
            <w:r>
              <w:rPr>
                <w:rFonts w:ascii="Times New Roman" w:hAnsi="Times New Roman"/>
                <w:b/>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2130104</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事业运行</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83.16</w:t>
            </w:r>
            <w:r>
              <w:rPr>
                <w:rFonts w:ascii="Times New Roman" w:hAnsi="Times New Roman"/>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83.16</w:t>
            </w:r>
            <w:r>
              <w:rPr>
                <w:rFonts w:ascii="Times New Roman" w:hAnsi="Times New Roman"/>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11.41</w:t>
            </w:r>
            <w:r>
              <w:rPr>
                <w:rFonts w:ascii="Times New Roman" w:hAnsi="Times New Roman"/>
                <w:b/>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11.41</w:t>
            </w:r>
            <w:r>
              <w:rPr>
                <w:rFonts w:ascii="Times New Roman" w:hAnsi="Times New Roman"/>
                <w:b/>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11.41</w:t>
            </w:r>
            <w:r>
              <w:rPr>
                <w:rFonts w:ascii="Times New Roman" w:hAnsi="Times New Roman"/>
                <w:b/>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11.41</w:t>
            </w:r>
            <w:r>
              <w:rPr>
                <w:rFonts w:ascii="Times New Roman" w:hAnsi="Times New Roman"/>
                <w:b/>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11.41</w:t>
            </w:r>
            <w:r>
              <w:rPr>
                <w:rFonts w:ascii="Times New Roman" w:hAnsi="Times New Roman"/>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11.41</w:t>
            </w:r>
            <w:r>
              <w:rPr>
                <w:rFonts w:ascii="Times New Roman" w:hAnsi="Times New Roman"/>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1"/>
          <w:szCs w:val="21"/>
        </w:rPr>
      </w:pPr>
      <w:r>
        <w:rPr>
          <w:rFonts w:cs="宋体"/>
          <w:color w:val="auto"/>
          <w:sz w:val="20"/>
          <w:szCs w:val="20"/>
        </w:rPr>
        <w:t>备注：1.本表反映部门本年度一般公共预算财政拨款支出情况。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pPr>
        <w:ind w:firstLine="630" w:firstLineChars="300"/>
        <w:rPr>
          <w:rFonts w:hint="default" w:cs="宋体"/>
          <w:color w:val="auto"/>
          <w:sz w:val="21"/>
          <w:szCs w:val="21"/>
        </w:rPr>
      </w:pPr>
      <w:r>
        <w:rPr>
          <w:rFonts w:cs="宋体"/>
          <w:color w:val="auto"/>
          <w:sz w:val="21"/>
          <w:szCs w:val="21"/>
        </w:rPr>
        <w:br w:type="page"/>
      </w:r>
    </w:p>
    <w:tbl>
      <w:tblPr>
        <w:tblStyle w:val="7"/>
        <w:tblW w:w="15355" w:type="dxa"/>
        <w:tblInd w:w="0" w:type="dxa"/>
        <w:tblLayout w:type="fixed"/>
        <w:tblCellMar>
          <w:top w:w="0" w:type="dxa"/>
          <w:left w:w="0" w:type="dxa"/>
          <w:bottom w:w="0" w:type="dxa"/>
          <w:right w:w="0" w:type="dxa"/>
        </w:tblCellMar>
      </w:tblPr>
      <w:tblGrid>
        <w:gridCol w:w="805"/>
        <w:gridCol w:w="2819"/>
        <w:gridCol w:w="1545"/>
        <w:gridCol w:w="875"/>
        <w:gridCol w:w="2039"/>
        <w:gridCol w:w="1422"/>
        <w:gridCol w:w="875"/>
        <w:gridCol w:w="3473"/>
        <w:gridCol w:w="1502"/>
      </w:tblGrid>
      <w:tr>
        <w:tblPrEx>
          <w:tblCellMar>
            <w:top w:w="0" w:type="dxa"/>
            <w:left w:w="0" w:type="dxa"/>
            <w:bottom w:w="0" w:type="dxa"/>
            <w:right w:w="0" w:type="dxa"/>
          </w:tblCellMar>
        </w:tblPrEx>
        <w:trPr>
          <w:trHeight w:val="90" w:hRule="atLeast"/>
        </w:trPr>
        <w:tc>
          <w:tcPr>
            <w:tcW w:w="15355"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auto"/>
                <w:sz w:val="32"/>
                <w:szCs w:val="32"/>
              </w:rPr>
            </w:pPr>
            <w:r>
              <w:rPr>
                <w:rFonts w:cs="宋体"/>
                <w:b/>
                <w:color w:val="auto"/>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8083"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18"/>
                <w:szCs w:val="18"/>
              </w:rPr>
            </w:pPr>
            <w:r>
              <w:rPr>
                <w:rFonts w:hint="eastAsia" w:cs="宋体"/>
                <w:color w:val="auto"/>
                <w:sz w:val="20"/>
                <w:szCs w:val="20"/>
                <w:lang w:eastAsia="zh-CN"/>
              </w:rPr>
              <w:t>部门</w:t>
            </w:r>
            <w:r>
              <w:rPr>
                <w:rFonts w:cs="宋体"/>
                <w:color w:val="auto"/>
                <w:sz w:val="20"/>
                <w:szCs w:val="20"/>
              </w:rPr>
              <w:t>：</w:t>
            </w:r>
            <w:r>
              <w:rPr>
                <w:color w:val="auto"/>
                <w:sz w:val="20"/>
                <w:u w:color="auto"/>
              </w:rPr>
              <w:t>路阳镇产业发展服务中心</w:t>
            </w:r>
          </w:p>
        </w:tc>
        <w:tc>
          <w:tcPr>
            <w:tcW w:w="14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87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34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150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06</w:t>
            </w:r>
            <w:r>
              <w:rPr>
                <w:rFonts w:cs="宋体"/>
                <w:color w:val="auto"/>
                <w:sz w:val="20"/>
                <w:szCs w:val="20"/>
              </w:rPr>
              <w:t>表</w:t>
            </w:r>
          </w:p>
        </w:tc>
      </w:tr>
      <w:tr>
        <w:tblPrEx>
          <w:tblCellMar>
            <w:top w:w="0" w:type="dxa"/>
            <w:left w:w="0" w:type="dxa"/>
            <w:bottom w:w="0" w:type="dxa"/>
            <w:right w:w="0" w:type="dxa"/>
          </w:tblCellMar>
        </w:tblPrEx>
        <w:trPr>
          <w:trHeight w:val="520" w:hRule="atLeast"/>
        </w:trPr>
        <w:tc>
          <w:tcPr>
            <w:tcW w:w="8083"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14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87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34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150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tblPrEx>
          <w:tblCellMar>
            <w:top w:w="0" w:type="dxa"/>
            <w:left w:w="0" w:type="dxa"/>
            <w:bottom w:w="0" w:type="dxa"/>
            <w:right w:w="0" w:type="dxa"/>
          </w:tblCellMar>
        </w:tblPrEx>
        <w:trPr>
          <w:trHeight w:val="90" w:hRule="atLeast"/>
        </w:trPr>
        <w:tc>
          <w:tcPr>
            <w:tcW w:w="51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人员经费</w:t>
            </w:r>
          </w:p>
        </w:tc>
        <w:tc>
          <w:tcPr>
            <w:tcW w:w="10186"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公用经费</w:t>
            </w:r>
          </w:p>
        </w:tc>
      </w:tr>
      <w:tr>
        <w:tblPrEx>
          <w:tblCellMar>
            <w:top w:w="0" w:type="dxa"/>
            <w:left w:w="0" w:type="dxa"/>
            <w:bottom w:w="0" w:type="dxa"/>
            <w:right w:w="0" w:type="dxa"/>
          </w:tblCellMar>
        </w:tblPrEx>
        <w:trPr>
          <w:trHeight w:val="312" w:hRule="atLeast"/>
        </w:trPr>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经济分类科目编码</w:t>
            </w:r>
          </w:p>
        </w:tc>
        <w:tc>
          <w:tcPr>
            <w:tcW w:w="28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54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金额</w:t>
            </w:r>
          </w:p>
        </w:tc>
        <w:tc>
          <w:tcPr>
            <w:tcW w:w="87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经济分类科目编码</w:t>
            </w:r>
          </w:p>
        </w:tc>
        <w:tc>
          <w:tcPr>
            <w:tcW w:w="203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4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金额</w:t>
            </w:r>
          </w:p>
        </w:tc>
        <w:tc>
          <w:tcPr>
            <w:tcW w:w="87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经济分类科目编码</w:t>
            </w:r>
          </w:p>
        </w:tc>
        <w:tc>
          <w:tcPr>
            <w:tcW w:w="34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50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金额</w:t>
            </w:r>
          </w:p>
        </w:tc>
      </w:tr>
      <w:tr>
        <w:tblPrEx>
          <w:tblCellMar>
            <w:top w:w="0" w:type="dxa"/>
            <w:left w:w="0" w:type="dxa"/>
            <w:bottom w:w="0" w:type="dxa"/>
            <w:right w:w="0" w:type="dxa"/>
          </w:tblCellMar>
        </w:tblPrEx>
        <w:trPr>
          <w:trHeight w:val="312" w:hRule="atLeast"/>
        </w:trPr>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28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154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8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20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14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8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34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150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301</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工资福利支出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219.45</w:t>
            </w: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302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商品和服务支出</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4.39</w:t>
            </w: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310</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资本性支出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30101</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基本工资</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45.29</w:t>
            </w: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办公费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31001</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房屋建筑物购建</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30102</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津贴补贴</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12.31</w:t>
            </w: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印刷费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31002</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办公设备购置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30103</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奖金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咨询费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31003</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专用设备购置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30106</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伙食补助费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30204</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手续费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31005</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基础设施建设</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30107</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绩效工资</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87.02</w:t>
            </w: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30205</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水费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31006</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大型修缮</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30108</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机关事业单位基本养老保险缴费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21.84</w:t>
            </w: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30206</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电费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31007</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信息网络及软件购置更新</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30109</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职业年金缴费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30.46</w:t>
            </w: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30207</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邮电费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31008</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物资储备</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30110</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职工基本医疗保险缴费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8.94</w:t>
            </w: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30208</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取暖费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31009</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土地补偿</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30111</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公务员医疗补助缴费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物业管理费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31010</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安置补助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30112</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其他社会保障缴费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0.27</w:t>
            </w: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差旅费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31011</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地上附着物和青苗补偿</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30113</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住房公积金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11.41</w:t>
            </w: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因公出国（境）费用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31012</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拆迁补偿</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30114</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医疗费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1.92</w:t>
            </w: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维修（护）费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31013</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公务用车购置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30199</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其他工资福利支出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30214</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租赁费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31019</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其他交通工具购置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303</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对个人和家庭的补助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17.69</w:t>
            </w: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30215</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会议费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31021</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文物和陈列品购置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30301</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离休费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30216</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培训费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31022</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无形资产购置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30302</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退休费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30217</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公务接待费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31099</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其他资本性支出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30303</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退职（役）费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30218</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专用材料费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312</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对企业补助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30304</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抚恤金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30224</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被装购置费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31201</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资本金注入</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30305</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生活补助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16.29</w:t>
            </w: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30225</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专用燃料费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31203</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政府投资基金股权投资</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30306</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救济费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30226</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劳务费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31204</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费用补贴</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30307</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医疗费补助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1.40</w:t>
            </w: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30227</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委托业务费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31205</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利息补贴</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30308</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助学金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30228</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工会经费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4.39</w:t>
            </w: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31206</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auto"/>
                <w:sz w:val="18"/>
                <w:szCs w:val="18"/>
              </w:rPr>
            </w:pPr>
            <w:r>
              <w:rPr>
                <w:rFonts w:cs="宋体"/>
                <w:color w:val="auto"/>
                <w:sz w:val="18"/>
                <w:szCs w:val="18"/>
              </w:rPr>
              <w:t>其他资本性补助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30309</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奖励金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福利费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31299</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其他对企业补助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30310</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个人农业生产补贴</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30231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公务用车运行维护费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399</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其他支出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30311</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代缴社会保险费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30239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其他交通费用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39907</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国家赔偿费用支出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30399</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其他对个人和家庭的补助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30240</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税金及附加费用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39908</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对民间非营利组织和群众性自治组织补贴</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30299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其他商品和服务支出</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39909</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经常性赠与</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307</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债务利息及费用支出</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39910</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资本性赠与</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30701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国内债务付息</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39999</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30702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国外债务付息</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rPr>
            </w:pP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30703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国内债务发行费用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rPr>
            </w:pPr>
          </w:p>
        </w:tc>
      </w:tr>
      <w:tr>
        <w:tblPrEx>
          <w:tblCellMar>
            <w:top w:w="0" w:type="dxa"/>
            <w:left w:w="0" w:type="dxa"/>
            <w:bottom w:w="0" w:type="dxa"/>
            <w:right w:w="0" w:type="dxa"/>
          </w:tblCellMar>
        </w:tblPrEx>
        <w:trPr>
          <w:trHeight w:val="15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30704</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国外债务发行费用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rPr>
            </w:pPr>
          </w:p>
        </w:tc>
      </w:tr>
      <w:tr>
        <w:tblPrEx>
          <w:tblCellMar>
            <w:top w:w="0" w:type="dxa"/>
            <w:left w:w="0" w:type="dxa"/>
            <w:bottom w:w="0" w:type="dxa"/>
            <w:right w:w="0" w:type="dxa"/>
          </w:tblCellMar>
        </w:tblPrEx>
        <w:trPr>
          <w:trHeight w:val="310" w:hRule="atLeast"/>
        </w:trPr>
        <w:tc>
          <w:tcPr>
            <w:tcW w:w="362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人员经费合计</w:t>
            </w:r>
          </w:p>
        </w:tc>
        <w:tc>
          <w:tcPr>
            <w:tcW w:w="15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237.14</w:t>
            </w:r>
            <w:r>
              <w:rPr>
                <w:rFonts w:ascii="Times New Roman" w:hAnsi="Times New Roman"/>
                <w:color w:val="auto"/>
                <w:sz w:val="18"/>
                <w:u w:color="auto"/>
              </w:rPr>
              <w:t xml:space="preserve"> </w:t>
            </w:r>
          </w:p>
        </w:tc>
        <w:tc>
          <w:tcPr>
            <w:tcW w:w="8684"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公用经费合计</w:t>
            </w:r>
          </w:p>
        </w:tc>
        <w:tc>
          <w:tcPr>
            <w:tcW w:w="15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4.39</w:t>
            </w:r>
            <w:r>
              <w:rPr>
                <w:rFonts w:ascii="Times New Roman" w:hAnsi="Times New Roman"/>
                <w:color w:val="auto"/>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20"/>
          <w:szCs w:val="20"/>
        </w:rPr>
      </w:pPr>
      <w:r>
        <w:rPr>
          <w:rFonts w:cs="宋体"/>
          <w:color w:val="auto"/>
          <w:sz w:val="20"/>
          <w:szCs w:val="20"/>
        </w:rPr>
        <w:t>备注：1.本表反映部门本年度一般公共预算财政拨款基本支出明细情况。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7"/>
        <w:tblW w:w="15373" w:type="dxa"/>
        <w:tblInd w:w="0" w:type="dxa"/>
        <w:tblLayout w:type="fixed"/>
        <w:tblCellMar>
          <w:top w:w="0" w:type="dxa"/>
          <w:left w:w="0" w:type="dxa"/>
          <w:bottom w:w="0" w:type="dxa"/>
          <w:right w:w="0" w:type="dxa"/>
        </w:tblCellMar>
      </w:tblPr>
      <w:tblGrid>
        <w:gridCol w:w="1393"/>
        <w:gridCol w:w="3539"/>
        <w:gridCol w:w="1706"/>
        <w:gridCol w:w="1706"/>
        <w:gridCol w:w="1706"/>
        <w:gridCol w:w="1706"/>
        <w:gridCol w:w="1771"/>
        <w:gridCol w:w="1846"/>
      </w:tblGrid>
      <w:tr>
        <w:tblPrEx>
          <w:tblCellMar>
            <w:top w:w="0" w:type="dxa"/>
            <w:left w:w="0" w:type="dxa"/>
            <w:bottom w:w="0" w:type="dxa"/>
            <w:right w:w="0" w:type="dxa"/>
          </w:tblCellMar>
        </w:tblPrEx>
        <w:trPr>
          <w:trHeight w:val="644" w:hRule="atLeast"/>
        </w:trPr>
        <w:tc>
          <w:tcPr>
            <w:tcW w:w="15373"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38"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rPr>
            </w:pPr>
            <w:r>
              <w:rPr>
                <w:rFonts w:hint="eastAsia" w:cs="宋体"/>
                <w:color w:val="auto"/>
                <w:sz w:val="20"/>
                <w:szCs w:val="20"/>
                <w:lang w:eastAsia="zh-CN"/>
              </w:rPr>
              <w:t>部门</w:t>
            </w:r>
            <w:r>
              <w:rPr>
                <w:rFonts w:cs="宋体"/>
                <w:color w:val="auto"/>
                <w:sz w:val="20"/>
                <w:szCs w:val="20"/>
              </w:rPr>
              <w:t>：</w:t>
            </w:r>
            <w:r>
              <w:rPr>
                <w:color w:val="auto"/>
                <w:sz w:val="20"/>
                <w:u w:color="auto"/>
              </w:rPr>
              <w:t>路阳镇产业发展服务中心</w:t>
            </w:r>
          </w:p>
        </w:tc>
        <w:tc>
          <w:tcPr>
            <w:tcW w:w="170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84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07</w:t>
            </w:r>
            <w:r>
              <w:rPr>
                <w:rFonts w:cs="宋体"/>
                <w:color w:val="auto"/>
                <w:sz w:val="20"/>
                <w:szCs w:val="20"/>
              </w:rPr>
              <w:t>表</w:t>
            </w:r>
          </w:p>
        </w:tc>
      </w:tr>
      <w:tr>
        <w:tblPrEx>
          <w:tblCellMar>
            <w:top w:w="0" w:type="dxa"/>
            <w:left w:w="0" w:type="dxa"/>
            <w:bottom w:w="0" w:type="dxa"/>
            <w:right w:w="0" w:type="dxa"/>
          </w:tblCellMar>
        </w:tblPrEx>
        <w:trPr>
          <w:trHeight w:val="329" w:hRule="atLeast"/>
        </w:trPr>
        <w:tc>
          <w:tcPr>
            <w:tcW w:w="6638"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84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tblPrEx>
          <w:tblCellMar>
            <w:top w:w="0" w:type="dxa"/>
            <w:left w:w="0" w:type="dxa"/>
            <w:bottom w:w="0" w:type="dxa"/>
            <w:right w:w="0" w:type="dxa"/>
          </w:tblCellMar>
        </w:tblPrEx>
        <w:trPr>
          <w:trHeight w:val="339" w:hRule="atLeast"/>
        </w:trPr>
        <w:tc>
          <w:tcPr>
            <w:tcW w:w="49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w:t>
            </w:r>
          </w:p>
        </w:tc>
        <w:tc>
          <w:tcPr>
            <w:tcW w:w="170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年初结转和结余</w:t>
            </w:r>
          </w:p>
        </w:tc>
        <w:tc>
          <w:tcPr>
            <w:tcW w:w="17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w:t>
            </w:r>
          </w:p>
        </w:tc>
        <w:tc>
          <w:tcPr>
            <w:tcW w:w="18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年末结转和结余</w:t>
            </w:r>
          </w:p>
        </w:tc>
      </w:tr>
      <w:tr>
        <w:tblPrEx>
          <w:tblCellMar>
            <w:top w:w="0" w:type="dxa"/>
            <w:left w:w="0" w:type="dxa"/>
            <w:bottom w:w="0" w:type="dxa"/>
            <w:right w:w="0" w:type="dxa"/>
          </w:tblCellMar>
        </w:tblPrEx>
        <w:trPr>
          <w:trHeight w:val="335" w:hRule="atLeast"/>
        </w:trPr>
        <w:tc>
          <w:tcPr>
            <w:tcW w:w="13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5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70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7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17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335" w:hRule="atLeast"/>
        </w:trPr>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5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645" w:hRule="atLeast"/>
        </w:trPr>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5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339" w:hRule="atLeast"/>
        </w:trPr>
        <w:tc>
          <w:tcPr>
            <w:tcW w:w="493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8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49" w:hRule="atLeast"/>
        </w:trPr>
        <w:tc>
          <w:tcPr>
            <w:tcW w:w="13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auto"/>
                <w:sz w:val="20"/>
                <w:szCs w:val="20"/>
              </w:rPr>
            </w:pPr>
          </w:p>
        </w:tc>
        <w:tc>
          <w:tcPr>
            <w:tcW w:w="35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auto"/>
                <w:sz w:val="20"/>
                <w:szCs w:val="20"/>
              </w:rPr>
            </w:pP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1"/>
          <w:szCs w:val="21"/>
        </w:rPr>
      </w:pPr>
      <w:r>
        <w:rPr>
          <w:rFonts w:cs="宋体"/>
          <w:color w:val="auto"/>
          <w:sz w:val="20"/>
          <w:szCs w:val="20"/>
        </w:rPr>
        <w:t>备注：本表反映部门本年度政府性基金预算财政拨款收入支出及结转和结余情况。本部门无政府性基金收支，故本表无数据。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cs="宋体"/>
          <w:color w:val="auto"/>
          <w:sz w:val="21"/>
          <w:szCs w:val="21"/>
        </w:rPr>
        <w:br w:type="page"/>
      </w:r>
    </w:p>
    <w:tbl>
      <w:tblPr>
        <w:tblStyle w:val="7"/>
        <w:tblW w:w="15372" w:type="dxa"/>
        <w:tblInd w:w="0" w:type="dxa"/>
        <w:tblLayout w:type="fixed"/>
        <w:tblCellMar>
          <w:top w:w="0" w:type="dxa"/>
          <w:left w:w="0" w:type="dxa"/>
          <w:bottom w:w="0" w:type="dxa"/>
          <w:right w:w="0" w:type="dxa"/>
        </w:tblCellMar>
      </w:tblPr>
      <w:tblGrid>
        <w:gridCol w:w="1309"/>
        <w:gridCol w:w="3616"/>
        <w:gridCol w:w="3283"/>
        <w:gridCol w:w="191"/>
        <w:gridCol w:w="3474"/>
        <w:gridCol w:w="87"/>
        <w:gridCol w:w="3412"/>
      </w:tblGrid>
      <w:tr>
        <w:tblPrEx>
          <w:tblCellMar>
            <w:top w:w="0" w:type="dxa"/>
            <w:left w:w="0" w:type="dxa"/>
            <w:bottom w:w="0" w:type="dxa"/>
            <w:right w:w="0" w:type="dxa"/>
          </w:tblCellMar>
        </w:tblPrEx>
        <w:trPr>
          <w:trHeight w:val="650" w:hRule="atLeast"/>
        </w:trPr>
        <w:tc>
          <w:tcPr>
            <w:tcW w:w="1537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208"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rPr>
            </w:pPr>
            <w:r>
              <w:rPr>
                <w:rFonts w:hint="eastAsia" w:cs="宋体"/>
                <w:color w:val="auto"/>
                <w:sz w:val="20"/>
                <w:szCs w:val="20"/>
                <w:lang w:eastAsia="zh-CN"/>
              </w:rPr>
              <w:t>部门</w:t>
            </w:r>
            <w:r>
              <w:rPr>
                <w:rFonts w:cs="宋体"/>
                <w:color w:val="auto"/>
                <w:sz w:val="20"/>
                <w:szCs w:val="20"/>
              </w:rPr>
              <w:t>：</w:t>
            </w:r>
            <w:r>
              <w:rPr>
                <w:color w:val="auto"/>
                <w:sz w:val="20"/>
                <w:u w:color="auto"/>
              </w:rPr>
              <w:t>路阳镇产业发展服务中心</w:t>
            </w:r>
          </w:p>
        </w:tc>
        <w:tc>
          <w:tcPr>
            <w:tcW w:w="3752"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41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08</w:t>
            </w:r>
            <w:r>
              <w:rPr>
                <w:rFonts w:cs="宋体"/>
                <w:color w:val="auto"/>
                <w:sz w:val="20"/>
                <w:szCs w:val="20"/>
              </w:rPr>
              <w:t>表</w:t>
            </w:r>
          </w:p>
        </w:tc>
      </w:tr>
      <w:tr>
        <w:tblPrEx>
          <w:tblCellMar>
            <w:top w:w="0" w:type="dxa"/>
            <w:left w:w="0" w:type="dxa"/>
            <w:bottom w:w="0" w:type="dxa"/>
            <w:right w:w="0" w:type="dxa"/>
          </w:tblCellMar>
        </w:tblPrEx>
        <w:trPr>
          <w:trHeight w:val="332" w:hRule="atLeast"/>
        </w:trPr>
        <w:tc>
          <w:tcPr>
            <w:tcW w:w="8208"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752"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41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tblPrEx>
          <w:tblCellMar>
            <w:top w:w="0" w:type="dxa"/>
            <w:left w:w="0" w:type="dxa"/>
            <w:bottom w:w="0" w:type="dxa"/>
            <w:right w:w="0" w:type="dxa"/>
          </w:tblCellMar>
        </w:tblPrEx>
        <w:trPr>
          <w:trHeight w:val="422" w:hRule="atLeast"/>
        </w:trPr>
        <w:tc>
          <w:tcPr>
            <w:tcW w:w="49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044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本年支出</w:t>
            </w:r>
          </w:p>
        </w:tc>
      </w:tr>
      <w:tr>
        <w:tblPrEx>
          <w:tblCellMar>
            <w:top w:w="0" w:type="dxa"/>
            <w:left w:w="0" w:type="dxa"/>
            <w:bottom w:w="0" w:type="dxa"/>
            <w:right w:w="0" w:type="dxa"/>
          </w:tblCellMar>
        </w:tblPrEx>
        <w:trPr>
          <w:trHeight w:val="339" w:hRule="atLeast"/>
        </w:trPr>
        <w:tc>
          <w:tcPr>
            <w:tcW w:w="130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科目名称</w:t>
            </w:r>
          </w:p>
        </w:tc>
        <w:tc>
          <w:tcPr>
            <w:tcW w:w="3474"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47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3499"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r>
      <w:tr>
        <w:tblPrEx>
          <w:tblCellMar>
            <w:top w:w="0" w:type="dxa"/>
            <w:left w:w="0" w:type="dxa"/>
            <w:bottom w:w="0" w:type="dxa"/>
            <w:right w:w="0" w:type="dxa"/>
          </w:tblCellMar>
        </w:tblPrEx>
        <w:trPr>
          <w:trHeight w:val="339" w:hRule="atLeast"/>
        </w:trPr>
        <w:tc>
          <w:tcPr>
            <w:tcW w:w="130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74"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99"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339" w:hRule="atLeast"/>
        </w:trPr>
        <w:tc>
          <w:tcPr>
            <w:tcW w:w="130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74"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99"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326" w:hRule="atLeast"/>
        </w:trPr>
        <w:tc>
          <w:tcPr>
            <w:tcW w:w="130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74"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99"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611" w:hRule="atLeast"/>
        </w:trPr>
        <w:tc>
          <w:tcPr>
            <w:tcW w:w="49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47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auto"/>
                <w:sz w:val="20"/>
                <w:szCs w:val="20"/>
              </w:rPr>
            </w:pPr>
          </w:p>
        </w:tc>
        <w:tc>
          <w:tcPr>
            <w:tcW w:w="349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488" w:hRule="atLeast"/>
        </w:trPr>
        <w:tc>
          <w:tcPr>
            <w:tcW w:w="1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p>
        </w:tc>
        <w:tc>
          <w:tcPr>
            <w:tcW w:w="347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auto"/>
                <w:sz w:val="20"/>
                <w:szCs w:val="20"/>
              </w:rPr>
            </w:pPr>
          </w:p>
        </w:tc>
        <w:tc>
          <w:tcPr>
            <w:tcW w:w="349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r>
    </w:tbl>
    <w:p>
      <w:pPr>
        <w:rPr>
          <w:rFonts w:hint="default" w:cs="宋体"/>
          <w:color w:val="auto"/>
          <w:sz w:val="21"/>
          <w:szCs w:val="21"/>
        </w:rPr>
      </w:pPr>
      <w:r>
        <w:rPr>
          <w:rFonts w:cs="宋体"/>
          <w:color w:val="auto"/>
          <w:sz w:val="20"/>
          <w:szCs w:val="20"/>
        </w:rPr>
        <w:t>备注：本表反映部门本年度国有资本经营预算财政拨款支出情况。本部门无国有资本经营收支，故本表无数据。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hint="default" w:cs="宋体"/>
          <w:color w:val="auto"/>
          <w:sz w:val="21"/>
          <w:szCs w:val="21"/>
        </w:rPr>
        <w:br w:type="page"/>
      </w:r>
    </w:p>
    <w:tbl>
      <w:tblPr>
        <w:tblStyle w:val="7"/>
        <w:tblW w:w="14177" w:type="dxa"/>
        <w:tblInd w:w="0" w:type="dxa"/>
        <w:tblLayout w:type="fixed"/>
        <w:tblCellMar>
          <w:top w:w="0" w:type="dxa"/>
          <w:left w:w="170" w:type="dxa"/>
          <w:bottom w:w="0" w:type="dxa"/>
          <w:right w:w="170" w:type="dxa"/>
        </w:tblCellMar>
      </w:tblPr>
      <w:tblGrid>
        <w:gridCol w:w="3176"/>
        <w:gridCol w:w="2413"/>
        <w:gridCol w:w="2371"/>
        <w:gridCol w:w="3726"/>
        <w:gridCol w:w="2491"/>
      </w:tblGrid>
      <w:tr>
        <w:tblPrEx>
          <w:tblCellMar>
            <w:top w:w="0" w:type="dxa"/>
            <w:left w:w="170" w:type="dxa"/>
            <w:bottom w:w="0" w:type="dxa"/>
            <w:right w:w="170" w:type="dxa"/>
          </w:tblCellMar>
        </w:tblPrEx>
        <w:trPr>
          <w:trHeight w:val="343" w:hRule="atLeast"/>
        </w:trPr>
        <w:tc>
          <w:tcPr>
            <w:tcW w:w="14177"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auto"/>
                <w:kern w:val="2"/>
                <w:sz w:val="32"/>
                <w:szCs w:val="32"/>
              </w:rPr>
            </w:pPr>
            <w:r>
              <w:rPr>
                <w:rFonts w:cs="宋体"/>
                <w:b/>
                <w:color w:val="auto"/>
                <w:kern w:val="2"/>
                <w:sz w:val="32"/>
                <w:szCs w:val="32"/>
              </w:rPr>
              <w:t>机构运行信息表</w:t>
            </w:r>
          </w:p>
        </w:tc>
      </w:tr>
      <w:tr>
        <w:tblPrEx>
          <w:tblCellMar>
            <w:top w:w="0" w:type="dxa"/>
            <w:left w:w="170" w:type="dxa"/>
            <w:bottom w:w="0" w:type="dxa"/>
            <w:right w:w="170" w:type="dxa"/>
          </w:tblCellMar>
        </w:tblPrEx>
        <w:trPr>
          <w:trHeight w:val="244" w:hRule="atLeast"/>
        </w:trPr>
        <w:tc>
          <w:tcPr>
            <w:tcW w:w="3176" w:type="dxa"/>
            <w:shd w:val="clear" w:color="auto" w:fill="auto"/>
            <w:tcMar>
              <w:top w:w="15" w:type="dxa"/>
              <w:left w:w="15" w:type="dxa"/>
              <w:right w:w="15" w:type="dxa"/>
            </w:tcMar>
            <w:vAlign w:val="bottom"/>
          </w:tcPr>
          <w:p>
            <w:pPr>
              <w:spacing w:line="280" w:lineRule="exact"/>
              <w:rPr>
                <w:rFonts w:hint="default" w:cs="宋体"/>
                <w:color w:val="auto"/>
                <w:kern w:val="2"/>
                <w:sz w:val="20"/>
                <w:szCs w:val="20"/>
              </w:rPr>
            </w:pPr>
          </w:p>
        </w:tc>
        <w:tc>
          <w:tcPr>
            <w:tcW w:w="2413" w:type="dxa"/>
            <w:shd w:val="clear" w:color="auto" w:fill="auto"/>
            <w:tcMar>
              <w:top w:w="15" w:type="dxa"/>
              <w:left w:w="15" w:type="dxa"/>
              <w:right w:w="15" w:type="dxa"/>
            </w:tcMar>
            <w:vAlign w:val="bottom"/>
          </w:tcPr>
          <w:p>
            <w:pPr>
              <w:spacing w:line="280" w:lineRule="exact"/>
              <w:jc w:val="center"/>
              <w:rPr>
                <w:rFonts w:hint="default" w:cs="宋体"/>
                <w:color w:val="auto"/>
                <w:kern w:val="2"/>
                <w:sz w:val="20"/>
                <w:szCs w:val="20"/>
              </w:rPr>
            </w:pPr>
          </w:p>
        </w:tc>
        <w:tc>
          <w:tcPr>
            <w:tcW w:w="2371" w:type="dxa"/>
            <w:shd w:val="clear" w:color="auto" w:fill="auto"/>
            <w:tcMar>
              <w:top w:w="15" w:type="dxa"/>
              <w:left w:w="15" w:type="dxa"/>
              <w:right w:w="15" w:type="dxa"/>
            </w:tcMar>
            <w:vAlign w:val="bottom"/>
          </w:tcPr>
          <w:p>
            <w:pPr>
              <w:spacing w:line="280" w:lineRule="exact"/>
              <w:jc w:val="right"/>
              <w:rPr>
                <w:rFonts w:hint="default" w:cs="宋体"/>
                <w:color w:val="auto"/>
                <w:kern w:val="2"/>
                <w:sz w:val="20"/>
                <w:szCs w:val="20"/>
              </w:rPr>
            </w:pPr>
          </w:p>
        </w:tc>
        <w:tc>
          <w:tcPr>
            <w:tcW w:w="3726" w:type="dxa"/>
            <w:shd w:val="clear" w:color="auto" w:fill="auto"/>
            <w:tcMar>
              <w:top w:w="15" w:type="dxa"/>
              <w:left w:w="15" w:type="dxa"/>
              <w:right w:w="15" w:type="dxa"/>
            </w:tcMar>
            <w:vAlign w:val="bottom"/>
          </w:tcPr>
          <w:p>
            <w:pPr>
              <w:spacing w:line="280" w:lineRule="exact"/>
              <w:rPr>
                <w:rFonts w:hint="default" w:cs="宋体"/>
                <w:color w:val="auto"/>
                <w:kern w:val="2"/>
                <w:sz w:val="20"/>
                <w:szCs w:val="20"/>
              </w:rPr>
            </w:pPr>
          </w:p>
        </w:tc>
        <w:tc>
          <w:tcPr>
            <w:tcW w:w="2491" w:type="dxa"/>
            <w:shd w:val="clear" w:color="auto" w:fill="auto"/>
            <w:tcMar>
              <w:top w:w="15" w:type="dxa"/>
              <w:left w:w="15" w:type="dxa"/>
              <w:right w:w="15" w:type="dxa"/>
            </w:tcMar>
            <w:vAlign w:val="bottom"/>
          </w:tcPr>
          <w:p>
            <w:pPr>
              <w:spacing w:line="280" w:lineRule="exact"/>
              <w:jc w:val="right"/>
              <w:textAlignment w:val="bottom"/>
              <w:rPr>
                <w:rFonts w:hint="default" w:cs="宋体"/>
                <w:color w:val="auto"/>
                <w:kern w:val="2"/>
                <w:sz w:val="20"/>
                <w:szCs w:val="20"/>
              </w:rPr>
            </w:pPr>
            <w:r>
              <w:rPr>
                <w:rFonts w:cs="宋体"/>
                <w:color w:val="auto"/>
                <w:kern w:val="2"/>
                <w:sz w:val="20"/>
                <w:szCs w:val="20"/>
              </w:rPr>
              <w:t>公开</w:t>
            </w:r>
            <w:r>
              <w:rPr>
                <w:rFonts w:hint="default" w:ascii="Times New Roman" w:hAnsi="Times New Roman"/>
                <w:color w:val="auto"/>
                <w:kern w:val="2"/>
                <w:sz w:val="20"/>
                <w:szCs w:val="20"/>
              </w:rPr>
              <w:t>09</w:t>
            </w:r>
            <w:r>
              <w:rPr>
                <w:rFonts w:cs="宋体"/>
                <w:color w:val="auto"/>
                <w:kern w:val="2"/>
                <w:sz w:val="20"/>
                <w:szCs w:val="20"/>
              </w:rPr>
              <w:t>表</w:t>
            </w:r>
          </w:p>
        </w:tc>
      </w:tr>
      <w:tr>
        <w:tblPrEx>
          <w:tblCellMar>
            <w:top w:w="0" w:type="dxa"/>
            <w:left w:w="170" w:type="dxa"/>
            <w:bottom w:w="0" w:type="dxa"/>
            <w:right w:w="170" w:type="dxa"/>
          </w:tblCellMar>
        </w:tblPrEx>
        <w:trPr>
          <w:trHeight w:val="244" w:hRule="atLeast"/>
        </w:trPr>
        <w:tc>
          <w:tcPr>
            <w:tcW w:w="5589"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auto"/>
                <w:kern w:val="2"/>
                <w:sz w:val="20"/>
                <w:szCs w:val="20"/>
              </w:rPr>
            </w:pPr>
            <w:r>
              <w:rPr>
                <w:rFonts w:hint="eastAsia" w:cs="宋体"/>
                <w:color w:val="auto"/>
                <w:sz w:val="20"/>
                <w:szCs w:val="20"/>
                <w:lang w:eastAsia="zh-CN"/>
              </w:rPr>
              <w:t>部门</w:t>
            </w:r>
            <w:r>
              <w:rPr>
                <w:rFonts w:cs="宋体"/>
                <w:color w:val="auto"/>
                <w:kern w:val="2"/>
                <w:sz w:val="20"/>
                <w:szCs w:val="20"/>
              </w:rPr>
              <w:t>：</w:t>
            </w:r>
            <w:r>
              <w:rPr>
                <w:color w:val="auto"/>
                <w:sz w:val="20"/>
                <w:u w:color="auto"/>
              </w:rPr>
              <w:t>路阳镇产业发展服务中心</w:t>
            </w:r>
          </w:p>
        </w:tc>
        <w:tc>
          <w:tcPr>
            <w:tcW w:w="2371"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auto"/>
                <w:kern w:val="2"/>
                <w:sz w:val="20"/>
                <w:szCs w:val="20"/>
              </w:rPr>
            </w:pPr>
          </w:p>
        </w:tc>
        <w:tc>
          <w:tcPr>
            <w:tcW w:w="3726"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auto"/>
                <w:kern w:val="2"/>
                <w:sz w:val="20"/>
                <w:szCs w:val="20"/>
              </w:rPr>
            </w:pPr>
          </w:p>
        </w:tc>
        <w:tc>
          <w:tcPr>
            <w:tcW w:w="2491"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auto"/>
                <w:kern w:val="2"/>
                <w:sz w:val="20"/>
                <w:szCs w:val="20"/>
              </w:rPr>
            </w:pPr>
            <w:r>
              <w:rPr>
                <w:rFonts w:cs="宋体"/>
                <w:color w:val="auto"/>
                <w:kern w:val="2"/>
                <w:sz w:val="20"/>
                <w:szCs w:val="20"/>
              </w:rPr>
              <w:t>单位：万元</w:t>
            </w:r>
          </w:p>
        </w:tc>
      </w:tr>
      <w:tr>
        <w:tblPrEx>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预算数</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r>
      <w:tr>
        <w:tblPrEx>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一、“三公”经费支出</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五、机关运行经费</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（一）支出合计</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（一）行政单位</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1．因公出国（境）费</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（二）参照公务员法管理事业单位</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2．公务用车购置及运行维护费</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六、资产信息</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（1）公务用车购置费</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（一）车辆数合计（辆）</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（2）公务用车运行维护费</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1．副部（省）级及以上领导用车</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3．公务接待费</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2．主要领导干部用车</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（1）国内接待费</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3．机要通信用车</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其中：外事接待费</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4．应急保障用车</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（2）国（境）外接待费</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5．执法执勤用车</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（二）相关统计数</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6．特种专业技术用车</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1．因公出国（境）团组数（个）</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7．离退休干部用车</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2．因公出国（境）人次数（人）</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8．其他用车</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3．公务用车购置数（辆）</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（二）单价100万元（含）以上设备（不含车辆）</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4．公务用车保有量（辆）</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七、政府采购支出信息</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5．国内公务接待批次（个）</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（一）政府采购支出合计</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其中：外事接待批次（个）</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1．政府采购货物支出</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6．国内公务接待人次（人）</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2．政府采购工程支出</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其中：外事接待人次（人）</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3．政府采购服务支出</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7．国（境）外公务接待批次（个）</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（二）政府采购授予中小企业合同金额</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8．国（境）外公务接待人次（人）</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其中：授予小微企业合同金额</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二、会议费</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tblPrEx>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三、培训费</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tblPrEx>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sz w:val="16"/>
                <w:szCs w:val="16"/>
              </w:rPr>
            </w:pPr>
            <w:r>
              <w:rPr>
                <w:rFonts w:cs="宋体"/>
                <w:b/>
                <w:bCs/>
                <w:color w:val="auto"/>
                <w:sz w:val="16"/>
                <w:szCs w:val="16"/>
              </w:rPr>
              <w:t>四、差旅费</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16"/>
                <w:szCs w:val="16"/>
              </w:rPr>
            </w:pP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sz w:val="16"/>
                <w:szCs w:val="16"/>
              </w:rPr>
            </w:pPr>
          </w:p>
        </w:tc>
      </w:tr>
    </w:tbl>
    <w:p>
      <w:pPr>
        <w:rPr>
          <w:rFonts w:hint="default" w:cs="宋体"/>
          <w:color w:val="auto"/>
          <w:sz w:val="18"/>
          <w:szCs w:val="18"/>
        </w:rPr>
      </w:pPr>
      <w:r>
        <w:rPr>
          <w:rFonts w:cs="宋体"/>
          <w:color w:val="auto"/>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color w:val="auto"/>
          <w:sz w:val="18"/>
          <w:szCs w:val="18"/>
        </w:rPr>
        <w:br w:type="textWrapping"/>
      </w:r>
      <w:r>
        <w:rPr>
          <w:rFonts w:cs="宋体"/>
          <w:color w:val="auto"/>
          <w:sz w:val="18"/>
          <w:szCs w:val="18"/>
        </w:rPr>
        <w:t xml:space="preserve">      2.本套报表金额单位转换时可能存在尾数误差。</w:t>
      </w:r>
      <w:r>
        <w:rPr>
          <w:rFonts w:cs="宋体"/>
          <w:color w:val="auto"/>
          <w:sz w:val="18"/>
          <w:szCs w:val="18"/>
        </w:rPr>
        <w:br w:type="textWrapping"/>
      </w:r>
    </w:p>
    <w:sectPr>
      <w:pgSz w:w="16783" w:h="11850" w:orient="landscape"/>
      <w:pgMar w:top="720" w:right="720" w:bottom="720" w:left="720"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NzczNTEyMmM2YjBhM2I2N2NjNTVmNDk3MTI5Yjk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A13026"/>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7E5AB7"/>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9F666D"/>
    <w:rsid w:val="37BF1123"/>
    <w:rsid w:val="383C3F15"/>
    <w:rsid w:val="38BE4696"/>
    <w:rsid w:val="3939115E"/>
    <w:rsid w:val="39B82A39"/>
    <w:rsid w:val="39C42CA8"/>
    <w:rsid w:val="39DC4FD6"/>
    <w:rsid w:val="39F03D7A"/>
    <w:rsid w:val="39F33306"/>
    <w:rsid w:val="3A2C1C67"/>
    <w:rsid w:val="3AFD7483"/>
    <w:rsid w:val="3B1705E5"/>
    <w:rsid w:val="3B18334B"/>
    <w:rsid w:val="3B36794F"/>
    <w:rsid w:val="3C566AD6"/>
    <w:rsid w:val="3C6A5B02"/>
    <w:rsid w:val="3D2757A1"/>
    <w:rsid w:val="3D3D4FC4"/>
    <w:rsid w:val="3DDF3AB1"/>
    <w:rsid w:val="3E1D0952"/>
    <w:rsid w:val="3E42660A"/>
    <w:rsid w:val="3E7555B1"/>
    <w:rsid w:val="3E787ED9"/>
    <w:rsid w:val="3E942591"/>
    <w:rsid w:val="3EEC37F3"/>
    <w:rsid w:val="3F032E93"/>
    <w:rsid w:val="3F0527E5"/>
    <w:rsid w:val="3F4814B0"/>
    <w:rsid w:val="3F5E5D98"/>
    <w:rsid w:val="3F694D83"/>
    <w:rsid w:val="3F885DCC"/>
    <w:rsid w:val="3FCD675E"/>
    <w:rsid w:val="3FD86860"/>
    <w:rsid w:val="4004000C"/>
    <w:rsid w:val="40D54604"/>
    <w:rsid w:val="411B6CE5"/>
    <w:rsid w:val="412070D7"/>
    <w:rsid w:val="412D3855"/>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69F45FA"/>
    <w:rsid w:val="471E6C84"/>
    <w:rsid w:val="47317EDF"/>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5C7001"/>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C841A9"/>
    <w:rsid w:val="5CF66BF3"/>
    <w:rsid w:val="5D290C69"/>
    <w:rsid w:val="5F2D4A41"/>
    <w:rsid w:val="60C74F6C"/>
    <w:rsid w:val="61025A59"/>
    <w:rsid w:val="613D5BBC"/>
    <w:rsid w:val="61536C39"/>
    <w:rsid w:val="61E64F4A"/>
    <w:rsid w:val="623E0993"/>
    <w:rsid w:val="62944DD7"/>
    <w:rsid w:val="63170A59"/>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2F4042"/>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420052"/>
    <w:rsid w:val="7B861484"/>
    <w:rsid w:val="7BD06A28"/>
    <w:rsid w:val="7C3A7C0B"/>
    <w:rsid w:val="7C5248E4"/>
    <w:rsid w:val="7C566698"/>
    <w:rsid w:val="7C5866A3"/>
    <w:rsid w:val="7CBE2F89"/>
    <w:rsid w:val="7D7406BB"/>
    <w:rsid w:val="7DE94331"/>
    <w:rsid w:val="7EAF034E"/>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8469</Words>
  <Characters>10813</Characters>
  <Lines>186</Lines>
  <Paragraphs>52</Paragraphs>
  <TotalTime>0</TotalTime>
  <ScaleCrop>false</ScaleCrop>
  <LinksUpToDate>false</LinksUpToDate>
  <CharactersWithSpaces>11876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Dell</cp:lastModifiedBy>
  <dcterms:modified xsi:type="dcterms:W3CDTF">2025-10-20T08:31:05Z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BB46EABDBB2749749395447164B066B3_12</vt:lpwstr>
  </property>
  <property fmtid="{D5CDD505-2E9C-101B-9397-08002B2CF9AE}" pid="4" name="KSOTemplateDocerSaveRecord">
    <vt:lpwstr>eyJoZGlkIjoiMzRkOGZkZDBmZWE3ZGIwMDM3NWRlOTVkNWI4MGQwYjIiLCJ1c2VySWQiOiI1NzUxMDM1ODgifQ==</vt:lpwstr>
  </property>
</Properties>
</file>