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08" w:rsidRPr="0027540D" w:rsidRDefault="00D57F80">
      <w:pPr>
        <w:pStyle w:val="a3"/>
        <w:widowControl/>
        <w:jc w:val="center"/>
        <w:rPr>
          <w:rFonts w:ascii="方正仿宋_GBK" w:eastAsia="方正仿宋_GBK" w:hAnsi="宋体" w:cs="宋体"/>
          <w:sz w:val="44"/>
          <w:szCs w:val="44"/>
        </w:rPr>
      </w:pPr>
      <w:r w:rsidRPr="0027540D">
        <w:rPr>
          <w:rFonts w:ascii="方正仿宋_GBK" w:eastAsia="方正仿宋_GBK" w:hAnsi="宋体" w:cs="宋体"/>
          <w:sz w:val="44"/>
          <w:szCs w:val="44"/>
        </w:rPr>
        <w:t>云阳县路阳镇综合行政执法大队</w:t>
      </w:r>
    </w:p>
    <w:p w:rsidR="00516308" w:rsidRPr="0027540D" w:rsidRDefault="00D57F80">
      <w:pPr>
        <w:pStyle w:val="a3"/>
        <w:widowControl/>
        <w:jc w:val="center"/>
        <w:rPr>
          <w:rFonts w:ascii="方正仿宋_GBK" w:eastAsia="方正仿宋_GBK" w:hAnsi="宋体" w:cs="宋体"/>
          <w:sz w:val="44"/>
          <w:szCs w:val="44"/>
        </w:rPr>
      </w:pPr>
      <w:r w:rsidRPr="0027540D">
        <w:rPr>
          <w:rFonts w:ascii="方正仿宋_GBK" w:eastAsia="方正仿宋_GBK" w:hAnsi="宋体" w:cs="宋体"/>
          <w:sz w:val="44"/>
          <w:szCs w:val="44"/>
        </w:rPr>
        <w:t>2022年度部门决算情况说明</w:t>
      </w:r>
    </w:p>
    <w:p w:rsidR="00516308" w:rsidRPr="0027199B" w:rsidRDefault="00516308">
      <w:pPr>
        <w:pStyle w:val="a3"/>
        <w:widowControl/>
        <w:jc w:val="center"/>
        <w:rPr>
          <w:rFonts w:ascii="方正仿宋_GBK" w:eastAsia="方正仿宋_GBK" w:hAnsi="宋体" w:cs="宋体"/>
          <w:sz w:val="32"/>
          <w:szCs w:val="32"/>
        </w:rPr>
      </w:pPr>
    </w:p>
    <w:p w:rsidR="00516308" w:rsidRPr="0027199B" w:rsidRDefault="00D57F80">
      <w:pPr>
        <w:pStyle w:val="a3"/>
        <w:widowControl/>
        <w:rPr>
          <w:rFonts w:ascii="方正仿宋_GBK" w:eastAsia="方正仿宋_GBK" w:hAnsi="宋体" w:cs="宋体"/>
          <w:sz w:val="32"/>
          <w:szCs w:val="32"/>
        </w:rPr>
      </w:pPr>
      <w:r w:rsidRPr="0027199B">
        <w:rPr>
          <w:rFonts w:ascii="方正仿宋_GBK" w:eastAsia="方正仿宋_GBK" w:hAnsi="宋体" w:cs="宋体"/>
          <w:sz w:val="32"/>
          <w:szCs w:val="32"/>
        </w:rPr>
        <w:t>一、部门基本情况</w:t>
      </w:r>
    </w:p>
    <w:p w:rsidR="00516308" w:rsidRPr="0027199B" w:rsidRDefault="00D57F80">
      <w:pPr>
        <w:pStyle w:val="a3"/>
        <w:widowControl/>
        <w:rPr>
          <w:rFonts w:ascii="方正仿宋_GBK" w:eastAsia="方正仿宋_GBK" w:hAnsi="宋体" w:cs="宋体"/>
          <w:sz w:val="32"/>
          <w:szCs w:val="32"/>
        </w:rPr>
      </w:pPr>
      <w:r w:rsidRPr="0027199B">
        <w:rPr>
          <w:rFonts w:ascii="方正仿宋_GBK" w:eastAsia="方正仿宋_GBK" w:hAnsi="宋体" w:cs="宋体"/>
          <w:sz w:val="32"/>
          <w:szCs w:val="32"/>
        </w:rPr>
        <w:t>（一）职能职责</w:t>
      </w:r>
    </w:p>
    <w:p w:rsidR="00516308" w:rsidRPr="0027199B" w:rsidRDefault="00D57F80">
      <w:pPr>
        <w:pStyle w:val="a3"/>
        <w:widowControl/>
        <w:shd w:val="clear" w:color="auto" w:fill="FFFFFF"/>
        <w:spacing w:beforeAutospacing="0" w:afterAutospacing="0" w:line="630" w:lineRule="atLeast"/>
        <w:ind w:firstLine="630"/>
        <w:rPr>
          <w:rFonts w:ascii="方正仿宋_GBK" w:eastAsia="方正仿宋_GBK" w:hAnsi="宋体" w:cs="宋体"/>
          <w:sz w:val="32"/>
          <w:szCs w:val="32"/>
        </w:rPr>
      </w:pPr>
      <w:bookmarkStart w:id="0" w:name="_GoBack"/>
      <w:r w:rsidRPr="0027199B">
        <w:rPr>
          <w:rFonts w:ascii="方正仿宋_GBK" w:eastAsia="方正仿宋_GBK" w:hAnsi="宋体" w:cs="宋体" w:hint="eastAsia"/>
          <w:sz w:val="32"/>
          <w:szCs w:val="32"/>
        </w:rPr>
        <w:t>贯彻执行赋权和委托的法律、法规和规章，组织实施本辖区内的综合行政执法活动，依法查处违法行为。负责综合行政执法队的政治思想、队容风纪和党风廉政建设的教育工作。制定本辖区内综合行政执法工作制度、工作方案及管理目标和任务，并组织实施。负责本队综合行政执法人员的业务培训和考核。负责本辖区综合行政执法方面的宣传教育工作。行使自然资源和规划建设、城乡管理、生态保护、安全生产、农林水利、农业技术推广使用及其他领域法律法规规章授权和依法委托的相关行政处罚、行政强制、行政检查等行政执法的权限。办理上级交办的其他任务。</w:t>
      </w:r>
    </w:p>
    <w:bookmarkEnd w:id="0"/>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二、部门决算情况说明</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（一）收入支出决算总体情况说明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1.总体情况。2022年度收入总计97.81万元，支出总计97.81万元。收支较上年决算数增加97.81万元,增长100%，主要原因是新纳入决算范围单位，上年度未独立决算。</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2.收入情况。2022年度收入合计97.81万元，较上年决算数增加97.81万元，增长100%，主要原因是新纳入决算范围单位，上年度未独立决算。其中：财政拨款收入97.81万元，占100%。</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3.支出情况。2022年度支出合计97.81万元，较上年决算增加97.81万元，增长</w:t>
      </w:r>
      <w:r w:rsidR="0027199B">
        <w:rPr>
          <w:rFonts w:ascii="方正仿宋_GBK" w:eastAsia="方正仿宋_GBK" w:hAnsi="宋体" w:cs="宋体" w:hint="eastAsia"/>
          <w:sz w:val="32"/>
          <w:szCs w:val="32"/>
        </w:rPr>
        <w:t>100</w:t>
      </w:r>
      <w:r>
        <w:rPr>
          <w:rFonts w:ascii="方正仿宋_GBK" w:eastAsia="方正仿宋_GBK" w:hAnsi="宋体" w:cs="宋体" w:hint="eastAsia"/>
          <w:sz w:val="32"/>
          <w:szCs w:val="32"/>
        </w:rPr>
        <w:t>%，主要原因是新纳入决算范围单位，上年度未独立决算。其中：基本支出97.81万元，占100%。</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4.结转结余情况。2022年度零结转结余。主要原因是实行收付实现制。</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（二）财政拨款收入支出决算总体情况说明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2022年度财政拨款收、支总计97.81万元。与2021年相比，财政拨款收、支总计各增加97.81万元，增长100%。主要原因是新纳入决算范围单位，上年度未独立决算。</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（三）一般公共预算财政拨款收入支出决算情况说明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1.收入情况。2022年度一般公共预算财政拨款收入97.81万元，较上年决算数增加97.81万元，增长100%。主要原因是新纳入决算范围单位，上年度未独立决算。较年初预算数增加5.55万元，增长6%。主要原因是人员经费增加，追加了预算。</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支出情况。2022年度一般公共预算财政拨款支出97.81万元，较上年决算数增加97.81万元，增长100%。主要原因是新纳入决算范围单位，上年度未独立决算。较年初预算数增加5.55万元，增长6%。主要原因是人员经费增加，追加了预算。</w:t>
      </w:r>
    </w:p>
    <w:p w:rsidR="00516308" w:rsidRPr="0027199B"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3.结转结余情况。2022年度零结转结余。主要原因是实行收付实现制。</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4.比较情况。本部门2022年度一般公共预算财政拨款支出主要用于以下几个方面：</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（1）一般公共服务支出77.82万元，占79.6%，较年初预算数增加4.26万元，增长5.8%，主要原因是人员经费增加，追加了预算。</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（2）社会保障与就业支出9.93万元，占10.2%，较年初预算数增加0.68万元，增长7.4%，主要原因是人员经费增加，追加了预算。</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lastRenderedPageBreak/>
        <w:t>（3）卫生健康支出5.10万元，占5.2%，较年初预算数增加0.28万元，增长5.8%，主要原因是人员经费增加，追加了预算。</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（4）住房保障支出4.97万元，占5.1%，较年初预算数增加0.34万元，增长7.3%，主要原因是人员经费增加，追加了预算。</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（四）一般公共预算财政拨款基本支出决算情况说明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年度一般公共预算财政拨款基本支出97.81万元。其中：人员经费96.53万元，较上年决算数增加96.53万元，增长100%，主要原因是新纳入决算范围单位，上年度未独立决算。人员经费用途主要包括人员工资及其他福利。公用经费1.28万元，较上年决算数增加1.28万元，增长100%，主要原因是新纳入决算范围单位，上年度未独立决算。公用经费用途主要包括办公费、差旅费、维修费、会议费、劳务费、公务用车等。</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（五）政府性基金预算收支决算情况说明。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本单位2022年无政府性基金预算财政拨款收支。</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（六）国有资本经营预算财政拨款支出决算情况说明。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本单位2022年无国有资本经营预算财政拨款支出。</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lastRenderedPageBreak/>
        <w:t>三、“三公”经费情况说明</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（一）“三公”经费支出总体情况说明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本单位三</w:t>
      </w:r>
      <w:proofErr w:type="gramStart"/>
      <w:r>
        <w:rPr>
          <w:rFonts w:ascii="方正仿宋_GBK" w:eastAsia="方正仿宋_GBK" w:hAnsi="宋体" w:cs="宋体" w:hint="eastAsia"/>
          <w:sz w:val="32"/>
          <w:szCs w:val="32"/>
        </w:rPr>
        <w:t>公经费</w:t>
      </w:r>
      <w:proofErr w:type="gramEnd"/>
      <w:r>
        <w:rPr>
          <w:rFonts w:ascii="方正仿宋_GBK" w:eastAsia="方正仿宋_GBK" w:hAnsi="宋体" w:cs="宋体" w:hint="eastAsia"/>
          <w:sz w:val="32"/>
          <w:szCs w:val="32"/>
        </w:rPr>
        <w:t>支出均由一级预算单位路阳镇人民政府机关保障，费用支出体现在路阳镇人民政府机关决算中。</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（二）“三公”经费分项支出情况</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2022年度本部门未发生因公出国（境）费用、公务车购置费、公务车运行维护费、公务接待费。</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（三）“三公”经费实物量情况</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四、其他需要说明的事项</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（一）财政拨款会议费和培训费情况说明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由于决算填报口径原因，会议</w:t>
      </w:r>
      <w:proofErr w:type="gramStart"/>
      <w:r>
        <w:rPr>
          <w:rFonts w:ascii="方正仿宋_GBK" w:eastAsia="方正仿宋_GBK" w:hAnsi="宋体" w:cs="宋体" w:hint="eastAsia"/>
          <w:sz w:val="32"/>
          <w:szCs w:val="32"/>
        </w:rPr>
        <w:t>费体现</w:t>
      </w:r>
      <w:proofErr w:type="gramEnd"/>
      <w:r>
        <w:rPr>
          <w:rFonts w:ascii="方正仿宋_GBK" w:eastAsia="方正仿宋_GBK" w:hAnsi="宋体" w:cs="宋体" w:hint="eastAsia"/>
          <w:sz w:val="32"/>
          <w:szCs w:val="32"/>
        </w:rPr>
        <w:t>在一级预算单位路阳镇人民政府决算报告中。本年度培训费支出0.27万元，较</w:t>
      </w:r>
      <w:r>
        <w:rPr>
          <w:rFonts w:ascii="方正仿宋_GBK" w:eastAsia="方正仿宋_GBK" w:hAnsi="宋体" w:cs="宋体" w:hint="eastAsia"/>
          <w:sz w:val="32"/>
          <w:szCs w:val="32"/>
        </w:rPr>
        <w:lastRenderedPageBreak/>
        <w:t>上年决算数增加0.27万元，增长100%，主要原因是主要原因是新纳入决算范围单位，上年度未独立决算。</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（二）机关运行经费支出情况说明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按照部门决算列报口径，我单位不在机关运行经费统计范围之内。</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（三）国有资产占用情况说明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因决算填报原因，我单位属于二级预算单位，资产未纳入部门决算报表。</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（四）政府采购支出说明</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2022年度我单位未发生政府采购事项，无相关经费支出。</w:t>
      </w:r>
    </w:p>
    <w:p w:rsidR="00516308" w:rsidRDefault="00D57F80">
      <w:pPr>
        <w:pStyle w:val="a3"/>
        <w:widowControl/>
        <w:rPr>
          <w:rFonts w:ascii="方正仿宋_GBK" w:eastAsia="方正仿宋_GBK" w:hAnsi="宋体" w:cs="宋体"/>
          <w:sz w:val="32"/>
          <w:szCs w:val="32"/>
        </w:rPr>
      </w:pPr>
      <w:r>
        <w:rPr>
          <w:rFonts w:ascii="方正仿宋_GBK" w:eastAsia="方正仿宋_GBK" w:hAnsi="宋体" w:cs="宋体" w:hint="eastAsia"/>
          <w:sz w:val="32"/>
          <w:szCs w:val="32"/>
        </w:rPr>
        <w:t>五、预算绩效管理情况说明   </w:t>
      </w:r>
    </w:p>
    <w:p w:rsidR="00516308" w:rsidRDefault="00D57F80">
      <w:pPr>
        <w:pStyle w:val="a3"/>
        <w:widowControl/>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2022年度本单位无项目</w:t>
      </w:r>
    </w:p>
    <w:p w:rsidR="00516308" w:rsidRDefault="00D57F80">
      <w:pPr>
        <w:pStyle w:val="a3"/>
        <w:widowControl/>
        <w:jc w:val="both"/>
        <w:rPr>
          <w:rFonts w:ascii="方正仿宋_GBK" w:eastAsia="方正仿宋_GBK" w:hAnsi="宋体" w:cs="宋体"/>
          <w:sz w:val="32"/>
          <w:szCs w:val="32"/>
        </w:rPr>
      </w:pPr>
      <w:r>
        <w:rPr>
          <w:rFonts w:ascii="方正仿宋_GBK" w:eastAsia="方正仿宋_GBK" w:hAnsi="宋体" w:cs="宋体" w:hint="eastAsia"/>
          <w:sz w:val="32"/>
          <w:szCs w:val="32"/>
        </w:rPr>
        <w:t>六、专业名词解释</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（一）财政拨款收入：指本年度从本级财政部门取得的财政拨款，包括一般公共预算财政拨款和政府性基金预算财政拨款。</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lastRenderedPageBreak/>
        <w:t>（二）事业收入：指事业单位开展专业业务活动及其辅助活动取得的现金流入；事业单位收到的财政专户实际核拨的教育收费等资金在此反映。</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（三）经营收入：指事业单位在专业业务活动及其辅助活动之外开展非独立核算经营活动取得的现金流入。</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（六）年初结转和结余：指单位上年结转本年使用的基本支出结转、项目支出结转和结余、经营结余。</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lastRenderedPageBreak/>
        <w:t>（七）结余分配：指单位按照国家有关规定，缴纳所得税、提取专用基金、转入非财政拨款结余等当年结余的分配情况。</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（八）年末结转和结余：指单位结转下年的基本支出结转、项目支出结转和结余、经营结余。</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（十）项目支出：指在基本支出之外为完成特定行政任务和事业发展目标所发生的支出。</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（十一）经营支出：指事业单位在专业业务活动及其辅助活动之外开展非独立核算经营活动发生的支出。</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（十二）“三公”经费：指用财政拨款安排的因公出国（境）费、公务用车购置及运行维护费、公务接待费。其中，因公出国（境）</w:t>
      </w:r>
      <w:proofErr w:type="gramStart"/>
      <w:r>
        <w:rPr>
          <w:rFonts w:ascii="方正仿宋_GBK" w:eastAsia="方正仿宋_GBK" w:hAnsi="宋体" w:cs="宋体" w:hint="eastAsia"/>
          <w:sz w:val="32"/>
          <w:szCs w:val="32"/>
        </w:rPr>
        <w:t>费反映</w:t>
      </w:r>
      <w:proofErr w:type="gramEnd"/>
      <w:r>
        <w:rPr>
          <w:rFonts w:ascii="方正仿宋_GBK" w:eastAsia="方正仿宋_GBK" w:hAnsi="宋体" w:cs="宋体" w:hint="eastAsia"/>
          <w:sz w:val="32"/>
          <w:szCs w:val="32"/>
        </w:rPr>
        <w:t>单位公务出国（境）的国际旅费、国外城市间交通费、住宿费、伙食费、培训费、公杂费等支出；公务用车购置</w:t>
      </w:r>
      <w:proofErr w:type="gramStart"/>
      <w:r>
        <w:rPr>
          <w:rFonts w:ascii="方正仿宋_GBK" w:eastAsia="方正仿宋_GBK" w:hAnsi="宋体" w:cs="宋体" w:hint="eastAsia"/>
          <w:sz w:val="32"/>
          <w:szCs w:val="32"/>
        </w:rPr>
        <w:t>费反映</w:t>
      </w:r>
      <w:proofErr w:type="gramEnd"/>
      <w:r>
        <w:rPr>
          <w:rFonts w:ascii="方正仿宋_GBK" w:eastAsia="方正仿宋_GBK" w:hAnsi="宋体" w:cs="宋体" w:hint="eastAsia"/>
          <w:sz w:val="32"/>
          <w:szCs w:val="32"/>
        </w:rPr>
        <w:t>单位公务用车购置支出（</w:t>
      </w:r>
      <w:proofErr w:type="gramStart"/>
      <w:r>
        <w:rPr>
          <w:rFonts w:ascii="方正仿宋_GBK" w:eastAsia="方正仿宋_GBK" w:hAnsi="宋体" w:cs="宋体" w:hint="eastAsia"/>
          <w:sz w:val="32"/>
          <w:szCs w:val="32"/>
        </w:rPr>
        <w:t>含车辆</w:t>
      </w:r>
      <w:proofErr w:type="gramEnd"/>
      <w:r>
        <w:rPr>
          <w:rFonts w:ascii="方正仿宋_GBK" w:eastAsia="方正仿宋_GBK" w:hAnsi="宋体" w:cs="宋体" w:hint="eastAsia"/>
          <w:sz w:val="32"/>
          <w:szCs w:val="32"/>
        </w:rPr>
        <w:t>购置税）；公务用车运行维护费反映单位按规定保留的公务用车</w:t>
      </w:r>
      <w:r>
        <w:rPr>
          <w:rFonts w:ascii="方正仿宋_GBK" w:eastAsia="方正仿宋_GBK" w:hAnsi="宋体" w:cs="宋体" w:hint="eastAsia"/>
          <w:sz w:val="32"/>
          <w:szCs w:val="32"/>
        </w:rPr>
        <w:lastRenderedPageBreak/>
        <w:t>燃料费、维修费、过路过桥费、保险费、安全奖励费用等支出；公务接待</w:t>
      </w:r>
      <w:proofErr w:type="gramStart"/>
      <w:r>
        <w:rPr>
          <w:rFonts w:ascii="方正仿宋_GBK" w:eastAsia="方正仿宋_GBK" w:hAnsi="宋体" w:cs="宋体" w:hint="eastAsia"/>
          <w:sz w:val="32"/>
          <w:szCs w:val="32"/>
        </w:rPr>
        <w:t>费反映</w:t>
      </w:r>
      <w:proofErr w:type="gramEnd"/>
      <w:r>
        <w:rPr>
          <w:rFonts w:ascii="方正仿宋_GBK" w:eastAsia="方正仿宋_GBK" w:hAnsi="宋体" w:cs="宋体" w:hint="eastAsia"/>
          <w:sz w:val="32"/>
          <w:szCs w:val="32"/>
        </w:rPr>
        <w:t>单位按规定开支的各类公务接待（含外宾接待）支出。</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（十四）工资福利支出（支出经济分类科目类级）：反映单位开支的在职职工和编制</w:t>
      </w:r>
      <w:proofErr w:type="gramStart"/>
      <w:r>
        <w:rPr>
          <w:rFonts w:ascii="方正仿宋_GBK" w:eastAsia="方正仿宋_GBK" w:hAnsi="宋体" w:cs="宋体" w:hint="eastAsia"/>
          <w:sz w:val="32"/>
          <w:szCs w:val="32"/>
        </w:rPr>
        <w:t>外长期</w:t>
      </w:r>
      <w:proofErr w:type="gramEnd"/>
      <w:r>
        <w:rPr>
          <w:rFonts w:ascii="方正仿宋_GBK" w:eastAsia="方正仿宋_GBK" w:hAnsi="宋体" w:cs="宋体" w:hint="eastAsia"/>
          <w:sz w:val="32"/>
          <w:szCs w:val="32"/>
        </w:rPr>
        <w:t>聘用人员的各类劳动报酬，以及为上述人员缴纳的各项社会保险费等。</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（十五）商品和服务支出（支出经济分类科目类级）：反映单位购买商品和服务的支出（不包括用于购置固定资产的支出、战略性和应急储备支出）。</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（十六）对个人和家庭的补助（支出经济分类科目类级）：反映用于对个人和家庭的补助支出。</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（十七）其他资本性支出（支出经济分类科目类级）：反映</w:t>
      </w:r>
      <w:proofErr w:type="gramStart"/>
      <w:r>
        <w:rPr>
          <w:rFonts w:ascii="方正仿宋_GBK" w:eastAsia="方正仿宋_GBK" w:hAnsi="宋体" w:cs="宋体" w:hint="eastAsia"/>
          <w:sz w:val="32"/>
          <w:szCs w:val="32"/>
        </w:rPr>
        <w:t>非各级</w:t>
      </w:r>
      <w:proofErr w:type="gramEnd"/>
      <w:r>
        <w:rPr>
          <w:rFonts w:ascii="方正仿宋_GBK" w:eastAsia="方正仿宋_GBK" w:hAnsi="宋体" w:cs="宋体" w:hint="eastAsia"/>
          <w:sz w:val="32"/>
          <w:szCs w:val="32"/>
        </w:rPr>
        <w:t>发展与改革部门集中安排的用于购置固定资产、</w:t>
      </w:r>
      <w:r>
        <w:rPr>
          <w:rFonts w:ascii="方正仿宋_GBK" w:eastAsia="方正仿宋_GBK" w:hAnsi="宋体" w:cs="宋体" w:hint="eastAsia"/>
          <w:sz w:val="32"/>
          <w:szCs w:val="32"/>
        </w:rPr>
        <w:lastRenderedPageBreak/>
        <w:t>战略性和应急性储备、土地和无形资产，以及构建基础设施、大型修缮和财政支持企业更新改造所发生的支出。</w:t>
      </w:r>
    </w:p>
    <w:p w:rsidR="00516308" w:rsidRDefault="00D57F80">
      <w:pPr>
        <w:pStyle w:val="a3"/>
        <w:widowControl/>
        <w:jc w:val="both"/>
        <w:rPr>
          <w:rFonts w:ascii="方正仿宋_GBK" w:eastAsia="方正仿宋_GBK" w:hAnsi="宋体" w:cs="宋体"/>
          <w:sz w:val="32"/>
          <w:szCs w:val="32"/>
        </w:rPr>
      </w:pPr>
      <w:r>
        <w:rPr>
          <w:rFonts w:ascii="方正仿宋_GBK" w:eastAsia="方正仿宋_GBK" w:hAnsi="宋体" w:cs="宋体" w:hint="eastAsia"/>
          <w:sz w:val="32"/>
          <w:szCs w:val="32"/>
        </w:rPr>
        <w:t>七、决算公开联系方式及信息反馈渠道</w:t>
      </w:r>
    </w:p>
    <w:p w:rsidR="00516308" w:rsidRDefault="00D57F80">
      <w:pPr>
        <w:pStyle w:val="a3"/>
        <w:widowControl/>
        <w:ind w:firstLineChars="200" w:firstLine="640"/>
        <w:jc w:val="both"/>
        <w:rPr>
          <w:rFonts w:ascii="方正仿宋_GBK" w:eastAsia="方正仿宋_GBK" w:hAnsi="宋体" w:cs="宋体"/>
          <w:sz w:val="32"/>
          <w:szCs w:val="32"/>
        </w:rPr>
      </w:pPr>
      <w:r>
        <w:rPr>
          <w:rFonts w:ascii="方正仿宋_GBK" w:eastAsia="方正仿宋_GBK" w:hAnsi="宋体" w:cs="宋体" w:hint="eastAsia"/>
          <w:sz w:val="32"/>
          <w:szCs w:val="32"/>
        </w:rPr>
        <w:t>本单位决算公开信息反馈和联系方式：55821012。</w:t>
      </w:r>
    </w:p>
    <w:p w:rsidR="00516308" w:rsidRDefault="00516308">
      <w:pPr>
        <w:pStyle w:val="a3"/>
        <w:widowControl/>
        <w:jc w:val="both"/>
        <w:rPr>
          <w:rFonts w:ascii="方正仿宋_GBK" w:eastAsia="方正仿宋_GBK" w:hAnsi="宋体" w:cs="宋体"/>
          <w:sz w:val="32"/>
          <w:szCs w:val="32"/>
        </w:rPr>
      </w:pPr>
    </w:p>
    <w:sectPr w:rsidR="00516308" w:rsidSect="005163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99B" w:rsidRDefault="0027199B" w:rsidP="0027199B">
      <w:r>
        <w:separator/>
      </w:r>
    </w:p>
  </w:endnote>
  <w:endnote w:type="continuationSeparator" w:id="1">
    <w:p w:rsidR="0027199B" w:rsidRDefault="0027199B" w:rsidP="0027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99B" w:rsidRDefault="0027199B" w:rsidP="0027199B">
      <w:r>
        <w:separator/>
      </w:r>
    </w:p>
  </w:footnote>
  <w:footnote w:type="continuationSeparator" w:id="1">
    <w:p w:rsidR="0027199B" w:rsidRDefault="0027199B" w:rsidP="00271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JhNmY1NjAyMzRiZjA1NjZjNzE2NTU4ZWEwNzc5YzYifQ=="/>
  </w:docVars>
  <w:rsids>
    <w:rsidRoot w:val="00516308"/>
    <w:rsid w:val="0027199B"/>
    <w:rsid w:val="0027540D"/>
    <w:rsid w:val="00516308"/>
    <w:rsid w:val="00B91D6A"/>
    <w:rsid w:val="00D57F80"/>
    <w:rsid w:val="00F62ACB"/>
    <w:rsid w:val="1F875FE6"/>
    <w:rsid w:val="2C0C054C"/>
    <w:rsid w:val="2DBF2D42"/>
    <w:rsid w:val="38743F04"/>
    <w:rsid w:val="4C4432E3"/>
    <w:rsid w:val="4FDE0212"/>
    <w:rsid w:val="52B0143D"/>
    <w:rsid w:val="5B6A2EC0"/>
    <w:rsid w:val="681C1CA9"/>
    <w:rsid w:val="722A4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30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6308"/>
    <w:pPr>
      <w:spacing w:beforeAutospacing="1" w:afterAutospacing="1"/>
      <w:jc w:val="left"/>
    </w:pPr>
    <w:rPr>
      <w:rFonts w:cs="Times New Roman"/>
      <w:kern w:val="0"/>
      <w:sz w:val="24"/>
    </w:rPr>
  </w:style>
  <w:style w:type="character" w:styleId="a4">
    <w:name w:val="Strong"/>
    <w:basedOn w:val="a0"/>
    <w:qFormat/>
    <w:rsid w:val="00516308"/>
    <w:rPr>
      <w:b/>
    </w:rPr>
  </w:style>
  <w:style w:type="paragraph" w:styleId="a5">
    <w:name w:val="header"/>
    <w:basedOn w:val="a"/>
    <w:link w:val="Char"/>
    <w:rsid w:val="00271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199B"/>
    <w:rPr>
      <w:rFonts w:asciiTheme="minorHAnsi" w:eastAsiaTheme="minorEastAsia" w:hAnsiTheme="minorHAnsi" w:cstheme="minorBidi"/>
      <w:kern w:val="2"/>
      <w:sz w:val="18"/>
      <w:szCs w:val="18"/>
    </w:rPr>
  </w:style>
  <w:style w:type="paragraph" w:styleId="a6">
    <w:name w:val="footer"/>
    <w:basedOn w:val="a"/>
    <w:link w:val="Char0"/>
    <w:rsid w:val="0027199B"/>
    <w:pPr>
      <w:tabs>
        <w:tab w:val="center" w:pos="4153"/>
        <w:tab w:val="right" w:pos="8306"/>
      </w:tabs>
      <w:snapToGrid w:val="0"/>
      <w:jc w:val="left"/>
    </w:pPr>
    <w:rPr>
      <w:sz w:val="18"/>
      <w:szCs w:val="18"/>
    </w:rPr>
  </w:style>
  <w:style w:type="character" w:customStyle="1" w:styleId="Char0">
    <w:name w:val="页脚 Char"/>
    <w:basedOn w:val="a0"/>
    <w:link w:val="a6"/>
    <w:rsid w:val="002719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3422</Words>
  <Characters>325</Characters>
  <Application>Microsoft Office Word</Application>
  <DocSecurity>0</DocSecurity>
  <Lines>2</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2023-10-23T07:50:00Z</cp:lastPrinted>
  <dcterms:created xsi:type="dcterms:W3CDTF">2023-10-19T11:22:00Z</dcterms:created>
  <dcterms:modified xsi:type="dcterms:W3CDTF">2023-10-23T07:53:00Z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A5ED5751399B4CD7ABD55BD31CC99A56_12</vt:lpwstr>
  </property>
</Properties>
</file>