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spacing w:afterLines="50"/>
        <w:ind w:firstLine="2200" w:firstLineChars="500"/>
        <w:jc w:val="both"/>
        <w:outlineLvl w:val="0"/>
        <w:rPr>
          <w:rFonts w:ascii="方正小标宋_GBK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重庆市城市管理执法</w:t>
      </w:r>
    </w:p>
    <w:p>
      <w:pPr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行政处罚决定书</w:t>
      </w:r>
    </w:p>
    <w:p>
      <w:pPr>
        <w:overflowPunct w:val="0"/>
        <w:snapToGrid w:val="0"/>
        <w:spacing w:afterLines="50"/>
        <w:jc w:val="right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渝（云）城罚决字〔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12号</w:t>
      </w:r>
    </w:p>
    <w:p>
      <w:pPr>
        <w:widowControl w:val="0"/>
        <w:overflowPunct w:val="0"/>
        <w:spacing w:line="520" w:lineRule="exact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重庆兆驰物流有限公司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widowControl w:val="0"/>
        <w:overflowPunct w:val="0"/>
        <w:spacing w:line="480" w:lineRule="exact"/>
        <w:jc w:val="both"/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统一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社会信用代码：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91500110MA5UCQ3RXG</w:t>
      </w:r>
    </w:p>
    <w:p>
      <w:pPr>
        <w:widowControl w:val="0"/>
        <w:overflowPunct w:val="0"/>
        <w:spacing w:line="480" w:lineRule="exact"/>
        <w:jc w:val="both"/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地址：重庆市万盛经开区翠屏路20号附4号5单元6-1</w:t>
      </w:r>
    </w:p>
    <w:p>
      <w:pPr>
        <w:widowControl w:val="0"/>
        <w:overflowPunct w:val="0"/>
        <w:spacing w:line="480" w:lineRule="exact"/>
        <w:jc w:val="both"/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法定代表人（负责人）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晏艳</w:t>
      </w:r>
    </w:p>
    <w:p>
      <w:pPr>
        <w:widowControl w:val="0"/>
        <w:overflowPunct w:val="0"/>
        <w:spacing w:line="480" w:lineRule="exact"/>
        <w:ind w:firstLine="56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你单位于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时15分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实施了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未经核准擅自处置建筑垃圾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方正仿宋_GBK" w:hAnsi="方正仿宋_GBK" w:eastAsia="方正仿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，违反了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《城市建筑垃圾管理规定》第七条第一款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，本机关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立案调查。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60" w:firstLineChars="200"/>
        <w:jc w:val="both"/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经查</w:t>
      </w:r>
      <w:r>
        <w:rPr>
          <w:rFonts w:hint="eastAsia" w:ascii="方正仿宋_GBK" w:hAnsi="方正仿宋_GBK" w:eastAsia="方正仿宋_GBK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明,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时15分</w:t>
      </w:r>
      <w:r>
        <w:rPr>
          <w:rFonts w:hint="eastAsia" w:ascii="方正仿宋_GBK" w:hAnsi="方正仿宋_GBK" w:eastAsia="方正仿宋_GBK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重庆兆驰物流有限公司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安排员工在未经核准的情况下，驾驶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车牌号为渝DF0625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、渝D5557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的重型自卸货车，在云阳县人和洗涤厂旁运输建筑垃圾。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60" w:firstLineChars="200"/>
        <w:jc w:val="both"/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上述事实，由以下证据证实：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6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971092058_WPSOffice_Level1"/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证据一：1、当事人重庆兆驰物流有限公司的营业执照、法人身份证明复印件材料一份；2、重庆兆驰物流有限公司出具的委托书一份；3、渝F0625车辆行驶证复印件、驾驶员身份证复印件、驾驶证复印件一份。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方正仿宋_GBK" w:hAnsi="方正仿宋_GBK" w:eastAsia="方正仿宋_GBK" w:cs="Times New Roman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重庆兆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驰物流有限公司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是本案适格当事人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bookmarkEnd w:id="0"/>
    </w:p>
    <w:p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bookmarkStart w:id="1" w:name="_Toc268501606_WPSOffice_Level1"/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证据二：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4、重庆兆驰物流有限公司委托代理人李孙覃于 2025年4月18日签字确认的《重庆市城市管理执法现场检查笔录》一份；5、云阳县城市管理局执法人员向双、丁永平于2025年4月18日拍摄的现场照片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份；6、重庆兆驰物流有限公司委托代理人李孙覃于2025年4月18日签字确认的《城市管理执法调查询问笔录》一份。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重庆兆驰物流有限公司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未经核准擅自处置建筑垃圾案的违法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行为属实</w:t>
      </w:r>
      <w:bookmarkEnd w:id="1"/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，本机关依法向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送达了《行政处罚事先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（听证）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告知书》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渝（云）城罚先告字〔202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12号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，告知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拟作出行政处罚决定的事实、理由、依据及内容，并告知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依法享有的权利。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自愿放弃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陈述、申辩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的权利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本机关认为，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未经核准擅自处置建筑垃圾 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《城市建筑垃圾管理规定》第七条第一款“处置建筑垃圾的单位，应当向城市人民政府市容环境卫生主管部门提出申请，获得城市建筑垃圾处置核准后，方可处置”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的规定，鉴于当事人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初次违反，积极配合调查处理，未造成较大影响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违法情节轻微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城市建筑垃圾管理规定》第二十五条第(一)项“违反本规定，有下列情形之一的，由城市人民政府市容环境卫生主管部门责令限期改正，给予警告，对施工单位处1万元以上10万元以下罚款，对建设单位、运输建筑垃圾的单位处5000元以上3万元以下罚款：(一)未经核准擅自处置建筑垃圾的”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的规定，参照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《重庆市城市管理行政处罚裁量权实施办法（市政公用设施、市容环境卫生、城市园林绿化、国旗管理执法）》 三、市容环境卫生管理部分第86项，裁量档次从轻：“初次违反，积极配合调查处理，及时整改，违法处置建筑垃圾1000立方米以下的，给予警告，对施工单位处以10000元以上37000元以下罚款，对建设单位、运输单位处以5000元以上12500元以下罚款”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对你（单位）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作出如下行政处罚：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hint="default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1.警告；</w:t>
      </w:r>
    </w:p>
    <w:p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2.罚款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10000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.00元整（大写：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壹万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元整)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你单位应当自收到本处罚决定书之日起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日内，持本决定书，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重庆农村商业银行云阳支行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（账号：3701010120260000017）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>
      <w:pPr>
        <w:widowControl w:val="0"/>
        <w:overflowPunct w:val="0"/>
        <w:adjustRightInd w:val="0"/>
        <w:snapToGrid w:val="0"/>
        <w:spacing w:line="520" w:lineRule="exact"/>
        <w:ind w:firstLine="560" w:firstLineChars="200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如不服本处罚决定，可以在收到本决定书之日起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日内向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云阳县人民政府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申请行政复议；也可以在收到本决定书之日起</w:t>
      </w:r>
      <w:r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个月内直接向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云阳县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人民法院起诉，但本决定不停止执行，法律另有规定的除外。逾期不申请行政复议、不提起行政诉讼又不履行的，本机关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申请人民法院强制执行或者依照有关规定强制执行。</w:t>
      </w:r>
    </w:p>
    <w:p>
      <w:pPr>
        <w:widowControl w:val="0"/>
        <w:overflowPunct w:val="0"/>
        <w:adjustRightInd w:val="0"/>
        <w:snapToGrid w:val="0"/>
        <w:spacing w:line="520" w:lineRule="exact"/>
        <w:ind w:right="28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 w:val="0"/>
        <w:overflowPunct w:val="0"/>
        <w:adjustRightInd w:val="0"/>
        <w:snapToGrid w:val="0"/>
        <w:spacing w:line="520" w:lineRule="exact"/>
        <w:ind w:right="28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 w:val="0"/>
        <w:wordWrap w:val="0"/>
        <w:overflowPunct w:val="0"/>
        <w:snapToGrid w:val="0"/>
        <w:spacing w:line="520" w:lineRule="exact"/>
        <w:ind w:right="630" w:rightChars="300" w:firstLine="560" w:firstLineChars="200"/>
        <w:jc w:val="right"/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云阳县城市管理局</w:t>
      </w:r>
    </w:p>
    <w:p>
      <w:pPr>
        <w:widowControl w:val="0"/>
        <w:wordWrap w:val="0"/>
        <w:overflowPunct w:val="0"/>
        <w:snapToGrid w:val="0"/>
        <w:spacing w:line="520" w:lineRule="exact"/>
        <w:ind w:right="630" w:rightChars="300" w:firstLine="560" w:firstLineChars="200"/>
        <w:jc w:val="right"/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方正仿宋_GBK" w:hAnsi="方正仿宋_GBK" w:eastAsia="方正仿宋_GBK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widowControl w:val="0"/>
        <w:overflowPunct w:val="0"/>
        <w:spacing w:line="520" w:lineRule="exact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 w:val="0"/>
        <w:overflowPunct w:val="0"/>
        <w:spacing w:line="520" w:lineRule="exact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 w:val="0"/>
        <w:overflowPunct w:val="0"/>
        <w:spacing w:line="520" w:lineRule="exact"/>
        <w:jc w:val="both"/>
        <w:rPr>
          <w:rFonts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 系 人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丁永平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55166878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widowControl w:val="0"/>
        <w:overflowPunct w:val="0"/>
        <w:spacing w:line="520" w:lineRule="exact"/>
        <w:jc w:val="both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云阳县民德路2号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F13CF"/>
    <w:rsid w:val="197F13CF"/>
    <w:rsid w:val="34783227"/>
    <w:rsid w:val="622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2025-04-25T00:42:00Z</dcterms:created>
  <dc:creator>王思琪</dc:creator>
  <cp:lastModifiedBy>王思琪</cp:lastModifiedBy>
  <dcterms:modified xsi:type="dcterms:W3CDTF">2025-04-27T08:21:01Z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