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D370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165B1791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28FF0FEA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eastAsia="zh-CN"/>
        </w:rPr>
        <w:t>〔2025〕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eastAsia="zh-CN"/>
        </w:rPr>
        <w:t>号</w:t>
      </w:r>
    </w:p>
    <w:p w14:paraId="4E6153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</w:p>
    <w:p w14:paraId="3A305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5002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**********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8190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</w:p>
    <w:p w14:paraId="795421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重庆市云阳县伴江路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194号3单元2-4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</w:t>
      </w:r>
    </w:p>
    <w:p w14:paraId="3BAF3A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13B55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20时15分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51820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在云阳县迎宾大道曙光停车场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运输建筑垃圾，该车城市建筑垃圾处置核准证的运输路线为黄岭工业区-外环大道-云阳数智森林小镇北侧产业园内部道路弃土场，均不经过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迎宾大道曙光停车场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</w:t>
      </w:r>
    </w:p>
    <w:p w14:paraId="3F2D8E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 w14:paraId="7B974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1、当事人</w:t>
      </w:r>
      <w:bookmarkStart w:id="1" w:name="OLE_LINK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行驶证复印件各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一份（已核实与原件相符）</w:t>
      </w:r>
      <w:bookmarkEnd w:id="0"/>
      <w:bookmarkStart w:id="2" w:name="_Toc268501606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签字确认的《城市管理执法调查询问笔录》一份，该组证据证明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34C649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</w:t>
      </w:r>
      <w:bookmarkEnd w:id="2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张尧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邹建鹏、向小平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拍摄的现场照片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张尧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按照批准的路线清运建筑垃圾的</w:t>
      </w:r>
      <w:r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违法行为属实。   </w:t>
      </w:r>
    </w:p>
    <w:p w14:paraId="73A51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本机关依法向你送达了《行政处罚事先告知书》（渝云城罚先告字〔2025〕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号），告知你拟作出行政处罚决定的事实、理由、依据及内容，并告知你依法享有的权利。你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放弃了陈述和申辩的权利。</w:t>
      </w:r>
    </w:p>
    <w:p w14:paraId="1FE8F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20时15分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驾驶车牌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为渝D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51820的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重型自卸式货车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云阳县迎宾大道曙光停车场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的行为，违反了《重庆市市容环境卫生管理条例》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未按照批准的时间、路线清运，或未在指定的地点倾倒的，对机动车所有人或者驾驶人处二千元以上二万元以下罚款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”的规定，鉴于当事人积极配合调查、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责令改正后立即按规定的路线清运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危害后果轻微，符合《重庆市规范行政处罚裁量权办法》第十四条第一款第（七）项“当事人有下列情形之一的，应当从轻或者减轻行政处罚：（七）主动中止违法行为，且危害后果轻微的”从轻处罚的规定，根据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“未按照批准的时间、路线清运，或未在指定的地点倾倒的，对机动车所有人或者驾驶人处二千元以上二万元以下罚款”的规定，对你作出如下行政处罚：</w:t>
      </w:r>
    </w:p>
    <w:p w14:paraId="781326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3ADAC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473023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。</w:t>
      </w:r>
    </w:p>
    <w:p w14:paraId="6B9F88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</w:p>
    <w:p w14:paraId="49B8FF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</w:p>
    <w:p w14:paraId="7D3AE9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3A3773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日</w:t>
      </w:r>
    </w:p>
    <w:p w14:paraId="09D8C07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62A4E87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0F05B99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722A124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2020AE07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邹健鹏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云阳县民德路2号</w:t>
      </w:r>
    </w:p>
    <w:p w14:paraId="06FF1740">
      <w:pPr>
        <w:widowControl w:val="0"/>
        <w:overflowPunct w:val="0"/>
        <w:spacing w:line="520" w:lineRule="exact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023-81736011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</w:p>
    <w:p w14:paraId="21336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E5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0503E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0503E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F6649"/>
    <w:rsid w:val="37EC57C1"/>
    <w:rsid w:val="66E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1384</Characters>
  <Lines>0</Lines>
  <Paragraphs>0</Paragraphs>
  <TotalTime>5</TotalTime>
  <ScaleCrop>false</ScaleCrop>
  <LinksUpToDate>false</LinksUpToDate>
  <CharactersWithSpaces>1543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2025-03-28T07:02:00Z</dcterms:created>
  <dc:creator>Administrator</dc:creator>
  <cp:lastModifiedBy>是柠檬蜂蜜柚子茶呀</cp:lastModifiedBy>
  <cp:lastPrinted>2025-03-28T08:33:00Z</cp:lastPrinted>
  <dcterms:modified xsi:type="dcterms:W3CDTF">2025-03-31T01:15:17Z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7B317AD2B19C4A32B38A19405A5756B8_12</vt:lpwstr>
  </property>
</Properties>
</file>