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1" w:rightFromText="181" w:horzAnchor="margin" w:tblpXSpec="center" w:tblpYSpec="top"/>
        <w:tblW w:w="9035" w:type="dxa"/>
        <w:jc w:val="center"/>
        <w:tblLayout w:type="fixed"/>
        <w:tblCellMar>
          <w:top w:w="0" w:type="dxa"/>
          <w:left w:w="108" w:type="dxa"/>
          <w:bottom w:w="0" w:type="dxa"/>
          <w:right w:w="108" w:type="dxa"/>
        </w:tblCellMar>
      </w:tblPr>
      <w:tblGrid>
        <w:gridCol w:w="9035"/>
      </w:tblGrid>
      <w:tr>
        <w:tblPrEx>
          <w:tblCellMar>
            <w:top w:w="0" w:type="dxa"/>
            <w:left w:w="108" w:type="dxa"/>
            <w:bottom w:w="0" w:type="dxa"/>
            <w:right w:w="108" w:type="dxa"/>
          </w:tblCellMar>
        </w:tblPrEx>
        <w:trPr>
          <w:trHeight w:val="601" w:hRule="atLeast"/>
          <w:jc w:val="center"/>
        </w:trPr>
        <w:tc>
          <w:tcPr>
            <w:tcW w:w="9035" w:type="dxa"/>
            <w:noWrap w:val="0"/>
            <w:vAlign w:val="top"/>
          </w:tcPr>
          <w:p>
            <w:pPr>
              <w:spacing w:line="500" w:lineRule="exact"/>
              <w:jc w:val="center"/>
              <w:rPr>
                <w:rFonts w:hint="default" w:ascii="Times New Roman" w:hAnsi="Times New Roman" w:cs="Times New Roman"/>
                <w:szCs w:val="32"/>
              </w:rPr>
            </w:pPr>
          </w:p>
        </w:tc>
      </w:tr>
      <w:tr>
        <w:tblPrEx>
          <w:tblCellMar>
            <w:top w:w="0" w:type="dxa"/>
            <w:left w:w="108" w:type="dxa"/>
            <w:bottom w:w="0" w:type="dxa"/>
            <w:right w:w="108" w:type="dxa"/>
          </w:tblCellMar>
        </w:tblPrEx>
        <w:trPr>
          <w:trHeight w:val="601" w:hRule="atLeast"/>
          <w:jc w:val="center"/>
        </w:trPr>
        <w:tc>
          <w:tcPr>
            <w:tcW w:w="9035" w:type="dxa"/>
            <w:noWrap w:val="0"/>
            <w:vAlign w:val="top"/>
          </w:tcPr>
          <w:p>
            <w:pPr>
              <w:spacing w:line="500" w:lineRule="exact"/>
              <w:jc w:val="center"/>
              <w:rPr>
                <w:rFonts w:hint="default" w:ascii="Times New Roman" w:hAnsi="Times New Roman" w:eastAsia="方正黑体_GBK" w:cs="Times New Roman"/>
                <w:szCs w:val="32"/>
              </w:rPr>
            </w:pPr>
          </w:p>
        </w:tc>
      </w:tr>
      <w:tr>
        <w:tblPrEx>
          <w:tblCellMar>
            <w:top w:w="0" w:type="dxa"/>
            <w:left w:w="108" w:type="dxa"/>
            <w:bottom w:w="0" w:type="dxa"/>
            <w:right w:w="108" w:type="dxa"/>
          </w:tblCellMar>
        </w:tblPrEx>
        <w:trPr>
          <w:trHeight w:val="703" w:hRule="exact"/>
          <w:jc w:val="center"/>
        </w:trPr>
        <w:tc>
          <w:tcPr>
            <w:tcW w:w="9035" w:type="dxa"/>
            <w:noWrap w:val="0"/>
            <w:vAlign w:val="center"/>
          </w:tcPr>
          <w:p>
            <w:pPr>
              <w:jc w:val="center"/>
              <w:rPr>
                <w:rFonts w:hint="default" w:ascii="Times New Roman" w:hAnsi="Times New Roman" w:eastAsia="方正小标宋简体" w:cs="Times New Roman"/>
                <w:color w:val="FF0000"/>
                <w:w w:val="80"/>
              </w:rPr>
            </w:pPr>
          </w:p>
        </w:tc>
      </w:tr>
      <w:tr>
        <w:tblPrEx>
          <w:tblCellMar>
            <w:top w:w="0" w:type="dxa"/>
            <w:left w:w="108" w:type="dxa"/>
            <w:bottom w:w="0" w:type="dxa"/>
            <w:right w:w="108" w:type="dxa"/>
          </w:tblCellMar>
        </w:tblPrEx>
        <w:trPr>
          <w:trHeight w:val="2313" w:hRule="exact"/>
          <w:jc w:val="center"/>
        </w:trPr>
        <w:tc>
          <w:tcPr>
            <w:tcW w:w="9035" w:type="dxa"/>
            <w:noWrap w:val="0"/>
            <w:vAlign w:val="center"/>
          </w:tcPr>
          <w:p>
            <w:pPr>
              <w:jc w:val="center"/>
              <w:rPr>
                <w:rFonts w:hint="default" w:ascii="Times New Roman" w:hAnsi="Times New Roman" w:eastAsia="方正小标宋_GBK" w:cs="Times New Roman"/>
                <w:b/>
                <w:color w:val="FF0000"/>
                <w:w w:val="80"/>
                <w:sz w:val="130"/>
                <w:szCs w:val="130"/>
                <w:lang w:val="en" w:eastAsia="zh-CN"/>
              </w:rPr>
            </w:pPr>
          </w:p>
        </w:tc>
      </w:tr>
      <w:tr>
        <w:tblPrEx>
          <w:tblCellMar>
            <w:top w:w="0" w:type="dxa"/>
            <w:left w:w="108" w:type="dxa"/>
            <w:bottom w:w="0" w:type="dxa"/>
            <w:right w:w="108" w:type="dxa"/>
          </w:tblCellMar>
        </w:tblPrEx>
        <w:trPr>
          <w:trHeight w:val="601" w:hRule="exact"/>
          <w:jc w:val="center"/>
        </w:trPr>
        <w:tc>
          <w:tcPr>
            <w:tcW w:w="9035" w:type="dxa"/>
            <w:noWrap w:val="0"/>
            <w:vAlign w:val="bottom"/>
          </w:tcPr>
          <w:p>
            <w:pPr>
              <w:spacing w:line="580" w:lineRule="exact"/>
              <w:jc w:val="center"/>
              <w:rPr>
                <w:rFonts w:hint="default" w:ascii="Times New Roman" w:hAnsi="Times New Roman" w:eastAsia="方正仿宋_GBK" w:cs="Times New Roman"/>
                <w:snapToGrid w:val="0"/>
                <w:kern w:val="0"/>
                <w:sz w:val="32"/>
                <w:szCs w:val="32"/>
                <w:lang w:eastAsia="zh-CN"/>
              </w:rPr>
            </w:pPr>
            <w:r>
              <w:rPr>
                <w:rFonts w:hint="default" w:ascii="Times New Roman" w:hAnsi="Times New Roman" w:eastAsia="方正仿宋_GBK" w:cs="Times New Roman"/>
                <w:sz w:val="32"/>
                <w:szCs w:val="32"/>
              </w:rPr>
              <w:t>耀灵府发〔2023〕</w:t>
            </w:r>
            <w:r>
              <w:rPr>
                <w:rFonts w:hint="default" w:ascii="Times New Roman" w:hAnsi="Times New Roman" w:cs="Times New Roman"/>
                <w:sz w:val="32"/>
                <w:szCs w:val="32"/>
                <w:lang w:val="en-US" w:eastAsia="zh-CN"/>
              </w:rPr>
              <w:t>8</w:t>
            </w:r>
            <w:r>
              <w:rPr>
                <w:rFonts w:hint="default" w:ascii="Times New Roman" w:hAnsi="Times New Roman" w:eastAsia="方正仿宋_GBK" w:cs="Times New Roman"/>
                <w:sz w:val="32"/>
                <w:szCs w:val="32"/>
              </w:rPr>
              <w:t>号</w:t>
            </w:r>
          </w:p>
          <w:p>
            <w:pPr>
              <w:spacing w:line="500" w:lineRule="exact"/>
              <w:jc w:val="center"/>
              <w:rPr>
                <w:rFonts w:hint="default" w:ascii="Times New Roman" w:hAnsi="Times New Roman" w:cs="Times New Roman"/>
                <w:sz w:val="52"/>
                <w:szCs w:val="52"/>
              </w:rPr>
            </w:pPr>
          </w:p>
        </w:tc>
      </w:tr>
    </w:tbl>
    <w:p>
      <w:pPr>
        <w:spacing w:line="600" w:lineRule="exact"/>
        <w:jc w:val="both"/>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云阳县耀灵镇人民政府</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关于征收污水处理费和垃圾处置费的</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公</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告</w:t>
      </w:r>
    </w:p>
    <w:p>
      <w:pPr>
        <w:spacing w:line="600" w:lineRule="exact"/>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cs="Times New Roman"/>
        </w:rPr>
      </w:pPr>
      <w:r>
        <w:rPr>
          <w:rFonts w:hint="default" w:ascii="Times New Roman" w:hAnsi="Times New Roman" w:cs="Times New Roman"/>
        </w:rPr>
        <w:t>耀灵镇各企事业单位、场镇居民：</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rPr>
      </w:pPr>
      <w:r>
        <w:rPr>
          <w:rFonts w:hint="default" w:ascii="Times New Roman" w:hAnsi="Times New Roman" w:cs="Times New Roman"/>
        </w:rPr>
        <w:t xml:space="preserve">为进一步规范场镇管理，营造良好的场镇环境，根据《云阳县发展和改革委员会 云阳县财政局关于云阳县污水处理费和垃圾处置费收费标准的通知》（云发改价〔2017〕592号）精神，经镇党委、政府研究通过，现就耀灵场镇污水处置费和垃圾处理费征收有关事宜通告如下： </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eastAsia="方正黑体_GBK" w:cs="Times New Roman"/>
        </w:rPr>
      </w:pPr>
      <w:r>
        <w:rPr>
          <w:rFonts w:hint="default" w:ascii="Times New Roman" w:hAnsi="Times New Roman" w:eastAsia="方正黑体_GBK" w:cs="Times New Roman"/>
        </w:rPr>
        <w:t>一、征收范围</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rPr>
      </w:pPr>
      <w:r>
        <w:rPr>
          <w:rFonts w:hint="default" w:ascii="Times New Roman" w:hAnsi="Times New Roman" w:cs="Times New Roman"/>
        </w:rPr>
        <w:t>耀灵场镇所有企事业单位、居民住户（以自来水开户单位/住户为准）。</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eastAsia="方正黑体_GBK" w:cs="Times New Roman"/>
          <w:b/>
        </w:rPr>
      </w:pPr>
      <w:r>
        <w:rPr>
          <w:rFonts w:hint="default" w:ascii="Times New Roman" w:hAnsi="Times New Roman" w:eastAsia="方正黑体_GBK" w:cs="Times New Roman"/>
          <w:b/>
        </w:rPr>
        <w:t>二、征收标准</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eastAsia="方正楷体_GBK" w:cs="Times New Roman"/>
        </w:rPr>
      </w:pPr>
      <w:r>
        <w:rPr>
          <w:rFonts w:hint="default" w:ascii="Times New Roman" w:hAnsi="Times New Roman" w:eastAsia="方正楷体_GBK" w:cs="Times New Roman"/>
        </w:rPr>
        <w:t>1.污水处理费收费标准</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842"/>
        <w:gridCol w:w="3402"/>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c>
          <w:tcPr>
            <w:tcW w:w="18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类别</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征收对象</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收费标准</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计量方法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居民用水污水处理费</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场镇居民住户、学校。</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1.00元/立方米</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以单位/住户实际用水量计算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非居民用水污水处理费</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企事业单位、医疗机构、其他经营性活动单位。</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1.30元/立方米</w:t>
            </w:r>
          </w:p>
        </w:tc>
        <w:tc>
          <w:tcPr>
            <w:tcW w:w="1559"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eastAsia="方正楷体_GBK" w:cs="Times New Roman"/>
        </w:rPr>
      </w:pPr>
      <w:r>
        <w:rPr>
          <w:rFonts w:hint="default" w:ascii="Times New Roman" w:hAnsi="Times New Roman" w:eastAsia="方正楷体_GBK" w:cs="Times New Roman"/>
        </w:rPr>
        <w:t>2.垃圾处置费收费标准</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701"/>
        <w:gridCol w:w="283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c>
          <w:tcPr>
            <w:tcW w:w="453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征收对象</w:t>
            </w:r>
          </w:p>
        </w:tc>
        <w:tc>
          <w:tcPr>
            <w:tcW w:w="38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场镇居民住户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一次性缴费优惠户</w:t>
            </w:r>
          </w:p>
        </w:tc>
        <w:tc>
          <w:tcPr>
            <w:tcW w:w="38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6.4元/月X12个月X80%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按月缴费户</w:t>
            </w:r>
          </w:p>
        </w:tc>
        <w:tc>
          <w:tcPr>
            <w:tcW w:w="38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6.4元/月/户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w:t>
            </w:r>
          </w:p>
        </w:tc>
        <w:tc>
          <w:tcPr>
            <w:tcW w:w="453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63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大型商超</w:t>
            </w:r>
            <w:r>
              <w:rPr>
                <w:rFonts w:hint="default" w:ascii="Times New Roman" w:hAnsi="Times New Roman" w:cs="Times New Roman"/>
                <w:sz w:val="28"/>
                <w:szCs w:val="28"/>
                <w:lang w:eastAsia="zh-CN"/>
              </w:rPr>
              <w:t>、商业门店</w:t>
            </w:r>
            <w:r>
              <w:rPr>
                <w:rFonts w:hint="default" w:ascii="Times New Roman" w:hAnsi="Times New Roman" w:cs="Times New Roman"/>
                <w:sz w:val="28"/>
                <w:szCs w:val="28"/>
              </w:rPr>
              <w:t>等。</w:t>
            </w:r>
          </w:p>
        </w:tc>
        <w:tc>
          <w:tcPr>
            <w:tcW w:w="3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63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按经营面积和从业人数单独征收</w:t>
            </w:r>
          </w:p>
        </w:tc>
      </w:tr>
    </w:tbl>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lang w:val="en-US" w:eastAsia="zh-CN"/>
        </w:rPr>
      </w:pPr>
      <w:r>
        <w:rPr>
          <w:rFonts w:hint="default" w:ascii="Times New Roman" w:hAnsi="Times New Roman" w:cs="Times New Roman"/>
          <w:lang w:eastAsia="zh-CN"/>
        </w:rPr>
        <w:t>备注：经营面积</w:t>
      </w:r>
      <w:r>
        <w:rPr>
          <w:rFonts w:hint="default" w:ascii="Times New Roman" w:hAnsi="Times New Roman" w:cs="Times New Roman"/>
          <w:lang w:val="en-US" w:eastAsia="zh-CN"/>
        </w:rPr>
        <w:t>200m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以下，0.44元/m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/月；</w:t>
      </w:r>
      <w:r>
        <w:rPr>
          <w:rFonts w:hint="default" w:ascii="Times New Roman" w:hAnsi="Times New Roman" w:cs="Times New Roman"/>
          <w:lang w:eastAsia="zh-CN"/>
        </w:rPr>
        <w:t>经营面积</w:t>
      </w:r>
      <w:r>
        <w:rPr>
          <w:rFonts w:hint="default" w:ascii="Times New Roman" w:hAnsi="Times New Roman" w:cs="Times New Roman"/>
          <w:lang w:val="en-US" w:eastAsia="zh-CN"/>
        </w:rPr>
        <w:t>200m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-500m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，0.40元/m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/月；</w:t>
      </w:r>
      <w:r>
        <w:rPr>
          <w:rFonts w:hint="default" w:ascii="Times New Roman" w:hAnsi="Times New Roman" w:cs="Times New Roman"/>
          <w:lang w:eastAsia="zh-CN"/>
        </w:rPr>
        <w:t>经营面积</w:t>
      </w:r>
      <w:r>
        <w:rPr>
          <w:rFonts w:hint="default" w:ascii="Times New Roman" w:hAnsi="Times New Roman" w:cs="Times New Roman"/>
          <w:lang w:val="en-US" w:eastAsia="zh-CN"/>
        </w:rPr>
        <w:t>500m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-1000m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，0.36元/m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/月；</w:t>
      </w:r>
      <w:r>
        <w:rPr>
          <w:rFonts w:hint="default" w:ascii="Times New Roman" w:hAnsi="Times New Roman" w:cs="Times New Roman"/>
          <w:lang w:eastAsia="zh-CN"/>
        </w:rPr>
        <w:t>经营面积</w:t>
      </w:r>
      <w:r>
        <w:rPr>
          <w:rFonts w:hint="default" w:ascii="Times New Roman" w:hAnsi="Times New Roman" w:cs="Times New Roman"/>
          <w:lang w:val="en-US" w:eastAsia="zh-CN"/>
        </w:rPr>
        <w:t>1000m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以上，0.32元/m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/月。</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eastAsia="方正黑体_GBK" w:cs="Times New Roman"/>
        </w:rPr>
      </w:pPr>
      <w:r>
        <w:rPr>
          <w:rFonts w:hint="default" w:ascii="Times New Roman" w:hAnsi="Times New Roman" w:eastAsia="方正黑体_GBK" w:cs="Times New Roman"/>
        </w:rPr>
        <w:t>三、缴费方式</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rPr>
      </w:pPr>
      <w:r>
        <w:rPr>
          <w:rFonts w:hint="default" w:ascii="Times New Roman" w:hAnsi="Times New Roman" w:cs="Times New Roman"/>
        </w:rPr>
        <w:t>场镇污水处理费和垃圾处置费由云阳县宏源水利开发有限责任公司代收，各单位、居民于每双月与水费一并缴纳。缴费地址：耀灵场镇老大桥电信门市收费处。大型商超</w:t>
      </w:r>
      <w:r>
        <w:rPr>
          <w:rFonts w:hint="default" w:ascii="Times New Roman" w:hAnsi="Times New Roman" w:cs="Times New Roman"/>
          <w:lang w:eastAsia="zh-CN"/>
        </w:rPr>
        <w:t>、商业门店</w:t>
      </w:r>
      <w:r>
        <w:rPr>
          <w:rFonts w:hint="default" w:ascii="Times New Roman" w:hAnsi="Times New Roman" w:cs="Times New Roman"/>
        </w:rPr>
        <w:t>等垃圾处置费由大兴社区另外单独征收。</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eastAsia="方正黑体_GBK" w:cs="Times New Roman"/>
        </w:rPr>
      </w:pPr>
      <w:r>
        <w:rPr>
          <w:rFonts w:hint="default" w:ascii="Times New Roman" w:hAnsi="Times New Roman" w:eastAsia="方正黑体_GBK" w:cs="Times New Roman"/>
        </w:rPr>
        <w:t>四、资金管理</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rPr>
      </w:pPr>
      <w:r>
        <w:rPr>
          <w:rFonts w:hint="default" w:ascii="Times New Roman" w:hAnsi="Times New Roman" w:cs="Times New Roman"/>
        </w:rPr>
        <w:t>污水处理费和垃圾处置费属于政府非税收入，由派送单位和个人缴纳，资金上缴地方国库，专项用于城镇污水处理设施建设、运行和污泥处置，垃圾转运、处置，以及代征手续费支出。</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eastAsia="方正黑体_GBK" w:cs="Times New Roman"/>
        </w:rPr>
      </w:pPr>
      <w:r>
        <w:rPr>
          <w:rFonts w:hint="default" w:ascii="Times New Roman" w:hAnsi="Times New Roman" w:eastAsia="方正黑体_GBK" w:cs="Times New Roman"/>
        </w:rPr>
        <w:t>五、执行时间</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rPr>
      </w:pPr>
      <w:r>
        <w:rPr>
          <w:rFonts w:hint="default" w:ascii="Times New Roman" w:hAnsi="Times New Roman" w:cs="Times New Roman"/>
        </w:rPr>
        <w:t>场镇污水处理费从2023年3月1日起执行；垃圾处置费从2023年1月1日起执行。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cs="Times New Roman"/>
        </w:rPr>
      </w:pPr>
      <w:r>
        <w:rPr>
          <w:rFonts w:hint="default" w:ascii="Times New Roman" w:hAnsi="Times New Roman" w:cs="Times New Roman"/>
        </w:rPr>
        <w:t>咨询电话：耀灵镇人民政府：023-55338001</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rPr>
      </w:pPr>
      <w:r>
        <w:rPr>
          <w:rFonts w:hint="default" w:ascii="Times New Roman" w:hAnsi="Times New Roman" w:cs="Times New Roman"/>
        </w:rPr>
        <w:t xml:space="preserve">          大</w:t>
      </w:r>
      <w:r>
        <w:rPr>
          <w:rFonts w:hint="default" w:ascii="Times New Roman" w:hAnsi="Times New Roman" w:cs="Times New Roman"/>
          <w:lang w:val="en-US" w:eastAsia="zh-CN"/>
        </w:rPr>
        <w:t xml:space="preserve">  </w:t>
      </w:r>
      <w:r>
        <w:rPr>
          <w:rFonts w:hint="default" w:ascii="Times New Roman" w:hAnsi="Times New Roman" w:cs="Times New Roman"/>
        </w:rPr>
        <w:t>兴</w:t>
      </w:r>
      <w:r>
        <w:rPr>
          <w:rFonts w:hint="default" w:ascii="Times New Roman" w:hAnsi="Times New Roman" w:cs="Times New Roman"/>
          <w:lang w:val="en-US" w:eastAsia="zh-CN"/>
        </w:rPr>
        <w:t xml:space="preserve">  </w:t>
      </w:r>
      <w:r>
        <w:rPr>
          <w:rFonts w:hint="default" w:ascii="Times New Roman" w:hAnsi="Times New Roman" w:cs="Times New Roman"/>
        </w:rPr>
        <w:t>社</w:t>
      </w:r>
      <w:r>
        <w:rPr>
          <w:rFonts w:hint="default" w:ascii="Times New Roman" w:hAnsi="Times New Roman" w:cs="Times New Roman"/>
          <w:lang w:val="en-US" w:eastAsia="zh-CN"/>
        </w:rPr>
        <w:t xml:space="preserve">  </w:t>
      </w:r>
      <w:r>
        <w:rPr>
          <w:rFonts w:hint="default" w:ascii="Times New Roman" w:hAnsi="Times New Roman" w:cs="Times New Roman"/>
        </w:rPr>
        <w:t>区：023-55338369</w:t>
      </w:r>
    </w:p>
    <w:p>
      <w:pPr>
        <w:keepNext w:val="0"/>
        <w:keepLines w:val="0"/>
        <w:pageBreakBefore w:val="0"/>
        <w:widowControl w:val="0"/>
        <w:kinsoku/>
        <w:wordWrap/>
        <w:overflowPunct/>
        <w:topLinePunct w:val="0"/>
        <w:autoSpaceDE/>
        <w:autoSpaceDN/>
        <w:bidi w:val="0"/>
        <w:adjustRightInd/>
        <w:snapToGrid/>
        <w:spacing w:line="594" w:lineRule="exact"/>
        <w:ind w:firstLine="630"/>
        <w:jc w:val="left"/>
        <w:textAlignment w:val="auto"/>
        <w:rPr>
          <w:rFonts w:hint="default" w:ascii="Times New Roman" w:hAnsi="Times New Roman" w:cs="Times New Roman"/>
        </w:rPr>
      </w:pPr>
      <w:r>
        <w:rPr>
          <w:rFonts w:hint="default" w:ascii="Times New Roman" w:hAnsi="Times New Roman" w:cs="Times New Roman"/>
        </w:rPr>
        <w:t xml:space="preserve">          收</w:t>
      </w:r>
      <w:r>
        <w:rPr>
          <w:rFonts w:hint="default" w:ascii="Times New Roman" w:hAnsi="Times New Roman" w:cs="Times New Roman"/>
          <w:lang w:val="en-US" w:eastAsia="zh-CN"/>
        </w:rPr>
        <w:t xml:space="preserve">    </w:t>
      </w:r>
      <w:r>
        <w:rPr>
          <w:rFonts w:hint="default" w:ascii="Times New Roman" w:hAnsi="Times New Roman" w:cs="Times New Roman"/>
        </w:rPr>
        <w:t>费</w:t>
      </w:r>
      <w:r>
        <w:rPr>
          <w:rFonts w:hint="default" w:ascii="Times New Roman" w:hAnsi="Times New Roman" w:cs="Times New Roman"/>
          <w:lang w:val="en-US" w:eastAsia="zh-CN"/>
        </w:rPr>
        <w:t xml:space="preserve">    </w:t>
      </w:r>
      <w:r>
        <w:rPr>
          <w:rFonts w:hint="default" w:ascii="Times New Roman" w:hAnsi="Times New Roman" w:cs="Times New Roman"/>
        </w:rPr>
        <w:t>处：18182337466（宏源公司）</w:t>
      </w:r>
    </w:p>
    <w:p>
      <w:pPr>
        <w:spacing w:line="600" w:lineRule="exact"/>
        <w:jc w:val="right"/>
        <w:rPr>
          <w:rFonts w:hint="default" w:ascii="Times New Roman" w:hAnsi="Times New Roman" w:cs="Times New Roman"/>
          <w:lang w:eastAsia="zh-CN"/>
        </w:rPr>
      </w:pPr>
    </w:p>
    <w:p>
      <w:pPr>
        <w:spacing w:line="600" w:lineRule="exact"/>
        <w:jc w:val="right"/>
        <w:rPr>
          <w:rFonts w:hint="default" w:ascii="Times New Roman" w:hAnsi="Times New Roman" w:cs="Times New Roman"/>
        </w:rPr>
      </w:pPr>
      <w:r>
        <w:rPr>
          <w:rFonts w:hint="default" w:ascii="Times New Roman" w:hAnsi="Times New Roman" w:cs="Times New Roman"/>
          <w:lang w:eastAsia="zh-CN"/>
        </w:rPr>
        <w:t>云阳县</w:t>
      </w:r>
      <w:r>
        <w:rPr>
          <w:rFonts w:hint="default" w:ascii="Times New Roman" w:hAnsi="Times New Roman" w:cs="Times New Roman"/>
        </w:rPr>
        <w:t>耀灵镇人民政府</w:t>
      </w:r>
    </w:p>
    <w:p>
      <w:pPr>
        <w:wordWrap w:val="0"/>
        <w:spacing w:line="600" w:lineRule="exact"/>
        <w:ind w:firstLine="5440" w:firstLineChars="1700"/>
        <w:jc w:val="right"/>
        <w:rPr>
          <w:rFonts w:hint="default" w:ascii="Times New Roman" w:hAnsi="Times New Roman" w:cs="Times New Roman"/>
          <w:lang w:val="en-US" w:eastAsia="zh-CN"/>
        </w:rPr>
      </w:pPr>
      <w:r>
        <w:rPr>
          <w:rFonts w:hint="default" w:ascii="Times New Roman" w:hAnsi="Times New Roman" w:cs="Times New Roman"/>
        </w:rPr>
        <w:t>2023年3月2</w:t>
      </w:r>
      <w:r>
        <w:rPr>
          <w:rFonts w:hint="default" w:ascii="Times New Roman" w:hAnsi="Times New Roman" w:cs="Times New Roman"/>
          <w:lang w:val="en-US" w:eastAsia="zh-CN"/>
        </w:rPr>
        <w:t>4</w:t>
      </w:r>
      <w:r>
        <w:rPr>
          <w:rFonts w:hint="default" w:ascii="Times New Roman" w:hAnsi="Times New Roman" w:cs="Times New Roman"/>
        </w:rPr>
        <w:t>日</w:t>
      </w:r>
      <w:r>
        <w:rPr>
          <w:rFonts w:hint="default" w:ascii="Times New Roman" w:hAnsi="Times New Roman" w:cs="Times New Roman"/>
          <w:lang w:val="en-US" w:eastAsia="zh-CN"/>
        </w:rPr>
        <w:t xml:space="preserve">  </w:t>
      </w:r>
    </w:p>
    <w:p>
      <w:pPr>
        <w:pStyle w:val="2"/>
        <w:wordWrap/>
        <w:rPr>
          <w:rFonts w:hint="default" w:ascii="Times New Roman" w:hAnsi="Times New Roman" w:cs="Times New Roman"/>
          <w:lang w:val="en-US" w:eastAsia="zh-CN"/>
        </w:rPr>
      </w:pPr>
    </w:p>
    <w:p>
      <w:pPr>
        <w:pStyle w:val="3"/>
        <w:rPr>
          <w:rFonts w:hint="default"/>
          <w:lang w:val="en-US" w:eastAsia="zh-CN"/>
        </w:rPr>
      </w:pPr>
    </w:p>
    <w:p>
      <w:pPr>
        <w:keepNext w:val="0"/>
        <w:keepLines w:val="0"/>
        <w:widowControl/>
        <w:suppressLineNumbers w:val="0"/>
        <w:ind w:firstLine="630" w:firstLineChars="200"/>
        <w:jc w:val="left"/>
      </w:pPr>
      <w:r>
        <w:rPr>
          <w:rFonts w:ascii="sans-serif" w:hAnsi="sans-serif" w:eastAsia="sans-serif" w:cs="sans-serif"/>
          <w:i w:val="0"/>
          <w:caps w:val="0"/>
          <w:color w:val="000000"/>
          <w:spacing w:val="0"/>
          <w:kern w:val="0"/>
          <w:sz w:val="31"/>
          <w:szCs w:val="31"/>
          <w:lang w:val="en-US" w:eastAsia="zh-CN" w:bidi="ar"/>
        </w:rPr>
        <w:t>(此文件公开发布）</w:t>
      </w: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cs="Times New Roman"/>
          <w:lang w:val="en-US" w:eastAsia="zh-CN"/>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p>
    <w:p>
      <w:pPr>
        <w:pStyle w:val="2"/>
        <w:rPr>
          <w:rFonts w:hint="default" w:ascii="Times New Roman" w:hAnsi="Times New Roman" w:eastAsia="方正仿宋_GBK" w:cs="Times New Roman"/>
          <w:kern w:val="2"/>
          <w:sz w:val="28"/>
          <w:szCs w:val="28"/>
          <w:lang w:val="en-US" w:eastAsia="zh-CN" w:bidi="ar-SA"/>
        </w:rPr>
      </w:pPr>
    </w:p>
    <w:p>
      <w:pPr>
        <w:pStyle w:val="3"/>
        <w:rPr>
          <w:rFonts w:hint="default" w:ascii="Times New Roman" w:hAnsi="Times New Roman" w:eastAsia="方正仿宋_GBK" w:cs="Times New Roman"/>
          <w:kern w:val="2"/>
          <w:sz w:val="28"/>
          <w:szCs w:val="28"/>
          <w:lang w:val="en-US" w:eastAsia="zh-CN" w:bidi="ar-SA"/>
        </w:rPr>
      </w:pPr>
    </w:p>
    <w:p>
      <w:pPr>
        <w:rPr>
          <w:rFonts w:hint="default" w:ascii="Times New Roman" w:hAnsi="Times New Roman" w:eastAsia="方正仿宋_GBK" w:cs="Times New Roman"/>
          <w:kern w:val="2"/>
          <w:sz w:val="28"/>
          <w:szCs w:val="28"/>
          <w:lang w:val="en-US" w:eastAsia="zh-CN" w:bidi="ar-SA"/>
        </w:rPr>
      </w:pPr>
      <w:bookmarkStart w:id="0" w:name="_GoBack"/>
      <w:bookmarkEnd w:id="0"/>
    </w:p>
    <w:p>
      <w:pPr>
        <w:pStyle w:val="2"/>
        <w:rPr>
          <w:rFonts w:hint="default" w:ascii="Times New Roman" w:hAnsi="Times New Roman" w:eastAsia="方正仿宋_GBK" w:cs="Times New Roman"/>
          <w:kern w:val="2"/>
          <w:sz w:val="28"/>
          <w:szCs w:val="28"/>
          <w:lang w:val="en-US" w:eastAsia="zh-CN" w:bidi="ar-SA"/>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before="0" w:beforeLines="0" w:after="0" w:afterLines="0" w:line="578" w:lineRule="exact"/>
        <w:ind w:left="0" w:leftChars="0" w:right="0" w:rightChars="0" w:firstLine="280" w:firstLineChars="100"/>
        <w:jc w:val="both"/>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sz w:val="28"/>
          <w:szCs w:val="28"/>
          <w:lang w:val="en-US" w:eastAsia="zh-CN"/>
        </w:rPr>
        <w:t xml:space="preserve">云阳县耀灵镇党政办公室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cs="Times New Roman"/>
          <w:sz w:val="28"/>
          <w:szCs w:val="28"/>
          <w:lang w:val="en-US" w:eastAsia="zh-CN"/>
        </w:rPr>
        <w:t>2023</w:t>
      </w:r>
      <w:r>
        <w:rPr>
          <w:rFonts w:hint="default" w:ascii="Times New Roman" w:hAnsi="Times New Roman" w:eastAsia="方正仿宋_GBK" w:cs="Times New Roman"/>
          <w:sz w:val="28"/>
          <w:szCs w:val="28"/>
          <w:lang w:val="en-US" w:eastAsia="zh-CN"/>
        </w:rPr>
        <w:t>年3月2</w:t>
      </w:r>
      <w:r>
        <w:rPr>
          <w:rFonts w:hint="default" w:ascii="Times New Roman" w:hAnsi="Times New Roman" w:cs="Times New Roman"/>
          <w:sz w:val="28"/>
          <w:szCs w:val="28"/>
          <w:lang w:val="en-US" w:eastAsia="zh-CN"/>
        </w:rPr>
        <w:t>4</w:t>
      </w:r>
      <w:r>
        <w:rPr>
          <w:rFonts w:hint="default" w:ascii="Times New Roman" w:hAnsi="Times New Roman" w:eastAsia="方正仿宋_GBK" w:cs="Times New Roman"/>
          <w:sz w:val="28"/>
          <w:szCs w:val="28"/>
          <w:lang w:val="en-US" w:eastAsia="zh-CN"/>
        </w:rPr>
        <w:t>日印发</w:t>
      </w:r>
    </w:p>
    <w:sectPr>
      <w:footerReference r:id="rId3" w:type="default"/>
      <w:pgSz w:w="11906" w:h="16838"/>
      <w:pgMar w:top="1984" w:right="1446" w:bottom="1531"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-204470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5628640" y="9724390"/>
                        <a:ext cx="1828800" cy="1828800"/>
                      </a:xfrm>
                      <a:prstGeom prst="rect">
                        <a:avLst/>
                      </a:prstGeom>
                      <a:noFill/>
                      <a:ln>
                        <a:noFill/>
                      </a:ln>
                      <a:effectLst/>
                    </wps:spPr>
                    <wps:txbx>
                      <w:txbxContent>
                        <w:p>
                          <w:pPr>
                            <w:pStyle w:val="2"/>
                            <w:ind w:right="280"/>
                            <w:jc w:val="right"/>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方正仿宋_GBK" w:hAnsi="方正仿宋_GBK" w:eastAsia="方正仿宋_GBK" w:cs="方正仿宋_GBK"/>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16.1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iTixf1QAAAAgBAAAPAAAAAAAA&#10;AAEAIAAAADgAAABkcnMvZG93bnJldi54bWxQSwECFAAUAAAACACHTuJAJkrKW8YBAABsAwAADgAA&#10;AAAAAAABACAAAAA6AQAAZHJzL2Uyb0RvYy54bWxQSwUGAAAAAAYABgBZAQAAcgUAAAAA&#10;">
              <v:fill on="f" focussize="0,0"/>
              <v:stroke on="f"/>
              <v:imagedata o:title=""/>
              <o:lock v:ext="edit" aspectratio="f"/>
              <v:textbox inset="0mm,0mm,0mm,0mm" style="mso-fit-shape-to-text:t;">
                <w:txbxContent>
                  <w:p>
                    <w:pPr>
                      <w:pStyle w:val="2"/>
                      <w:ind w:right="280"/>
                      <w:jc w:val="right"/>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方正仿宋_GBK" w:hAnsi="方正仿宋_GBK" w:eastAsia="方正仿宋_GBK" w:cs="方正仿宋_GBK"/>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MGNmZmIxZWYxMTg3ZTVjY2VmZDkzZTE0MjYxMTMifQ=="/>
  </w:docVars>
  <w:rsids>
    <w:rsidRoot w:val="005D11FC"/>
    <w:rsid w:val="0004350D"/>
    <w:rsid w:val="00404D3D"/>
    <w:rsid w:val="0046303F"/>
    <w:rsid w:val="004945AF"/>
    <w:rsid w:val="0055655B"/>
    <w:rsid w:val="005D11FC"/>
    <w:rsid w:val="00773756"/>
    <w:rsid w:val="00A30E7C"/>
    <w:rsid w:val="00AF752F"/>
    <w:rsid w:val="00C73314"/>
    <w:rsid w:val="00C8592A"/>
    <w:rsid w:val="00D16A4D"/>
    <w:rsid w:val="00D179A6"/>
    <w:rsid w:val="00D54AA0"/>
    <w:rsid w:val="00E27090"/>
    <w:rsid w:val="00E9180F"/>
    <w:rsid w:val="00F2479B"/>
    <w:rsid w:val="02A977FE"/>
    <w:rsid w:val="201E3AF0"/>
    <w:rsid w:val="29EA4833"/>
    <w:rsid w:val="3CCF5047"/>
    <w:rsid w:val="6C010858"/>
    <w:rsid w:val="E9FFC2C3"/>
    <w:rsid w:val="FF738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方正仿宋_GBK"/>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1"/>
    <w:unhideWhenUsed/>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next w:val="5"/>
    <w:qFormat/>
    <w:uiPriority w:val="0"/>
    <w:pPr>
      <w:spacing w:before="0" w:after="140" w:line="276" w:lineRule="auto"/>
    </w:pPr>
  </w:style>
  <w:style w:type="paragraph" w:styleId="5">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713</Words>
  <Characters>831</Characters>
  <Lines>5</Lines>
  <Paragraphs>1</Paragraphs>
  <TotalTime>1</TotalTime>
  <ScaleCrop>false</ScaleCrop>
  <LinksUpToDate>false</LinksUpToDate>
  <CharactersWithSpaces>859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2023-03-20T05:01:00Z</dcterms:created>
  <dc:creator>acer</dc:creator>
  <cp:lastModifiedBy>user</cp:lastModifiedBy>
  <cp:lastPrinted>2023-03-24T18:55:00Z</cp:lastPrinted>
  <dcterms:modified xsi:type="dcterms:W3CDTF">2023-12-06T16:29:53Z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9D7F934960444751AB380A766FAD6A56</vt:lpwstr>
  </property>
</Properties>
</file>