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jc w:val="center"/>
        <w:rPr>
          <w:rFonts w:eastAsia="方正仿宋_GBK"/>
          <w:sz w:val="32"/>
          <w:szCs w:val="32"/>
        </w:rPr>
      </w:pPr>
      <w:r>
        <w:rPr>
          <w:rFonts w:eastAsia="方正仿宋_GBK"/>
          <w:sz w:val="32"/>
          <w:szCs w:val="32"/>
        </w:rPr>
        <w:t>桑坪府发〔2023〕</w:t>
      </w:r>
      <w:r>
        <w:rPr>
          <w:rFonts w:hint="eastAsia" w:eastAsia="方正仿宋_GBK"/>
          <w:sz w:val="32"/>
          <w:szCs w:val="32"/>
        </w:rPr>
        <w:t>17</w:t>
      </w:r>
      <w:r>
        <w:rPr>
          <w:rFonts w:eastAsia="方正仿宋_GBK"/>
          <w:sz w:val="32"/>
          <w:szCs w:val="32"/>
        </w:rPr>
        <w:t>号</w:t>
      </w:r>
    </w:p>
    <w:p>
      <w:pPr>
        <w:spacing w:line="580" w:lineRule="exact"/>
        <w:rPr>
          <w:rFonts w:eastAsia="方正仿宋_GBK"/>
          <w:sz w:val="32"/>
          <w:szCs w:val="32"/>
        </w:rPr>
      </w:pPr>
    </w:p>
    <w:p>
      <w:pPr>
        <w:spacing w:line="580" w:lineRule="exact"/>
        <w:rPr>
          <w:rFonts w:eastAsia="方正仿宋_GBK"/>
          <w:sz w:val="32"/>
          <w:szCs w:val="32"/>
        </w:rPr>
      </w:pPr>
    </w:p>
    <w:p>
      <w:pPr>
        <w:pStyle w:val="9"/>
        <w:adjustRightInd w:val="0"/>
        <w:snapToGrid w:val="0"/>
        <w:spacing w:before="0" w:beforeAutospacing="0" w:after="0" w:afterAutospacing="0" w:line="72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云阳县桑坪镇人民政府</w:t>
      </w:r>
    </w:p>
    <w:p>
      <w:pPr>
        <w:pStyle w:val="9"/>
        <w:adjustRightInd w:val="0"/>
        <w:snapToGrid w:val="0"/>
        <w:spacing w:before="0" w:beforeAutospacing="0" w:after="0" w:afterAutospacing="0" w:line="72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关于深化烟花爆竹安全</w:t>
      </w:r>
      <w:r>
        <w:rPr>
          <w:rFonts w:ascii="Times New Roman" w:hAnsi="Times New Roman" w:eastAsia="方正小标宋_GBK" w:cs="Times New Roman"/>
          <w:sz w:val="44"/>
          <w:szCs w:val="44"/>
        </w:rPr>
        <w:t>生产</w:t>
      </w:r>
      <w:r>
        <w:rPr>
          <w:rFonts w:hint="eastAsia" w:ascii="Times New Roman" w:hAnsi="Times New Roman" w:eastAsia="方正小标宋_GBK" w:cs="Times New Roman"/>
          <w:sz w:val="44"/>
          <w:szCs w:val="44"/>
        </w:rPr>
        <w:t>大排查大整治</w:t>
      </w:r>
    </w:p>
    <w:p>
      <w:pPr>
        <w:pStyle w:val="9"/>
        <w:adjustRightInd w:val="0"/>
        <w:snapToGrid w:val="0"/>
        <w:spacing w:before="0" w:beforeAutospacing="0" w:after="0" w:afterAutospacing="0" w:line="72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大执法工作的通知</w:t>
      </w:r>
      <w:bookmarkStart w:id="0" w:name="_GoBack"/>
      <w:bookmarkEnd w:id="0"/>
    </w:p>
    <w:p>
      <w:pPr>
        <w:spacing w:line="578" w:lineRule="exact"/>
        <w:ind w:firstLine="640" w:firstLineChars="200"/>
        <w:jc w:val="left"/>
        <w:rPr>
          <w:rFonts w:eastAsia="方正仿宋_GBK"/>
          <w:sz w:val="32"/>
          <w:szCs w:val="32"/>
        </w:rPr>
      </w:pPr>
    </w:p>
    <w:p>
      <w:pPr>
        <w:spacing w:line="578" w:lineRule="exact"/>
        <w:jc w:val="left"/>
        <w:rPr>
          <w:rFonts w:eastAsia="方正仿宋_GBK"/>
          <w:sz w:val="32"/>
          <w:szCs w:val="32"/>
        </w:rPr>
      </w:pPr>
      <w:r>
        <w:rPr>
          <w:rFonts w:eastAsia="方正仿宋_GBK"/>
          <w:sz w:val="32"/>
          <w:szCs w:val="32"/>
        </w:rPr>
        <w:t>各村（社区）、机关各科室（室、中心、站、所）：</w:t>
      </w:r>
    </w:p>
    <w:p>
      <w:pPr>
        <w:spacing w:line="578" w:lineRule="exact"/>
        <w:ind w:firstLine="640" w:firstLineChars="200"/>
        <w:jc w:val="left"/>
        <w:rPr>
          <w:rFonts w:eastAsia="方正仿宋_GBK"/>
          <w:sz w:val="32"/>
          <w:szCs w:val="32"/>
        </w:rPr>
      </w:pPr>
      <w:r>
        <w:rPr>
          <w:rFonts w:eastAsia="方正仿宋_GBK"/>
          <w:sz w:val="32"/>
          <w:szCs w:val="32"/>
        </w:rPr>
        <w:t>为持续深化烟花爆竹安全专项整治，防范化解重大安全风险，深刻吸取湖南省醴陵市“7·11”烟花爆竹爆炸事故教训，举一反三，加强监管、确保安全，按照云阳县应急局《关于深化烟花爆竹安全生产大排查大整治大执法工作的通知》（云阳应急发〔2023〕26号）文件要求，结合我镇实际，现就开展我镇深化烟花爆竹安全生产大排查大整治大执法工作有关事项通知如下。</w:t>
      </w:r>
    </w:p>
    <w:p>
      <w:pPr>
        <w:spacing w:line="578" w:lineRule="exact"/>
        <w:ind w:firstLine="640" w:firstLineChars="200"/>
        <w:jc w:val="left"/>
        <w:rPr>
          <w:rFonts w:eastAsia="方正黑体_GBK"/>
          <w:sz w:val="32"/>
          <w:szCs w:val="32"/>
        </w:rPr>
      </w:pPr>
      <w:r>
        <w:rPr>
          <w:rFonts w:eastAsia="方正黑体_GBK"/>
          <w:sz w:val="32"/>
          <w:szCs w:val="32"/>
        </w:rPr>
        <w:t>一、总体要求</w:t>
      </w:r>
    </w:p>
    <w:p>
      <w:pPr>
        <w:spacing w:line="578" w:lineRule="exact"/>
        <w:ind w:firstLine="640" w:firstLineChars="200"/>
        <w:jc w:val="left"/>
        <w:rPr>
          <w:rFonts w:eastAsia="方正仿宋_GBK"/>
          <w:sz w:val="32"/>
          <w:szCs w:val="32"/>
        </w:rPr>
      </w:pPr>
      <w:r>
        <w:rPr>
          <w:rFonts w:eastAsia="方正仿宋_GBK"/>
          <w:sz w:val="32"/>
          <w:szCs w:val="32"/>
        </w:rPr>
        <w:t>牢牢把握习近平新时代中国特色社会主义思想对安全生产工作的新理念、新要求，坚持问题导向、目标导向，坚持严格打表、做实做细，依照相关安全生产法律法规，全面核查及确认烟花爆竹批发、零售经营单位安全生产条件，强化监管、严格执法，坚决做到不符合安全生产条件不许可，不满足法律法规要求不经营，违法违规行为必打击、严处罚，督促企业进一步落实安全生产主体责任，全面加强风险管控和隐患治理，有效防范事故，切实维护人民群众生命财产安全。</w:t>
      </w:r>
    </w:p>
    <w:p>
      <w:pPr>
        <w:spacing w:line="578" w:lineRule="exact"/>
        <w:ind w:firstLine="640" w:firstLineChars="200"/>
        <w:jc w:val="left"/>
        <w:rPr>
          <w:rFonts w:eastAsia="方正黑体_GBK"/>
          <w:sz w:val="32"/>
          <w:szCs w:val="32"/>
        </w:rPr>
      </w:pPr>
      <w:r>
        <w:rPr>
          <w:rFonts w:eastAsia="方正黑体_GBK"/>
          <w:sz w:val="32"/>
          <w:szCs w:val="32"/>
        </w:rPr>
        <w:t>二、工作范围和时间安排</w:t>
      </w:r>
    </w:p>
    <w:p>
      <w:pPr>
        <w:spacing w:line="578" w:lineRule="exact"/>
        <w:ind w:firstLine="640" w:firstLineChars="200"/>
        <w:jc w:val="left"/>
        <w:rPr>
          <w:rFonts w:eastAsia="方正仿宋_GBK"/>
          <w:sz w:val="32"/>
          <w:szCs w:val="32"/>
        </w:rPr>
      </w:pPr>
      <w:r>
        <w:rPr>
          <w:rFonts w:eastAsia="方正仿宋_GBK"/>
          <w:sz w:val="32"/>
          <w:szCs w:val="32"/>
        </w:rPr>
        <w:t>工作范围：全镇烟花爆竹零售店（点）。</w:t>
      </w:r>
    </w:p>
    <w:p>
      <w:pPr>
        <w:spacing w:line="578" w:lineRule="exact"/>
        <w:ind w:firstLine="640" w:firstLineChars="200"/>
        <w:jc w:val="left"/>
        <w:rPr>
          <w:rFonts w:eastAsia="方正仿宋_GBK"/>
          <w:sz w:val="32"/>
          <w:szCs w:val="32"/>
        </w:rPr>
      </w:pPr>
      <w:r>
        <w:rPr>
          <w:rFonts w:eastAsia="方正仿宋_GBK"/>
          <w:sz w:val="32"/>
          <w:szCs w:val="32"/>
        </w:rPr>
        <w:t>时间安排：自即日起至9月30日。</w:t>
      </w:r>
    </w:p>
    <w:p>
      <w:pPr>
        <w:spacing w:line="578" w:lineRule="exact"/>
        <w:ind w:firstLine="640" w:firstLineChars="200"/>
        <w:jc w:val="left"/>
        <w:rPr>
          <w:rFonts w:eastAsia="方正黑体_GBK"/>
          <w:sz w:val="32"/>
          <w:szCs w:val="32"/>
        </w:rPr>
      </w:pPr>
      <w:r>
        <w:rPr>
          <w:rFonts w:eastAsia="方正黑体_GBK"/>
          <w:sz w:val="32"/>
          <w:szCs w:val="32"/>
        </w:rPr>
        <w:t>三、重点内容</w:t>
      </w:r>
    </w:p>
    <w:p>
      <w:pPr>
        <w:spacing w:line="578" w:lineRule="exact"/>
        <w:ind w:firstLine="640" w:firstLineChars="200"/>
        <w:jc w:val="left"/>
        <w:rPr>
          <w:rFonts w:eastAsia="方正仿宋_GBK"/>
          <w:sz w:val="32"/>
          <w:szCs w:val="32"/>
        </w:rPr>
      </w:pPr>
      <w:r>
        <w:rPr>
          <w:rFonts w:eastAsia="方正仿宋_GBK"/>
          <w:sz w:val="32"/>
          <w:szCs w:val="32"/>
        </w:rPr>
        <w:t>对照《烟花爆竹零售店（点）安全技术规范》（AQ4128-2019），全面排查清理整治不符合安全条件设置、违规违法经营问题，重点整治烟花爆竹零售店（点）与居民楼设置在同一建筑物内及异地经营的问题。</w:t>
      </w:r>
    </w:p>
    <w:p>
      <w:pPr>
        <w:spacing w:line="578" w:lineRule="exact"/>
        <w:ind w:firstLine="640" w:firstLineChars="200"/>
        <w:jc w:val="left"/>
        <w:rPr>
          <w:rFonts w:eastAsia="方正黑体_GBK"/>
          <w:sz w:val="32"/>
          <w:szCs w:val="32"/>
        </w:rPr>
      </w:pPr>
      <w:r>
        <w:rPr>
          <w:rFonts w:eastAsia="方正黑体_GBK"/>
          <w:sz w:val="32"/>
          <w:szCs w:val="32"/>
        </w:rPr>
        <w:t>四、保障措施</w:t>
      </w:r>
    </w:p>
    <w:p>
      <w:pPr>
        <w:spacing w:line="578" w:lineRule="exact"/>
        <w:ind w:firstLine="640" w:firstLineChars="200"/>
        <w:jc w:val="left"/>
        <w:rPr>
          <w:rFonts w:eastAsia="方正楷体_GBK"/>
          <w:sz w:val="32"/>
          <w:szCs w:val="32"/>
        </w:rPr>
      </w:pPr>
      <w:r>
        <w:rPr>
          <w:rFonts w:eastAsia="方正楷体_GBK"/>
          <w:sz w:val="32"/>
          <w:szCs w:val="32"/>
        </w:rPr>
        <w:t>（一）加强培训，全面学习新规定新要求。</w:t>
      </w:r>
    </w:p>
    <w:p>
      <w:pPr>
        <w:spacing w:line="578" w:lineRule="exact"/>
        <w:ind w:firstLine="640" w:firstLineChars="200"/>
        <w:jc w:val="left"/>
        <w:rPr>
          <w:rFonts w:eastAsia="方正仿宋_GBK"/>
          <w:sz w:val="32"/>
          <w:szCs w:val="32"/>
        </w:rPr>
      </w:pPr>
      <w:r>
        <w:rPr>
          <w:rFonts w:eastAsia="方正仿宋_GBK"/>
          <w:sz w:val="32"/>
          <w:szCs w:val="32"/>
        </w:rPr>
        <w:t>应急办要以各种有效途径和形式，要求企业认真学习《安全生产法》《烟花爆竹生产经营安全规定》（国家安全监管总局令第93号）、《烟花爆竹工程设计安全标准》（GB50161-2022）、《烟花爆竹零售店(点)安全技术规范》（AQ4128-2019）、《烟花爆竹生产经营单位重大生产安全事故隐患判定标准（试行）》（应急总管三〔2017〕121号）、《运用烟花爆竹经营（批发）企业视频监控数据执法操作指南》（渝应急发〔2022〕82号）、《重庆市烟花爆竹零售店（点）安全生产标准化等级评定细则及监督检查清单（试行）》（渝应急发〔2022〕79号）等法律法规、安全标准、规范性文件，加强宣传，形成深化排查整治的舆论氛围。</w:t>
      </w:r>
    </w:p>
    <w:p>
      <w:pPr>
        <w:spacing w:line="578" w:lineRule="exact"/>
        <w:ind w:firstLine="640" w:firstLineChars="200"/>
        <w:jc w:val="left"/>
        <w:rPr>
          <w:rFonts w:eastAsia="方正楷体_GBK"/>
          <w:sz w:val="32"/>
          <w:szCs w:val="32"/>
        </w:rPr>
      </w:pPr>
      <w:r>
        <w:rPr>
          <w:rFonts w:eastAsia="方正楷体_GBK"/>
          <w:sz w:val="32"/>
          <w:szCs w:val="32"/>
        </w:rPr>
        <w:t>（二）对标对表，企业全面自查整改隐患。</w:t>
      </w:r>
    </w:p>
    <w:p>
      <w:pPr>
        <w:spacing w:line="578" w:lineRule="exact"/>
        <w:ind w:firstLine="640" w:firstLineChars="200"/>
        <w:jc w:val="left"/>
        <w:rPr>
          <w:rFonts w:eastAsia="方正仿宋_GBK"/>
          <w:sz w:val="32"/>
          <w:szCs w:val="32"/>
        </w:rPr>
      </w:pPr>
      <w:r>
        <w:rPr>
          <w:rFonts w:eastAsia="方正仿宋_GBK"/>
          <w:sz w:val="32"/>
          <w:szCs w:val="32"/>
        </w:rPr>
        <w:t>各企业组织安全管理人员和专业技术人员，对照相关法律法规和规范标准，逐一排查企业布局设置、装置设施、制度建设、人员培训教育等方面存在的问题和隐患，特别是属于“三严禁”（烟花爆竹零售店严禁销售超标、违禁、专业燃放类产品或非法产品；严禁在许可证载明的经营场所外存放烟花爆竹；严禁超许可证载明限量存放烟花爆竹）、“两关闭”（关闭存在“下店上宅”、“前店后宅”等形式与居民居住场所设置在同一建筑物内的零售店；关闭与人员密集场所和重点建筑物安全距离不足、集中连片经营、在超市内销售、未按规定专店销售的零售店）、“九不准”（装卸工不准无证上岗；不准擅自关闭视频监控系统；不准无关人员和车辆进入库区；不准非专用车辆到仓库提货；不准销售未经流向系统登记的产品；没有仓库不准许可；仓库不准一库多证；仓库不准承包经营；监管部门不准参与企业划片经营）范围及重大事故隐患（包括但不限于特种作业人员未持证上岗）的，要主动整改、限期销号，应急办要督促企业对标对表开展安全隐患自查整改工作。</w:t>
      </w:r>
    </w:p>
    <w:p>
      <w:pPr>
        <w:spacing w:line="578" w:lineRule="exact"/>
        <w:ind w:firstLine="640" w:firstLineChars="200"/>
        <w:jc w:val="left"/>
        <w:rPr>
          <w:rFonts w:eastAsia="方正楷体_GBK"/>
          <w:sz w:val="32"/>
          <w:szCs w:val="32"/>
        </w:rPr>
      </w:pPr>
      <w:r>
        <w:rPr>
          <w:rFonts w:eastAsia="方正楷体_GBK"/>
          <w:sz w:val="32"/>
          <w:szCs w:val="32"/>
        </w:rPr>
        <w:t>（三）严格执法，全面复核企业安全条件。</w:t>
      </w:r>
    </w:p>
    <w:p>
      <w:pPr>
        <w:spacing w:line="578" w:lineRule="exact"/>
        <w:ind w:firstLine="640" w:firstLineChars="200"/>
        <w:jc w:val="left"/>
        <w:rPr>
          <w:rFonts w:eastAsia="方正仿宋_GBK"/>
          <w:sz w:val="32"/>
          <w:szCs w:val="32"/>
        </w:rPr>
      </w:pPr>
      <w:r>
        <w:rPr>
          <w:rFonts w:eastAsia="方正仿宋_GBK"/>
          <w:sz w:val="32"/>
          <w:szCs w:val="32"/>
        </w:rPr>
        <w:t>应急办要对辖区企业集中复核安全生产条件，对许可情况进行清理规范，对发现的问题，要严格执法，依法处罚。尤其是对不符合安全条件且整治后仍达不到要求的，要立即将具体情况报送县应急局，依法吊销《烟花爆竹经营（批发）许可证》《烟花爆竹经营（零售）许可证》。</w:t>
      </w:r>
    </w:p>
    <w:p>
      <w:pPr>
        <w:spacing w:line="578" w:lineRule="exact"/>
        <w:ind w:firstLine="640" w:firstLineChars="200"/>
        <w:jc w:val="left"/>
        <w:rPr>
          <w:rFonts w:eastAsia="方正黑体_GBK"/>
          <w:sz w:val="32"/>
          <w:szCs w:val="32"/>
        </w:rPr>
      </w:pPr>
      <w:r>
        <w:rPr>
          <w:rFonts w:eastAsia="方正黑体_GBK"/>
          <w:sz w:val="32"/>
          <w:szCs w:val="32"/>
        </w:rPr>
        <w:t>五、相关要求</w:t>
      </w:r>
    </w:p>
    <w:p>
      <w:pPr>
        <w:spacing w:line="578" w:lineRule="exact"/>
        <w:ind w:firstLine="640" w:firstLineChars="200"/>
        <w:jc w:val="left"/>
        <w:rPr>
          <w:rFonts w:eastAsia="方正仿宋_GBK"/>
          <w:sz w:val="32"/>
          <w:szCs w:val="32"/>
        </w:rPr>
      </w:pPr>
      <w:r>
        <w:rPr>
          <w:rFonts w:eastAsia="方正仿宋_GBK"/>
          <w:sz w:val="32"/>
          <w:szCs w:val="32"/>
        </w:rPr>
        <w:t>请行业分管领导及相关科室务必高度重视，切实把烟花爆竹经营安全专项治理作为当前重点任务，扎实推进大排查大整治大执法工作，做到责任落实到位、措施执行到位、隐患整治到位，坚决防止形式主义，确保取得实效。</w:t>
      </w:r>
    </w:p>
    <w:p>
      <w:pPr>
        <w:spacing w:line="578" w:lineRule="exact"/>
        <w:ind w:firstLine="640" w:firstLineChars="200"/>
        <w:jc w:val="left"/>
        <w:rPr>
          <w:rFonts w:eastAsia="方正仿宋_GBK"/>
          <w:sz w:val="32"/>
          <w:szCs w:val="32"/>
        </w:rPr>
      </w:pPr>
    </w:p>
    <w:p>
      <w:pPr>
        <w:spacing w:line="578" w:lineRule="exact"/>
        <w:ind w:firstLine="640" w:firstLineChars="200"/>
        <w:jc w:val="left"/>
        <w:rPr>
          <w:rFonts w:eastAsia="方正仿宋_GBK"/>
          <w:sz w:val="32"/>
          <w:szCs w:val="32"/>
        </w:rPr>
      </w:pPr>
      <w:r>
        <w:rPr>
          <w:rFonts w:eastAsia="方正仿宋_GBK"/>
          <w:sz w:val="32"/>
          <w:szCs w:val="32"/>
        </w:rPr>
        <w:t>附件：烟花爆竹零售店（点）安全风险隐患排查表</w:t>
      </w:r>
    </w:p>
    <w:p>
      <w:pPr>
        <w:spacing w:line="578" w:lineRule="exact"/>
        <w:jc w:val="left"/>
        <w:rPr>
          <w:rFonts w:eastAsia="方正仿宋_GBK"/>
          <w:sz w:val="32"/>
          <w:szCs w:val="32"/>
        </w:rPr>
      </w:pPr>
    </w:p>
    <w:p>
      <w:pPr>
        <w:spacing w:line="578" w:lineRule="exact"/>
        <w:jc w:val="left"/>
        <w:rPr>
          <w:rFonts w:eastAsia="方正仿宋_GBK"/>
          <w:sz w:val="32"/>
          <w:szCs w:val="32"/>
        </w:rPr>
      </w:pPr>
    </w:p>
    <w:p>
      <w:pPr>
        <w:spacing w:line="578" w:lineRule="exact"/>
        <w:rPr>
          <w:rFonts w:eastAsia="方正仿宋_GBK"/>
          <w:sz w:val="32"/>
          <w:szCs w:val="32"/>
        </w:rPr>
      </w:pPr>
      <w:r>
        <w:rPr>
          <w:rFonts w:eastAsia="方正仿宋_GBK"/>
          <w:sz w:val="32"/>
          <w:szCs w:val="32"/>
        </w:rPr>
        <w:t xml:space="preserve">                             云阳县桑坪镇人民政府</w:t>
      </w:r>
    </w:p>
    <w:p>
      <w:pPr>
        <w:spacing w:line="578" w:lineRule="exact"/>
        <w:rPr>
          <w:rFonts w:eastAsia="方正仿宋_GBK"/>
          <w:sz w:val="32"/>
          <w:szCs w:val="32"/>
        </w:rPr>
      </w:pPr>
      <w:r>
        <w:rPr>
          <w:rFonts w:eastAsia="方正仿宋_GBK"/>
          <w:sz w:val="32"/>
          <w:szCs w:val="32"/>
        </w:rPr>
        <w:t xml:space="preserve">                                2023年</w:t>
      </w:r>
      <w:r>
        <w:rPr>
          <w:rFonts w:hint="eastAsia" w:eastAsia="方正仿宋_GBK"/>
          <w:sz w:val="32"/>
          <w:szCs w:val="32"/>
          <w:lang w:val="en-US" w:eastAsia="zh-CN"/>
        </w:rPr>
        <w:t>8</w:t>
      </w:r>
      <w:r>
        <w:rPr>
          <w:rFonts w:eastAsia="方正仿宋_GBK"/>
          <w:sz w:val="32"/>
          <w:szCs w:val="32"/>
        </w:rPr>
        <w:t>月</w:t>
      </w:r>
      <w:r>
        <w:rPr>
          <w:rFonts w:hint="eastAsia" w:eastAsia="方正仿宋_GBK"/>
          <w:sz w:val="32"/>
          <w:szCs w:val="32"/>
          <w:lang w:val="en-US" w:eastAsia="zh-CN"/>
        </w:rPr>
        <w:t>16</w:t>
      </w:r>
      <w:r>
        <w:rPr>
          <w:rFonts w:eastAsia="方正仿宋_GBK"/>
          <w:sz w:val="32"/>
          <w:szCs w:val="32"/>
        </w:rPr>
        <w:t>日</w:t>
      </w:r>
    </w:p>
    <w:p>
      <w:pPr>
        <w:spacing w:line="578" w:lineRule="exact"/>
        <w:rPr>
          <w:rFonts w:eastAsia="方正仿宋_GBK"/>
          <w:sz w:val="32"/>
          <w:szCs w:val="32"/>
        </w:rPr>
      </w:pPr>
      <w:r>
        <w:rPr>
          <w:rFonts w:eastAsia="方正仿宋_GBK"/>
          <w:sz w:val="32"/>
          <w:szCs w:val="32"/>
          <w:lang w:val="en-US" w:eastAsia="zh-CN"/>
        </w:rPr>
        <w:t>（此件公开发布）</w:t>
      </w:r>
    </w:p>
    <w:p>
      <w:pPr>
        <w:spacing w:line="578" w:lineRule="exact"/>
        <w:jc w:val="left"/>
        <w:rPr>
          <w:rFonts w:eastAsia="方正仿宋_GBK"/>
          <w:sz w:val="32"/>
          <w:szCs w:val="32"/>
        </w:rPr>
      </w:pPr>
    </w:p>
    <w:p>
      <w:pPr>
        <w:widowControl/>
        <w:jc w:val="left"/>
        <w:rPr>
          <w:rFonts w:eastAsia="方正仿宋_GBK"/>
          <w:sz w:val="32"/>
          <w:szCs w:val="32"/>
        </w:rPr>
      </w:pPr>
      <w:r>
        <w:rPr>
          <w:rFonts w:eastAsia="方正仿宋_GBK"/>
          <w:sz w:val="32"/>
          <w:szCs w:val="32"/>
        </w:rPr>
        <w:br w:type="page"/>
      </w:r>
    </w:p>
    <w:p>
      <w:pPr>
        <w:spacing w:line="580" w:lineRule="exact"/>
        <w:rPr>
          <w:rFonts w:ascii="方正黑体_GBK" w:eastAsia="方正黑体_GBK"/>
          <w:color w:val="000000" w:themeColor="text1"/>
          <w:sz w:val="32"/>
          <w:szCs w:val="32"/>
        </w:rPr>
      </w:pPr>
      <w:r>
        <w:rPr>
          <w:rFonts w:hint="eastAsia" w:ascii="方正黑体_GBK" w:eastAsia="方正黑体_GBK"/>
          <w:color w:val="000000" w:themeColor="text1"/>
          <w:sz w:val="32"/>
          <w:szCs w:val="32"/>
        </w:rPr>
        <w:t>附件</w:t>
      </w:r>
    </w:p>
    <w:p>
      <w:pPr>
        <w:snapToGrid w:val="0"/>
        <w:jc w:val="center"/>
        <w:outlineLvl w:val="0"/>
        <w:rPr>
          <w:color w:val="000000" w:themeColor="text1"/>
          <w:szCs w:val="32"/>
        </w:rPr>
      </w:pPr>
      <w:r>
        <w:rPr>
          <w:rFonts w:eastAsia="方正小标宋_GBK"/>
          <w:color w:val="000000" w:themeColor="text1"/>
          <w:sz w:val="44"/>
          <w:szCs w:val="44"/>
          <w:shd w:val="clear" w:color="auto" w:fill="FFFFFF"/>
        </w:rPr>
        <w:t>烟花爆竹零售店（点）安全风险隐患排查表</w:t>
      </w:r>
    </w:p>
    <w:p>
      <w:pPr>
        <w:outlineLvl w:val="1"/>
        <w:rPr>
          <w:rFonts w:hint="eastAsia" w:ascii="方正仿宋_GBK" w:hAnsi="方正仿宋_GBK" w:eastAsia="方正仿宋_GBK"/>
          <w:color w:val="000000" w:themeColor="text1"/>
          <w:sz w:val="32"/>
          <w:szCs w:val="32"/>
          <w:shd w:val="clear" w:color="auto" w:fill="FFFFFF"/>
        </w:rPr>
      </w:pPr>
      <w:r>
        <w:rPr>
          <w:rFonts w:hint="eastAsia" w:ascii="方正仿宋_GBK" w:hAnsi="方正仿宋_GBK" w:eastAsia="方正仿宋_GBK"/>
          <w:color w:val="000000" w:themeColor="text1"/>
          <w:sz w:val="32"/>
          <w:szCs w:val="32"/>
        </w:rPr>
        <w:t>检查零售店（点）名称：</w:t>
      </w:r>
    </w:p>
    <w:tbl>
      <w:tblPr>
        <w:tblStyle w:val="11"/>
        <w:tblpPr w:leftFromText="180" w:rightFromText="180" w:vertAnchor="text" w:horzAnchor="margin" w:tblpXSpec="center" w:tblpY="774"/>
        <w:tblOverlap w:val="never"/>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7082"/>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871" w:type="dxa"/>
            <w:vAlign w:val="center"/>
          </w:tcPr>
          <w:p>
            <w:pPr>
              <w:jc w:val="center"/>
              <w:rPr>
                <w:rFonts w:hint="eastAsia" w:ascii="方正楷体_GBK" w:eastAsia="方正楷体_GBK"/>
                <w:color w:val="000000" w:themeColor="text1"/>
                <w:sz w:val="32"/>
                <w:szCs w:val="32"/>
              </w:rPr>
            </w:pPr>
            <w:r>
              <w:rPr>
                <w:rFonts w:hint="eastAsia" w:ascii="方正楷体_GBK" w:eastAsia="方正楷体_GBK"/>
                <w:color w:val="000000" w:themeColor="text1"/>
                <w:sz w:val="32"/>
                <w:szCs w:val="32"/>
              </w:rPr>
              <w:t>序号</w:t>
            </w:r>
          </w:p>
        </w:tc>
        <w:tc>
          <w:tcPr>
            <w:tcW w:w="7082" w:type="dxa"/>
            <w:vAlign w:val="center"/>
          </w:tcPr>
          <w:p>
            <w:pPr>
              <w:jc w:val="center"/>
              <w:rPr>
                <w:rFonts w:hint="eastAsia" w:ascii="方正楷体_GBK" w:eastAsia="方正楷体_GBK"/>
                <w:color w:val="000000" w:themeColor="text1"/>
                <w:sz w:val="32"/>
                <w:szCs w:val="32"/>
              </w:rPr>
            </w:pPr>
            <w:r>
              <w:rPr>
                <w:rFonts w:hint="eastAsia" w:ascii="方正楷体_GBK" w:eastAsia="方正楷体_GBK"/>
                <w:color w:val="000000" w:themeColor="text1"/>
                <w:sz w:val="32"/>
                <w:szCs w:val="32"/>
              </w:rPr>
              <w:t>排查内容</w:t>
            </w:r>
          </w:p>
        </w:tc>
        <w:tc>
          <w:tcPr>
            <w:tcW w:w="1759" w:type="dxa"/>
            <w:vAlign w:val="center"/>
          </w:tcPr>
          <w:p>
            <w:pPr>
              <w:jc w:val="center"/>
              <w:rPr>
                <w:rFonts w:hint="eastAsia" w:ascii="方正楷体_GBK" w:hAnsi="方正仿宋_GBK" w:eastAsia="方正楷体_GBK"/>
                <w:color w:val="000000" w:themeColor="text1"/>
                <w:sz w:val="32"/>
                <w:szCs w:val="32"/>
              </w:rPr>
            </w:pPr>
            <w:r>
              <w:rPr>
                <w:rFonts w:hint="eastAsia" w:ascii="方正楷体_GBK" w:hAnsi="方正仿宋_GBK" w:eastAsia="方正楷体_GBK"/>
                <w:color w:val="000000" w:themeColor="text1"/>
                <w:sz w:val="32"/>
                <w:szCs w:val="32"/>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1" w:type="dxa"/>
            <w:vAlign w:val="center"/>
          </w:tcPr>
          <w:p>
            <w:pPr>
              <w:snapToGrid w:val="0"/>
              <w:spacing w:line="440" w:lineRule="exact"/>
              <w:jc w:val="center"/>
              <w:rPr>
                <w:rFonts w:hint="eastAsia" w:ascii="方正仿宋_GBK" w:eastAsia="方正仿宋_GBK"/>
                <w:color w:val="000000" w:themeColor="text1"/>
                <w:sz w:val="28"/>
                <w:szCs w:val="28"/>
              </w:rPr>
            </w:pPr>
            <w:r>
              <w:rPr>
                <w:rFonts w:hint="eastAsia" w:ascii="方正仿宋_GBK" w:eastAsia="方正仿宋_GBK"/>
                <w:color w:val="000000" w:themeColor="text1"/>
                <w:sz w:val="28"/>
                <w:szCs w:val="28"/>
              </w:rPr>
              <w:t>1</w:t>
            </w:r>
          </w:p>
        </w:tc>
        <w:tc>
          <w:tcPr>
            <w:tcW w:w="7082" w:type="dxa"/>
            <w:vAlign w:val="center"/>
          </w:tcPr>
          <w:p>
            <w:pPr>
              <w:snapToGrid w:val="0"/>
              <w:spacing w:line="440" w:lineRule="exact"/>
              <w:jc w:val="left"/>
              <w:rPr>
                <w:rFonts w:hint="eastAsia" w:ascii="方正仿宋_GBK" w:eastAsia="方正仿宋_GBK"/>
                <w:color w:val="000000" w:themeColor="text1"/>
                <w:sz w:val="28"/>
                <w:szCs w:val="28"/>
              </w:rPr>
            </w:pPr>
            <w:r>
              <w:rPr>
                <w:rFonts w:hint="eastAsia" w:ascii="方正仿宋_GBK" w:eastAsia="方正仿宋_GBK"/>
                <w:color w:val="000000" w:themeColor="text1"/>
                <w:sz w:val="28"/>
                <w:szCs w:val="28"/>
              </w:rPr>
              <w:t>《烟花爆竹经营（零售）许可证》是否悬挂在醒目位置。</w:t>
            </w:r>
          </w:p>
        </w:tc>
        <w:tc>
          <w:tcPr>
            <w:tcW w:w="1759" w:type="dxa"/>
            <w:vAlign w:val="center"/>
          </w:tcPr>
          <w:p>
            <w:pPr>
              <w:snapToGrid w:val="0"/>
              <w:spacing w:line="440" w:lineRule="exact"/>
              <w:jc w:val="left"/>
              <w:rPr>
                <w:rFonts w:hint="eastAsia" w:ascii="方正仿宋_GBK" w:hAnsi="方正仿宋_GBK"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1" w:type="dxa"/>
            <w:vAlign w:val="center"/>
          </w:tcPr>
          <w:p>
            <w:pPr>
              <w:snapToGrid w:val="0"/>
              <w:spacing w:line="440" w:lineRule="exact"/>
              <w:jc w:val="center"/>
              <w:rPr>
                <w:rFonts w:hint="eastAsia" w:ascii="方正仿宋_GBK" w:eastAsia="方正仿宋_GBK"/>
                <w:color w:val="000000" w:themeColor="text1"/>
                <w:sz w:val="28"/>
                <w:szCs w:val="28"/>
              </w:rPr>
            </w:pPr>
            <w:r>
              <w:rPr>
                <w:rFonts w:hint="eastAsia" w:ascii="方正仿宋_GBK" w:eastAsia="方正仿宋_GBK"/>
                <w:color w:val="000000" w:themeColor="text1"/>
                <w:sz w:val="28"/>
                <w:szCs w:val="28"/>
              </w:rPr>
              <w:t>2</w:t>
            </w:r>
          </w:p>
        </w:tc>
        <w:tc>
          <w:tcPr>
            <w:tcW w:w="7082" w:type="dxa"/>
            <w:vAlign w:val="center"/>
          </w:tcPr>
          <w:p>
            <w:pPr>
              <w:snapToGrid w:val="0"/>
              <w:spacing w:line="440" w:lineRule="exact"/>
              <w:jc w:val="left"/>
              <w:rPr>
                <w:rFonts w:hint="eastAsia" w:ascii="方正仿宋_GBK" w:eastAsia="方正仿宋_GBK"/>
                <w:color w:val="000000" w:themeColor="text1"/>
                <w:sz w:val="28"/>
                <w:szCs w:val="28"/>
              </w:rPr>
            </w:pPr>
            <w:r>
              <w:rPr>
                <w:rFonts w:hint="eastAsia" w:ascii="方正仿宋_GBK" w:eastAsia="方正仿宋_GBK"/>
                <w:color w:val="000000" w:themeColor="text1"/>
                <w:sz w:val="28"/>
                <w:szCs w:val="28"/>
              </w:rPr>
              <w:t>主要负责人是否考核合格，销售人员是否经过安全教育培训。</w:t>
            </w:r>
          </w:p>
        </w:tc>
        <w:tc>
          <w:tcPr>
            <w:tcW w:w="1759" w:type="dxa"/>
            <w:vAlign w:val="center"/>
          </w:tcPr>
          <w:p>
            <w:pPr>
              <w:snapToGrid w:val="0"/>
              <w:spacing w:line="440" w:lineRule="exact"/>
              <w:jc w:val="left"/>
              <w:rPr>
                <w:rFonts w:hint="eastAsia" w:ascii="方正仿宋_GBK" w:hAnsi="方正仿宋_GBK"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871" w:type="dxa"/>
            <w:vAlign w:val="center"/>
          </w:tcPr>
          <w:p>
            <w:pPr>
              <w:snapToGrid w:val="0"/>
              <w:spacing w:line="440" w:lineRule="exact"/>
              <w:jc w:val="center"/>
              <w:rPr>
                <w:rFonts w:hint="eastAsia" w:ascii="方正仿宋_GBK" w:eastAsia="方正仿宋_GBK"/>
                <w:color w:val="000000" w:themeColor="text1"/>
                <w:sz w:val="28"/>
                <w:szCs w:val="28"/>
              </w:rPr>
            </w:pPr>
            <w:r>
              <w:rPr>
                <w:rFonts w:hint="eastAsia" w:ascii="方正仿宋_GBK" w:eastAsia="方正仿宋_GBK"/>
                <w:color w:val="000000" w:themeColor="text1"/>
                <w:sz w:val="28"/>
                <w:szCs w:val="28"/>
              </w:rPr>
              <w:t>3</w:t>
            </w:r>
          </w:p>
        </w:tc>
        <w:tc>
          <w:tcPr>
            <w:tcW w:w="7082" w:type="dxa"/>
            <w:vAlign w:val="center"/>
          </w:tcPr>
          <w:p>
            <w:pPr>
              <w:snapToGrid w:val="0"/>
              <w:spacing w:line="440" w:lineRule="exact"/>
              <w:jc w:val="left"/>
              <w:rPr>
                <w:rFonts w:hint="eastAsia" w:ascii="方正仿宋_GBK" w:eastAsia="方正仿宋_GBK"/>
                <w:color w:val="000000" w:themeColor="text1"/>
                <w:sz w:val="28"/>
                <w:szCs w:val="28"/>
              </w:rPr>
            </w:pPr>
            <w:r>
              <w:rPr>
                <w:rFonts w:hint="eastAsia" w:ascii="方正仿宋_GBK" w:eastAsia="方正仿宋_GBK"/>
                <w:color w:val="000000" w:themeColor="text1"/>
                <w:sz w:val="28"/>
                <w:szCs w:val="28"/>
              </w:rPr>
              <w:t>零售场所的安全条件是否符合AQ4128规定。</w:t>
            </w:r>
          </w:p>
        </w:tc>
        <w:tc>
          <w:tcPr>
            <w:tcW w:w="1759" w:type="dxa"/>
            <w:vAlign w:val="center"/>
          </w:tcPr>
          <w:p>
            <w:pPr>
              <w:snapToGrid w:val="0"/>
              <w:spacing w:line="440" w:lineRule="exact"/>
              <w:jc w:val="left"/>
              <w:rPr>
                <w:rFonts w:hint="eastAsia" w:ascii="方正仿宋_GBK" w:hAnsi="方正仿宋_GBK"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1" w:type="dxa"/>
            <w:vAlign w:val="center"/>
          </w:tcPr>
          <w:p>
            <w:pPr>
              <w:snapToGrid w:val="0"/>
              <w:spacing w:line="440" w:lineRule="exact"/>
              <w:jc w:val="center"/>
              <w:rPr>
                <w:rFonts w:hint="eastAsia" w:ascii="方正仿宋_GBK" w:eastAsia="方正仿宋_GBK"/>
                <w:color w:val="000000" w:themeColor="text1"/>
                <w:sz w:val="28"/>
                <w:szCs w:val="28"/>
              </w:rPr>
            </w:pPr>
            <w:r>
              <w:rPr>
                <w:rFonts w:hint="eastAsia" w:ascii="方正仿宋_GBK" w:eastAsia="方正仿宋_GBK"/>
                <w:color w:val="000000" w:themeColor="text1"/>
                <w:sz w:val="28"/>
                <w:szCs w:val="28"/>
              </w:rPr>
              <w:t>4</w:t>
            </w:r>
          </w:p>
        </w:tc>
        <w:tc>
          <w:tcPr>
            <w:tcW w:w="7082" w:type="dxa"/>
            <w:vAlign w:val="center"/>
          </w:tcPr>
          <w:p>
            <w:pPr>
              <w:snapToGrid w:val="0"/>
              <w:spacing w:line="440" w:lineRule="exact"/>
              <w:jc w:val="left"/>
              <w:rPr>
                <w:rFonts w:hint="eastAsia" w:ascii="方正仿宋_GBK" w:eastAsia="方正仿宋_GBK"/>
                <w:color w:val="000000" w:themeColor="text1"/>
                <w:sz w:val="28"/>
                <w:szCs w:val="28"/>
              </w:rPr>
            </w:pPr>
            <w:r>
              <w:rPr>
                <w:rFonts w:hint="eastAsia" w:ascii="方正仿宋_GBK" w:eastAsia="方正仿宋_GBK"/>
                <w:color w:val="000000" w:themeColor="text1"/>
                <w:sz w:val="28"/>
                <w:szCs w:val="28"/>
              </w:rPr>
              <w:t>零售场所是否与居民居住场所在同一建筑物内，存在“下店上宅”“前店后宅”等问题。</w:t>
            </w:r>
          </w:p>
        </w:tc>
        <w:tc>
          <w:tcPr>
            <w:tcW w:w="1759" w:type="dxa"/>
            <w:vAlign w:val="center"/>
          </w:tcPr>
          <w:p>
            <w:pPr>
              <w:snapToGrid w:val="0"/>
              <w:spacing w:line="440" w:lineRule="exact"/>
              <w:jc w:val="left"/>
              <w:rPr>
                <w:rFonts w:hint="eastAsia" w:ascii="方正仿宋_GBK" w:hAnsi="方正仿宋_GBK"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1" w:type="dxa"/>
            <w:vAlign w:val="center"/>
          </w:tcPr>
          <w:p>
            <w:pPr>
              <w:snapToGrid w:val="0"/>
              <w:spacing w:line="440" w:lineRule="exact"/>
              <w:jc w:val="center"/>
              <w:rPr>
                <w:rFonts w:hint="eastAsia" w:ascii="方正仿宋_GBK" w:eastAsia="方正仿宋_GBK"/>
                <w:color w:val="000000" w:themeColor="text1"/>
                <w:sz w:val="28"/>
                <w:szCs w:val="28"/>
              </w:rPr>
            </w:pPr>
            <w:r>
              <w:rPr>
                <w:rFonts w:hint="eastAsia" w:ascii="方正仿宋_GBK" w:eastAsia="方正仿宋_GBK"/>
                <w:color w:val="000000" w:themeColor="text1"/>
                <w:sz w:val="28"/>
                <w:szCs w:val="28"/>
              </w:rPr>
              <w:t>5</w:t>
            </w:r>
          </w:p>
        </w:tc>
        <w:tc>
          <w:tcPr>
            <w:tcW w:w="7082" w:type="dxa"/>
            <w:vAlign w:val="center"/>
          </w:tcPr>
          <w:p>
            <w:pPr>
              <w:snapToGrid w:val="0"/>
              <w:spacing w:line="440" w:lineRule="exact"/>
              <w:jc w:val="left"/>
              <w:rPr>
                <w:rFonts w:hint="eastAsia" w:ascii="方正仿宋_GBK" w:eastAsia="方正仿宋_GBK"/>
                <w:color w:val="000000" w:themeColor="text1"/>
                <w:sz w:val="28"/>
                <w:szCs w:val="28"/>
              </w:rPr>
            </w:pPr>
            <w:r>
              <w:rPr>
                <w:rFonts w:hint="eastAsia" w:ascii="方正仿宋_GBK" w:eastAsia="方正仿宋_GBK"/>
                <w:color w:val="000000" w:themeColor="text1"/>
                <w:sz w:val="28"/>
                <w:szCs w:val="28"/>
              </w:rPr>
              <w:t>零售场所是否有明显的安全警示标志，并配备符合要求的消防器材。</w:t>
            </w:r>
          </w:p>
        </w:tc>
        <w:tc>
          <w:tcPr>
            <w:tcW w:w="1759" w:type="dxa"/>
            <w:vAlign w:val="center"/>
          </w:tcPr>
          <w:p>
            <w:pPr>
              <w:snapToGrid w:val="0"/>
              <w:spacing w:line="440" w:lineRule="exact"/>
              <w:jc w:val="left"/>
              <w:rPr>
                <w:rFonts w:hint="eastAsia" w:ascii="方正仿宋_GBK" w:hAnsi="方正仿宋_GBK"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1" w:type="dxa"/>
            <w:vAlign w:val="center"/>
          </w:tcPr>
          <w:p>
            <w:pPr>
              <w:snapToGrid w:val="0"/>
              <w:spacing w:line="440" w:lineRule="exact"/>
              <w:jc w:val="center"/>
              <w:rPr>
                <w:rFonts w:hint="eastAsia" w:ascii="方正仿宋_GBK" w:eastAsia="方正仿宋_GBK"/>
                <w:color w:val="000000" w:themeColor="text1"/>
                <w:sz w:val="28"/>
                <w:szCs w:val="28"/>
              </w:rPr>
            </w:pPr>
            <w:r>
              <w:rPr>
                <w:rFonts w:hint="eastAsia" w:ascii="方正仿宋_GBK" w:eastAsia="方正仿宋_GBK"/>
                <w:color w:val="000000" w:themeColor="text1"/>
                <w:sz w:val="28"/>
                <w:szCs w:val="28"/>
              </w:rPr>
              <w:t>6</w:t>
            </w:r>
          </w:p>
        </w:tc>
        <w:tc>
          <w:tcPr>
            <w:tcW w:w="7082" w:type="dxa"/>
            <w:vAlign w:val="center"/>
          </w:tcPr>
          <w:p>
            <w:pPr>
              <w:snapToGrid w:val="0"/>
              <w:spacing w:line="440" w:lineRule="exact"/>
              <w:jc w:val="left"/>
              <w:rPr>
                <w:rFonts w:hint="eastAsia" w:ascii="方正仿宋_GBK" w:eastAsia="方正仿宋_GBK"/>
                <w:color w:val="000000" w:themeColor="text1"/>
                <w:sz w:val="28"/>
                <w:szCs w:val="28"/>
              </w:rPr>
            </w:pPr>
            <w:r>
              <w:rPr>
                <w:rFonts w:hint="eastAsia" w:ascii="方正仿宋_GBK" w:eastAsia="方正仿宋_GBK"/>
                <w:color w:val="000000" w:themeColor="text1"/>
                <w:sz w:val="28"/>
                <w:szCs w:val="28"/>
              </w:rPr>
              <w:t>零售场所存放产品数量是否超过许可证载明限量，产品码放是否整齐、稳定且高度不超过2m。</w:t>
            </w:r>
          </w:p>
        </w:tc>
        <w:tc>
          <w:tcPr>
            <w:tcW w:w="1759" w:type="dxa"/>
            <w:vAlign w:val="center"/>
          </w:tcPr>
          <w:p>
            <w:pPr>
              <w:snapToGrid w:val="0"/>
              <w:spacing w:line="440" w:lineRule="exact"/>
              <w:jc w:val="left"/>
              <w:rPr>
                <w:rFonts w:hint="eastAsia" w:ascii="方正仿宋_GBK" w:hAnsi="方正仿宋_GBK"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1" w:type="dxa"/>
            <w:vAlign w:val="center"/>
          </w:tcPr>
          <w:p>
            <w:pPr>
              <w:snapToGrid w:val="0"/>
              <w:spacing w:line="440" w:lineRule="exact"/>
              <w:jc w:val="center"/>
              <w:rPr>
                <w:rFonts w:hint="eastAsia" w:ascii="方正仿宋_GBK" w:eastAsia="方正仿宋_GBK"/>
                <w:color w:val="000000" w:themeColor="text1"/>
                <w:sz w:val="28"/>
                <w:szCs w:val="28"/>
              </w:rPr>
            </w:pPr>
            <w:r>
              <w:rPr>
                <w:rFonts w:hint="eastAsia" w:ascii="方正仿宋_GBK" w:eastAsia="方正仿宋_GBK"/>
                <w:color w:val="000000" w:themeColor="text1"/>
                <w:sz w:val="28"/>
                <w:szCs w:val="28"/>
              </w:rPr>
              <w:t>7</w:t>
            </w:r>
          </w:p>
        </w:tc>
        <w:tc>
          <w:tcPr>
            <w:tcW w:w="7082" w:type="dxa"/>
            <w:vAlign w:val="center"/>
          </w:tcPr>
          <w:p>
            <w:pPr>
              <w:snapToGrid w:val="0"/>
              <w:spacing w:line="440" w:lineRule="exact"/>
              <w:jc w:val="left"/>
              <w:rPr>
                <w:rFonts w:hint="eastAsia" w:ascii="方正仿宋_GBK" w:eastAsia="方正仿宋_GBK"/>
                <w:color w:val="000000" w:themeColor="text1"/>
                <w:sz w:val="28"/>
                <w:szCs w:val="28"/>
              </w:rPr>
            </w:pPr>
            <w:r>
              <w:rPr>
                <w:rFonts w:hint="eastAsia" w:ascii="方正仿宋_GBK" w:eastAsia="方正仿宋_GBK"/>
                <w:color w:val="000000" w:themeColor="text1"/>
                <w:sz w:val="28"/>
                <w:szCs w:val="28"/>
              </w:rPr>
              <w:t>销售产品的外包装箱上是否粘贴流向登记标识码。</w:t>
            </w:r>
          </w:p>
        </w:tc>
        <w:tc>
          <w:tcPr>
            <w:tcW w:w="1759" w:type="dxa"/>
            <w:vAlign w:val="center"/>
          </w:tcPr>
          <w:p>
            <w:pPr>
              <w:snapToGrid w:val="0"/>
              <w:spacing w:line="440" w:lineRule="exact"/>
              <w:jc w:val="left"/>
              <w:rPr>
                <w:rFonts w:hint="eastAsia" w:ascii="方正仿宋_GBK" w:hAnsi="方正仿宋_GBK"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1" w:type="dxa"/>
            <w:vAlign w:val="center"/>
          </w:tcPr>
          <w:p>
            <w:pPr>
              <w:snapToGrid w:val="0"/>
              <w:spacing w:line="440" w:lineRule="exact"/>
              <w:jc w:val="center"/>
              <w:rPr>
                <w:rFonts w:hint="eastAsia" w:ascii="方正仿宋_GBK" w:eastAsia="方正仿宋_GBK"/>
                <w:color w:val="000000" w:themeColor="text1"/>
                <w:sz w:val="28"/>
                <w:szCs w:val="28"/>
              </w:rPr>
            </w:pPr>
            <w:r>
              <w:rPr>
                <w:rFonts w:hint="eastAsia" w:ascii="方正仿宋_GBK" w:eastAsia="方正仿宋_GBK"/>
                <w:color w:val="000000" w:themeColor="text1"/>
                <w:sz w:val="28"/>
                <w:szCs w:val="28"/>
              </w:rPr>
              <w:t>8</w:t>
            </w:r>
          </w:p>
        </w:tc>
        <w:tc>
          <w:tcPr>
            <w:tcW w:w="7082" w:type="dxa"/>
            <w:vAlign w:val="center"/>
          </w:tcPr>
          <w:p>
            <w:pPr>
              <w:snapToGrid w:val="0"/>
              <w:spacing w:line="440" w:lineRule="exact"/>
              <w:jc w:val="left"/>
              <w:rPr>
                <w:rFonts w:hint="eastAsia" w:ascii="方正仿宋_GBK" w:eastAsia="方正仿宋_GBK"/>
                <w:color w:val="000000" w:themeColor="text1"/>
                <w:sz w:val="28"/>
                <w:szCs w:val="28"/>
              </w:rPr>
            </w:pPr>
            <w:r>
              <w:rPr>
                <w:rFonts w:hint="eastAsia" w:ascii="方正仿宋_GBK" w:eastAsia="方正仿宋_GBK"/>
                <w:color w:val="000000" w:themeColor="text1"/>
                <w:sz w:val="28"/>
                <w:szCs w:val="28"/>
              </w:rPr>
              <w:t>是否销售冒牌、超标违禁及“假大空”等违规产品或专业燃放类产品。</w:t>
            </w:r>
          </w:p>
        </w:tc>
        <w:tc>
          <w:tcPr>
            <w:tcW w:w="1759" w:type="dxa"/>
            <w:vAlign w:val="center"/>
          </w:tcPr>
          <w:p>
            <w:pPr>
              <w:snapToGrid w:val="0"/>
              <w:spacing w:line="440" w:lineRule="exact"/>
              <w:jc w:val="left"/>
              <w:rPr>
                <w:rFonts w:hint="eastAsia" w:ascii="方正仿宋_GBK" w:hAnsi="方正仿宋_GBK"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871" w:type="dxa"/>
            <w:vAlign w:val="center"/>
          </w:tcPr>
          <w:p>
            <w:pPr>
              <w:snapToGrid w:val="0"/>
              <w:spacing w:line="440" w:lineRule="exact"/>
              <w:jc w:val="center"/>
              <w:rPr>
                <w:rFonts w:hint="eastAsia" w:ascii="方正仿宋_GBK" w:eastAsia="方正仿宋_GBK"/>
                <w:color w:val="000000" w:themeColor="text1"/>
                <w:sz w:val="28"/>
                <w:szCs w:val="28"/>
              </w:rPr>
            </w:pPr>
            <w:r>
              <w:rPr>
                <w:rFonts w:hint="eastAsia" w:ascii="方正仿宋_GBK" w:eastAsia="方正仿宋_GBK"/>
                <w:color w:val="000000" w:themeColor="text1"/>
                <w:sz w:val="28"/>
                <w:szCs w:val="28"/>
              </w:rPr>
              <w:t>9</w:t>
            </w:r>
          </w:p>
        </w:tc>
        <w:tc>
          <w:tcPr>
            <w:tcW w:w="7082" w:type="dxa"/>
            <w:vAlign w:val="center"/>
          </w:tcPr>
          <w:p>
            <w:pPr>
              <w:snapToGrid w:val="0"/>
              <w:spacing w:line="440" w:lineRule="exact"/>
              <w:jc w:val="left"/>
              <w:rPr>
                <w:rFonts w:hint="eastAsia" w:ascii="方正仿宋_GBK" w:eastAsia="方正仿宋_GBK"/>
                <w:color w:val="000000" w:themeColor="text1"/>
                <w:sz w:val="28"/>
                <w:szCs w:val="28"/>
              </w:rPr>
            </w:pPr>
            <w:r>
              <w:rPr>
                <w:rFonts w:hint="eastAsia" w:ascii="方正仿宋_GBK" w:eastAsia="方正仿宋_GBK"/>
                <w:color w:val="000000" w:themeColor="text1"/>
                <w:sz w:val="28"/>
                <w:szCs w:val="28"/>
              </w:rPr>
              <w:t>是否在许可证载明的区域外储存烟花爆竹产品。</w:t>
            </w:r>
          </w:p>
        </w:tc>
        <w:tc>
          <w:tcPr>
            <w:tcW w:w="1759" w:type="dxa"/>
            <w:vAlign w:val="center"/>
          </w:tcPr>
          <w:p>
            <w:pPr>
              <w:snapToGrid w:val="0"/>
              <w:spacing w:line="440" w:lineRule="exact"/>
              <w:jc w:val="left"/>
              <w:rPr>
                <w:rFonts w:hint="eastAsia" w:ascii="方正仿宋_GBK" w:hAnsi="方正仿宋_GBK"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871" w:type="dxa"/>
            <w:vAlign w:val="center"/>
          </w:tcPr>
          <w:p>
            <w:pPr>
              <w:snapToGrid w:val="0"/>
              <w:spacing w:line="440" w:lineRule="exact"/>
              <w:jc w:val="center"/>
              <w:rPr>
                <w:rFonts w:hint="eastAsia" w:ascii="方正仿宋_GBK" w:eastAsia="方正仿宋_GBK"/>
                <w:color w:val="000000" w:themeColor="text1"/>
                <w:sz w:val="28"/>
                <w:szCs w:val="28"/>
              </w:rPr>
            </w:pPr>
            <w:r>
              <w:rPr>
                <w:rFonts w:hint="eastAsia" w:ascii="方正仿宋_GBK" w:eastAsia="方正仿宋_GBK"/>
                <w:color w:val="000000" w:themeColor="text1"/>
                <w:sz w:val="28"/>
                <w:szCs w:val="28"/>
              </w:rPr>
              <w:t>10</w:t>
            </w:r>
          </w:p>
        </w:tc>
        <w:tc>
          <w:tcPr>
            <w:tcW w:w="7082" w:type="dxa"/>
            <w:vAlign w:val="center"/>
          </w:tcPr>
          <w:p>
            <w:pPr>
              <w:snapToGrid w:val="0"/>
              <w:spacing w:line="440" w:lineRule="exact"/>
              <w:jc w:val="left"/>
              <w:rPr>
                <w:rFonts w:hint="eastAsia" w:ascii="方正仿宋_GBK" w:eastAsia="方正仿宋_GBK"/>
                <w:color w:val="000000" w:themeColor="text1"/>
                <w:sz w:val="28"/>
                <w:szCs w:val="28"/>
              </w:rPr>
            </w:pPr>
            <w:r>
              <w:rPr>
                <w:rFonts w:hint="eastAsia" w:ascii="方正仿宋_GBK" w:eastAsia="方正仿宋_GBK"/>
                <w:color w:val="000000" w:themeColor="text1"/>
                <w:sz w:val="28"/>
                <w:szCs w:val="28"/>
              </w:rPr>
              <w:t>是否在零售场所内设置床铺，是否在零售场所外摆放烟花爆竹产品。</w:t>
            </w:r>
          </w:p>
        </w:tc>
        <w:tc>
          <w:tcPr>
            <w:tcW w:w="1759" w:type="dxa"/>
            <w:vAlign w:val="center"/>
          </w:tcPr>
          <w:p>
            <w:pPr>
              <w:snapToGrid w:val="0"/>
              <w:spacing w:line="440" w:lineRule="exact"/>
              <w:jc w:val="left"/>
              <w:rPr>
                <w:rFonts w:hint="eastAsia" w:ascii="方正仿宋_GBK" w:hAnsi="方正仿宋_GBK" w:eastAsia="方正仿宋_GBK"/>
                <w:color w:val="000000" w:themeColor="text1"/>
                <w:sz w:val="28"/>
                <w:szCs w:val="28"/>
              </w:rPr>
            </w:pPr>
          </w:p>
        </w:tc>
      </w:tr>
    </w:tbl>
    <w:p>
      <w:pPr>
        <w:snapToGrid w:val="0"/>
        <w:jc w:val="left"/>
        <w:rPr>
          <w:rFonts w:hint="eastAsia" w:ascii="方正仿宋_GBK" w:hAnsi="方正仿宋_GBK" w:eastAsia="方正仿宋_GBK"/>
          <w:color w:val="000000" w:themeColor="text1"/>
          <w:sz w:val="32"/>
          <w:szCs w:val="32"/>
          <w:shd w:val="clear" w:color="auto" w:fill="FFFFFF"/>
        </w:rPr>
      </w:pPr>
      <w:r>
        <w:rPr>
          <w:rFonts w:hint="eastAsia" w:ascii="方正仿宋_GBK" w:hAnsi="方正仿宋_GBK" w:eastAsia="方正仿宋_GBK"/>
          <w:color w:val="000000" w:themeColor="text1"/>
          <w:sz w:val="32"/>
          <w:szCs w:val="32"/>
          <w:shd w:val="clear" w:color="auto" w:fill="FFFFFF"/>
        </w:rPr>
        <w:t>被检查人员签字：</w:t>
      </w:r>
    </w:p>
    <w:p>
      <w:pPr>
        <w:snapToGrid w:val="0"/>
        <w:jc w:val="left"/>
        <w:rPr>
          <w:rFonts w:ascii="方正仿宋_GBK" w:hAnsi="方正仿宋_GBK"/>
          <w:color w:val="000000" w:themeColor="text1"/>
          <w:szCs w:val="32"/>
          <w:shd w:val="clear" w:color="auto" w:fill="FFFFFF"/>
        </w:rPr>
      </w:pPr>
    </w:p>
    <w:p>
      <w:pPr>
        <w:snapToGrid w:val="0"/>
        <w:rPr>
          <w:rFonts w:hint="eastAsia" w:ascii="方正仿宋_GBK" w:hAnsi="方正仿宋_GBK" w:eastAsia="方正仿宋_GBK"/>
          <w:color w:val="000000" w:themeColor="text1"/>
          <w:sz w:val="32"/>
          <w:szCs w:val="32"/>
          <w:shd w:val="clear" w:color="auto" w:fill="FFFFFF"/>
        </w:rPr>
      </w:pPr>
      <w:r>
        <w:rPr>
          <w:rFonts w:hint="eastAsia" w:ascii="方正仿宋_GBK" w:hAnsi="方正仿宋_GBK" w:eastAsia="方正仿宋_GBK"/>
          <w:color w:val="000000" w:themeColor="text1"/>
          <w:sz w:val="32"/>
          <w:szCs w:val="32"/>
          <w:shd w:val="clear" w:color="auto" w:fill="FFFFFF"/>
        </w:rPr>
        <w:t>检查人员签字：                     检查日期：</w:t>
      </w:r>
    </w:p>
    <w:p>
      <w:pPr>
        <w:spacing w:line="20" w:lineRule="exact"/>
        <w:rPr>
          <w:rFonts w:cs="宋体"/>
          <w:color w:val="000000" w:themeColor="text1"/>
          <w:kern w:val="0"/>
          <w:szCs w:val="32"/>
        </w:rPr>
      </w:pPr>
    </w:p>
    <w:p>
      <w:pPr>
        <w:spacing w:line="20" w:lineRule="exact"/>
        <w:rPr>
          <w:rFonts w:cs="宋体"/>
          <w:color w:val="000000" w:themeColor="text1"/>
          <w:kern w:val="0"/>
          <w:szCs w:val="32"/>
        </w:rPr>
      </w:pPr>
    </w:p>
    <w:p>
      <w:pPr>
        <w:pStyle w:val="20"/>
        <w:spacing w:line="20" w:lineRule="exact"/>
        <w:rPr>
          <w:rFonts w:ascii="Times New Roman" w:hAnsi="Times New Roman" w:cs="宋体"/>
          <w:color w:val="000000" w:themeColor="text1"/>
          <w:szCs w:val="32"/>
        </w:rPr>
      </w:pPr>
    </w:p>
    <w:p>
      <w:pPr>
        <w:spacing w:line="20" w:lineRule="exact"/>
        <w:rPr>
          <w:rFonts w:cs="宋体"/>
          <w:color w:val="000000" w:themeColor="text1"/>
          <w:kern w:val="0"/>
          <w:szCs w:val="32"/>
        </w:rPr>
      </w:pPr>
    </w:p>
    <w:p>
      <w:pPr>
        <w:pStyle w:val="20"/>
        <w:spacing w:line="20" w:lineRule="exact"/>
        <w:rPr>
          <w:rFonts w:ascii="Times New Roman" w:hAnsi="Times New Roman" w:cs="宋体"/>
          <w:color w:val="000000" w:themeColor="text1"/>
          <w:szCs w:val="32"/>
        </w:rPr>
      </w:pPr>
    </w:p>
    <w:p>
      <w:pPr>
        <w:spacing w:line="20" w:lineRule="exact"/>
        <w:rPr>
          <w:rFonts w:cs="宋体"/>
          <w:color w:val="000000" w:themeColor="text1"/>
          <w:kern w:val="0"/>
          <w:szCs w:val="32"/>
        </w:rPr>
      </w:pPr>
    </w:p>
    <w:p>
      <w:pPr>
        <w:pStyle w:val="20"/>
        <w:spacing w:line="20" w:lineRule="exact"/>
        <w:rPr>
          <w:rFonts w:ascii="Times New Roman" w:hAnsi="Times New Roman" w:cs="宋体"/>
          <w:color w:val="000000" w:themeColor="text1"/>
          <w:szCs w:val="32"/>
        </w:rPr>
      </w:pPr>
    </w:p>
    <w:p>
      <w:pPr>
        <w:spacing w:line="20" w:lineRule="exact"/>
        <w:rPr>
          <w:rFonts w:cs="宋体"/>
          <w:color w:val="000000" w:themeColor="text1"/>
          <w:kern w:val="0"/>
          <w:szCs w:val="32"/>
        </w:rPr>
      </w:pPr>
    </w:p>
    <w:p>
      <w:pPr>
        <w:pStyle w:val="20"/>
        <w:spacing w:line="20" w:lineRule="exact"/>
        <w:rPr>
          <w:rFonts w:ascii="Times New Roman" w:hAnsi="Times New Roman" w:cs="宋体"/>
          <w:color w:val="000000" w:themeColor="text1"/>
          <w:szCs w:val="32"/>
        </w:rPr>
      </w:pPr>
    </w:p>
    <w:p>
      <w:pPr>
        <w:spacing w:line="20" w:lineRule="exact"/>
        <w:rPr>
          <w:rFonts w:cs="宋体"/>
          <w:color w:val="000000" w:themeColor="text1"/>
          <w:kern w:val="0"/>
          <w:szCs w:val="32"/>
        </w:rPr>
      </w:pPr>
    </w:p>
    <w:p>
      <w:pPr>
        <w:pStyle w:val="20"/>
        <w:spacing w:line="20" w:lineRule="exact"/>
        <w:rPr>
          <w:rFonts w:ascii="Times New Roman" w:hAnsi="Times New Roman" w:cs="宋体"/>
          <w:color w:val="000000" w:themeColor="text1"/>
          <w:szCs w:val="32"/>
        </w:rPr>
      </w:pPr>
    </w:p>
    <w:p>
      <w:pPr>
        <w:spacing w:line="20" w:lineRule="exact"/>
        <w:rPr>
          <w:rFonts w:cs="宋体"/>
          <w:color w:val="000000" w:themeColor="text1"/>
          <w:kern w:val="0"/>
          <w:szCs w:val="32"/>
        </w:rPr>
      </w:pPr>
    </w:p>
    <w:p>
      <w:pPr>
        <w:spacing w:line="20" w:lineRule="exact"/>
        <w:rPr>
          <w:rFonts w:cs="宋体"/>
          <w:color w:val="000000" w:themeColor="text1"/>
          <w:kern w:val="0"/>
          <w:szCs w:val="32"/>
        </w:rPr>
      </w:pPr>
    </w:p>
    <w:p>
      <w:pPr>
        <w:spacing w:line="578" w:lineRule="exact"/>
        <w:jc w:val="left"/>
        <w:rPr>
          <w:rFonts w:eastAsia="方正仿宋_GBK"/>
          <w:sz w:val="32"/>
          <w:szCs w:val="32"/>
        </w:rPr>
      </w:pPr>
    </w:p>
    <w:p>
      <w:pPr>
        <w:spacing w:line="578" w:lineRule="exact"/>
        <w:jc w:val="left"/>
        <w:rPr>
          <w:rFonts w:ascii="方正仿宋_GBK" w:eastAsia="方正仿宋_GBK"/>
          <w:sz w:val="32"/>
          <w:szCs w:val="32"/>
        </w:rPr>
      </w:pPr>
    </w:p>
    <w:p/>
    <w:p/>
    <w:p>
      <w:pPr>
        <w:spacing w:line="578" w:lineRule="exact"/>
        <w:jc w:val="left"/>
        <w:rPr>
          <w:rFonts w:eastAsia="方正仿宋_GBK"/>
          <w:sz w:val="32"/>
          <w:szCs w:val="32"/>
        </w:rPr>
      </w:pPr>
    </w:p>
    <w:p>
      <w:pPr>
        <w:spacing w:line="578" w:lineRule="exact"/>
        <w:jc w:val="left"/>
        <w:rPr>
          <w:rFonts w:eastAsia="方正仿宋_GBK"/>
          <w:sz w:val="32"/>
          <w:szCs w:val="32"/>
        </w:rPr>
      </w:pPr>
    </w:p>
    <w:p>
      <w:pPr>
        <w:spacing w:line="578" w:lineRule="exact"/>
        <w:jc w:val="left"/>
        <w:rPr>
          <w:rFonts w:eastAsia="方正仿宋_GBK"/>
          <w:sz w:val="32"/>
          <w:szCs w:val="32"/>
        </w:rPr>
      </w:pPr>
    </w:p>
    <w:p>
      <w:pPr>
        <w:spacing w:line="578" w:lineRule="exact"/>
        <w:jc w:val="left"/>
        <w:rPr>
          <w:rFonts w:eastAsia="方正仿宋_GBK"/>
          <w:sz w:val="32"/>
          <w:szCs w:val="32"/>
        </w:rPr>
      </w:pPr>
    </w:p>
    <w:p>
      <w:pPr>
        <w:spacing w:line="578" w:lineRule="exact"/>
        <w:jc w:val="left"/>
        <w:rPr>
          <w:rFonts w:eastAsia="方正仿宋_GBK"/>
          <w:sz w:val="32"/>
          <w:szCs w:val="32"/>
        </w:rPr>
      </w:pPr>
    </w:p>
    <w:p>
      <w:pPr>
        <w:spacing w:line="578" w:lineRule="exact"/>
        <w:jc w:val="left"/>
        <w:rPr>
          <w:rFonts w:eastAsia="方正仿宋_GBK"/>
          <w:sz w:val="32"/>
          <w:szCs w:val="32"/>
        </w:rPr>
      </w:pPr>
    </w:p>
    <w:p>
      <w:pPr>
        <w:spacing w:line="578" w:lineRule="exact"/>
        <w:jc w:val="left"/>
        <w:rPr>
          <w:rFonts w:eastAsia="方正仿宋_GBK"/>
          <w:sz w:val="32"/>
          <w:szCs w:val="32"/>
        </w:rPr>
      </w:pPr>
    </w:p>
    <w:p>
      <w:pPr>
        <w:spacing w:line="578" w:lineRule="exact"/>
        <w:jc w:val="left"/>
        <w:rPr>
          <w:rFonts w:eastAsia="方正仿宋_GBK"/>
          <w:sz w:val="32"/>
          <w:szCs w:val="32"/>
        </w:rPr>
      </w:pPr>
    </w:p>
    <w:p>
      <w:pPr>
        <w:spacing w:line="578" w:lineRule="exact"/>
        <w:jc w:val="left"/>
        <w:rPr>
          <w:rFonts w:eastAsia="方正仿宋_GBK"/>
          <w:sz w:val="32"/>
          <w:szCs w:val="32"/>
        </w:rPr>
      </w:pPr>
    </w:p>
    <w:p>
      <w:pPr>
        <w:spacing w:line="578" w:lineRule="exact"/>
        <w:jc w:val="left"/>
        <w:rPr>
          <w:rFonts w:eastAsia="方正仿宋_GBK"/>
          <w:sz w:val="32"/>
          <w:szCs w:val="32"/>
        </w:rPr>
      </w:pPr>
    </w:p>
    <w:p>
      <w:pPr>
        <w:spacing w:line="578" w:lineRule="exact"/>
        <w:jc w:val="left"/>
        <w:rPr>
          <w:rFonts w:eastAsia="方正仿宋_GBK"/>
          <w:sz w:val="32"/>
          <w:szCs w:val="32"/>
        </w:rPr>
      </w:pPr>
    </w:p>
    <w:p>
      <w:pPr>
        <w:spacing w:line="578" w:lineRule="exact"/>
        <w:jc w:val="left"/>
        <w:rPr>
          <w:rFonts w:eastAsia="方正仿宋_GBK"/>
          <w:sz w:val="32"/>
          <w:szCs w:val="32"/>
        </w:rPr>
      </w:pPr>
    </w:p>
    <w:p>
      <w:pPr>
        <w:spacing w:line="578" w:lineRule="exact"/>
        <w:jc w:val="left"/>
        <w:rPr>
          <w:rFonts w:eastAsia="方正仿宋_GBK"/>
          <w:sz w:val="32"/>
          <w:szCs w:val="32"/>
        </w:rPr>
      </w:pPr>
    </w:p>
    <w:p>
      <w:pPr>
        <w:spacing w:line="578" w:lineRule="exact"/>
        <w:jc w:val="left"/>
        <w:rPr>
          <w:rFonts w:eastAsia="方正仿宋_GBK"/>
          <w:sz w:val="32"/>
          <w:szCs w:val="32"/>
        </w:rPr>
      </w:pPr>
    </w:p>
    <w:p>
      <w:pPr>
        <w:spacing w:line="578" w:lineRule="exact"/>
        <w:jc w:val="left"/>
        <w:rPr>
          <w:rFonts w:eastAsia="方正仿宋_GBK"/>
          <w:sz w:val="32"/>
          <w:szCs w:val="32"/>
        </w:rPr>
      </w:pPr>
    </w:p>
    <w:p>
      <w:pPr>
        <w:spacing w:line="578" w:lineRule="exact"/>
        <w:jc w:val="left"/>
        <w:rPr>
          <w:rFonts w:eastAsia="方正仿宋_GBK"/>
          <w:sz w:val="32"/>
          <w:szCs w:val="32"/>
        </w:rPr>
      </w:pPr>
    </w:p>
    <w:p>
      <w:pPr>
        <w:spacing w:line="578" w:lineRule="exact"/>
        <w:jc w:val="left"/>
        <w:rPr>
          <w:rFonts w:eastAsia="方正仿宋_GBK"/>
          <w:sz w:val="32"/>
          <w:szCs w:val="32"/>
        </w:rPr>
      </w:pPr>
    </w:p>
    <w:p>
      <w:pPr>
        <w:spacing w:line="578" w:lineRule="exact"/>
        <w:jc w:val="left"/>
        <w:rPr>
          <w:rFonts w:eastAsia="方正仿宋_GBK"/>
          <w:sz w:val="32"/>
          <w:szCs w:val="32"/>
        </w:rPr>
      </w:pPr>
    </w:p>
    <w:p/>
    <w:p>
      <w:pPr>
        <w:pBdr>
          <w:top w:val="single" w:color="auto" w:sz="12" w:space="1"/>
          <w:bottom w:val="single" w:color="auto" w:sz="12" w:space="1"/>
        </w:pBdr>
        <w:spacing w:line="578" w:lineRule="exact"/>
        <w:rPr>
          <w:rFonts w:eastAsia="方正仿宋_GBK"/>
          <w:color w:val="333333"/>
          <w:kern w:val="0"/>
          <w:sz w:val="28"/>
          <w:szCs w:val="28"/>
        </w:rPr>
      </w:pPr>
      <w:r>
        <w:rPr>
          <w:rFonts w:eastAsia="方正仿宋_GBK"/>
          <w:color w:val="333333"/>
          <w:kern w:val="0"/>
          <w:sz w:val="28"/>
          <w:szCs w:val="28"/>
        </w:rPr>
        <w:t xml:space="preserve">  云阳县桑坪镇党政办公室                  2023年</w:t>
      </w:r>
      <w:r>
        <w:rPr>
          <w:rFonts w:hint="eastAsia" w:eastAsia="方正仿宋_GBK"/>
          <w:color w:val="333333"/>
          <w:kern w:val="0"/>
          <w:sz w:val="28"/>
          <w:szCs w:val="28"/>
          <w:lang w:val="en-US" w:eastAsia="zh-CN"/>
        </w:rPr>
        <w:t>8</w:t>
      </w:r>
      <w:r>
        <w:rPr>
          <w:rFonts w:eastAsia="方正仿宋_GBK"/>
          <w:color w:val="333333"/>
          <w:kern w:val="0"/>
          <w:sz w:val="28"/>
          <w:szCs w:val="28"/>
        </w:rPr>
        <w:t>月</w:t>
      </w:r>
      <w:r>
        <w:rPr>
          <w:rFonts w:hint="eastAsia" w:eastAsia="方正仿宋_GBK"/>
          <w:color w:val="333333"/>
          <w:kern w:val="0"/>
          <w:sz w:val="28"/>
          <w:szCs w:val="28"/>
          <w:lang w:val="en-US" w:eastAsia="zh-CN"/>
        </w:rPr>
        <w:t>16</w:t>
      </w:r>
      <w:r>
        <w:rPr>
          <w:rFonts w:eastAsia="方正仿宋_GBK"/>
          <w:color w:val="333333"/>
          <w:kern w:val="0"/>
          <w:sz w:val="28"/>
          <w:szCs w:val="28"/>
        </w:rPr>
        <w:t>日印发</w:t>
      </w:r>
    </w:p>
    <w:sectPr>
      <w:footerReference r:id="rId3" w:type="default"/>
      <w:footerReference r:id="rId4" w:type="even"/>
      <w:pgSz w:w="11906" w:h="16838"/>
      <w:pgMar w:top="2098" w:right="1531" w:bottom="1985" w:left="1531" w:header="851" w:footer="147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395211"/>
      <w:docPartObj>
        <w:docPartGallery w:val="autotext"/>
      </w:docPartObj>
    </w:sdtPr>
    <w:sdtEndPr>
      <w:rPr>
        <w:rFonts w:asciiTheme="minorEastAsia" w:hAnsiTheme="minorEastAsia" w:eastAsiaTheme="minorEastAsia"/>
        <w:sz w:val="28"/>
        <w:szCs w:val="28"/>
      </w:rPr>
    </w:sdtEndPr>
    <w:sdtContent>
      <w:p>
        <w:pPr>
          <w:pStyle w:val="7"/>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395226"/>
      <w:docPartObj>
        <w:docPartGallery w:val="autotext"/>
      </w:docPartObj>
    </w:sdtPr>
    <w:sdtEndPr>
      <w:rPr>
        <w:rFonts w:asciiTheme="minorEastAsia" w:hAnsiTheme="minorEastAsia" w:eastAsiaTheme="minorEastAsia"/>
        <w:sz w:val="28"/>
        <w:szCs w:val="28"/>
      </w:rPr>
    </w:sdtEndPr>
    <w:sdtContent>
      <w:p>
        <w:pPr>
          <w:pStyle w:val="7"/>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embedSystemFonts/>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E691E39"/>
    <w:rsid w:val="0011163F"/>
    <w:rsid w:val="00172725"/>
    <w:rsid w:val="001D77D1"/>
    <w:rsid w:val="002258DF"/>
    <w:rsid w:val="002B64EB"/>
    <w:rsid w:val="002D37F5"/>
    <w:rsid w:val="002E4EBD"/>
    <w:rsid w:val="0031535E"/>
    <w:rsid w:val="00316F4B"/>
    <w:rsid w:val="003D5AC7"/>
    <w:rsid w:val="00414248"/>
    <w:rsid w:val="00445134"/>
    <w:rsid w:val="004468F3"/>
    <w:rsid w:val="004969D6"/>
    <w:rsid w:val="005238D2"/>
    <w:rsid w:val="005B7CE6"/>
    <w:rsid w:val="00604803"/>
    <w:rsid w:val="00650EC1"/>
    <w:rsid w:val="006E307D"/>
    <w:rsid w:val="00713D6F"/>
    <w:rsid w:val="007648B3"/>
    <w:rsid w:val="007A642A"/>
    <w:rsid w:val="007E3A1B"/>
    <w:rsid w:val="008B4349"/>
    <w:rsid w:val="009132D1"/>
    <w:rsid w:val="0096041E"/>
    <w:rsid w:val="009A09E4"/>
    <w:rsid w:val="009D669C"/>
    <w:rsid w:val="009D6AC5"/>
    <w:rsid w:val="00A20472"/>
    <w:rsid w:val="00A95669"/>
    <w:rsid w:val="00B946EC"/>
    <w:rsid w:val="00BD54D9"/>
    <w:rsid w:val="00C238F5"/>
    <w:rsid w:val="00C708D9"/>
    <w:rsid w:val="00C965FC"/>
    <w:rsid w:val="00D77F73"/>
    <w:rsid w:val="00DC3573"/>
    <w:rsid w:val="00DC5DE0"/>
    <w:rsid w:val="00E25990"/>
    <w:rsid w:val="00E25F67"/>
    <w:rsid w:val="00EC7F70"/>
    <w:rsid w:val="00EE008A"/>
    <w:rsid w:val="00F03CF4"/>
    <w:rsid w:val="00F34E34"/>
    <w:rsid w:val="00FF4C48"/>
    <w:rsid w:val="0E691E39"/>
    <w:rsid w:val="33FF0CF6"/>
    <w:rsid w:val="34D64C80"/>
    <w:rsid w:val="553D3FC2"/>
    <w:rsid w:val="FFFF30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rPr>
  </w:style>
  <w:style w:type="paragraph" w:styleId="3">
    <w:name w:val="Body Text Indent"/>
    <w:basedOn w:val="1"/>
    <w:link w:val="18"/>
    <w:qFormat/>
    <w:uiPriority w:val="0"/>
    <w:pPr>
      <w:spacing w:after="120"/>
      <w:ind w:left="420" w:leftChars="200"/>
    </w:pPr>
  </w:style>
  <w:style w:type="paragraph" w:styleId="4">
    <w:name w:val="Plain Text"/>
    <w:basedOn w:val="1"/>
    <w:link w:val="17"/>
    <w:qFormat/>
    <w:uiPriority w:val="0"/>
    <w:rPr>
      <w:rFonts w:ascii="宋体" w:hAnsi="Courier New" w:cs="Courier New"/>
      <w:szCs w:val="21"/>
    </w:rPr>
  </w:style>
  <w:style w:type="paragraph" w:styleId="5">
    <w:name w:val="Date"/>
    <w:basedOn w:val="1"/>
    <w:next w:val="1"/>
    <w:link w:val="15"/>
    <w:qFormat/>
    <w:uiPriority w:val="0"/>
    <w:pPr>
      <w:ind w:left="100" w:leftChars="2500"/>
    </w:pPr>
  </w:style>
  <w:style w:type="paragraph" w:styleId="6">
    <w:name w:val="Balloon Text"/>
    <w:basedOn w:val="1"/>
    <w:link w:val="16"/>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2"/>
    <w:basedOn w:val="3"/>
    <w:link w:val="19"/>
    <w:qFormat/>
    <w:uiPriority w:val="0"/>
    <w:pPr>
      <w:snapToGrid w:val="0"/>
      <w:spacing w:after="0" w:line="600" w:lineRule="atLeast"/>
      <w:ind w:left="0" w:leftChars="0" w:firstLine="420" w:firstLineChars="200"/>
    </w:pPr>
    <w:rPr>
      <w:rFonts w:eastAsia="仿宋_GB2312" w:asciiTheme="minorHAnsi" w:hAnsiTheme="minorHAnsi" w:cstheme="minorBidi"/>
      <w:sz w:val="32"/>
    </w:rPr>
  </w:style>
  <w:style w:type="character" w:customStyle="1" w:styleId="13">
    <w:name w:val="页眉 Char"/>
    <w:basedOn w:val="12"/>
    <w:link w:val="8"/>
    <w:qFormat/>
    <w:uiPriority w:val="99"/>
    <w:rPr>
      <w:rFonts w:ascii="Times New Roman" w:hAnsi="Times New Roman" w:eastAsia="宋体" w:cs="Times New Roman"/>
      <w:kern w:val="2"/>
      <w:sz w:val="18"/>
      <w:szCs w:val="18"/>
    </w:rPr>
  </w:style>
  <w:style w:type="character" w:customStyle="1" w:styleId="14">
    <w:name w:val="页脚 Char"/>
    <w:basedOn w:val="12"/>
    <w:link w:val="7"/>
    <w:qFormat/>
    <w:uiPriority w:val="99"/>
    <w:rPr>
      <w:rFonts w:ascii="Times New Roman" w:hAnsi="Times New Roman" w:eastAsia="宋体" w:cs="Times New Roman"/>
      <w:kern w:val="2"/>
      <w:sz w:val="18"/>
      <w:szCs w:val="18"/>
    </w:rPr>
  </w:style>
  <w:style w:type="character" w:customStyle="1" w:styleId="15">
    <w:name w:val="日期 Char"/>
    <w:basedOn w:val="12"/>
    <w:link w:val="5"/>
    <w:qFormat/>
    <w:uiPriority w:val="0"/>
    <w:rPr>
      <w:rFonts w:ascii="Times New Roman" w:hAnsi="Times New Roman" w:eastAsia="宋体" w:cs="Times New Roman"/>
      <w:kern w:val="2"/>
      <w:sz w:val="21"/>
      <w:szCs w:val="24"/>
    </w:rPr>
  </w:style>
  <w:style w:type="character" w:customStyle="1" w:styleId="16">
    <w:name w:val="批注框文本 Char"/>
    <w:basedOn w:val="12"/>
    <w:link w:val="6"/>
    <w:qFormat/>
    <w:uiPriority w:val="0"/>
    <w:rPr>
      <w:rFonts w:ascii="Times New Roman" w:hAnsi="Times New Roman" w:eastAsia="宋体" w:cs="Times New Roman"/>
      <w:kern w:val="2"/>
      <w:sz w:val="18"/>
      <w:szCs w:val="18"/>
    </w:rPr>
  </w:style>
  <w:style w:type="character" w:customStyle="1" w:styleId="17">
    <w:name w:val="纯文本 Char"/>
    <w:basedOn w:val="12"/>
    <w:link w:val="4"/>
    <w:qFormat/>
    <w:uiPriority w:val="0"/>
    <w:rPr>
      <w:rFonts w:ascii="宋体" w:hAnsi="Courier New" w:eastAsia="宋体" w:cs="Courier New"/>
      <w:kern w:val="2"/>
      <w:sz w:val="21"/>
      <w:szCs w:val="21"/>
    </w:rPr>
  </w:style>
  <w:style w:type="character" w:customStyle="1" w:styleId="18">
    <w:name w:val="正文文本缩进 Char"/>
    <w:basedOn w:val="12"/>
    <w:link w:val="3"/>
    <w:qFormat/>
    <w:uiPriority w:val="0"/>
    <w:rPr>
      <w:rFonts w:ascii="Times New Roman" w:hAnsi="Times New Roman" w:eastAsia="宋体" w:cs="Times New Roman"/>
      <w:kern w:val="2"/>
      <w:sz w:val="21"/>
      <w:szCs w:val="24"/>
    </w:rPr>
  </w:style>
  <w:style w:type="character" w:customStyle="1" w:styleId="19">
    <w:name w:val="正文首行缩进 2 Char"/>
    <w:basedOn w:val="18"/>
    <w:link w:val="10"/>
    <w:qFormat/>
    <w:uiPriority w:val="0"/>
    <w:rPr>
      <w:rFonts w:eastAsia="仿宋_GB2312"/>
      <w:sz w:val="32"/>
    </w:rPr>
  </w:style>
  <w:style w:type="paragraph" w:customStyle="1" w:styleId="20">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340</Words>
  <Characters>1942</Characters>
  <Lines>16</Lines>
  <Paragraphs>4</Paragraphs>
  <TotalTime>5</TotalTime>
  <ScaleCrop>false</ScaleCrop>
  <LinksUpToDate>false</LinksUpToDate>
  <CharactersWithSpaces>2278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2023-07-31T18:24:00Z</dcterms:created>
  <dc:creator>ASUS</dc:creator>
  <cp:lastModifiedBy>user</cp:lastModifiedBy>
  <dcterms:modified xsi:type="dcterms:W3CDTF">2023-10-18T16:14:30Z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