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龙角镇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人民政府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</w:rPr>
        <w:t>行政处罚（一般程序）流程图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18415</wp:posOffset>
            </wp:positionV>
            <wp:extent cx="5646420" cy="7783830"/>
            <wp:effectExtent l="0" t="0" r="11430" b="7620"/>
            <wp:wrapNone/>
            <wp:docPr id="2" name="图片 2" descr="20201117151125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1117151125-0001"/>
                    <pic:cNvPicPr>
                      <a:picLocks noChangeAspect="1"/>
                    </pic:cNvPicPr>
                  </pic:nvPicPr>
                  <pic:blipFill>
                    <a:blip r:embed="rId4"/>
                    <a:srcRect l="7260" t="12978" r="7516" b="3973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77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 w:ascii="Times New Roman" w:hAnsi="Times New Roman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08DE7394"/>
    <w:rsid w:val="305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Administrator</cp:lastModifiedBy>
  <dcterms:modified xsi:type="dcterms:W3CDTF">2021-11-09T03:00:07Z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97E12EC0400344A6AD19140A84249D31</vt:lpwstr>
  </property>
</Properties>
</file>