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640" w:firstLineChars="200"/>
        <w:rPr>
          <w:rFonts w:hint="eastAsia" w:ascii="方正仿宋_GBK" w:hAnsi="方正仿宋_GBK" w:eastAsia="方正仿宋_GBK" w:cs="方正仿宋_GBK"/>
          <w:sz w:val="32"/>
          <w:szCs w:val="32"/>
        </w:rPr>
      </w:pPr>
    </w:p>
    <w:p>
      <w:pPr>
        <w:pStyle w:val="3"/>
        <w:ind w:firstLine="3080" w:firstLineChars="700"/>
        <w:jc w:val="both"/>
        <w:rPr>
          <w:rFonts w:hint="eastAsia" w:ascii="方正小标宋_GBK" w:hAnsi="方正小标宋_GBK" w:eastAsia="方正小标宋_GBK" w:cs="方正小标宋_GBK"/>
          <w:sz w:val="44"/>
          <w:szCs w:val="44"/>
        </w:rPr>
      </w:pPr>
    </w:p>
    <w:p>
      <w:pPr>
        <w:pStyle w:val="3"/>
        <w:ind w:firstLine="3080" w:firstLineChars="700"/>
        <w:jc w:val="both"/>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云阳县交通局</w:t>
      </w:r>
    </w:p>
    <w:p>
      <w:pPr>
        <w:pStyle w:val="3"/>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关于划定云阳支流航道跨河桥梁桥区</w:t>
      </w:r>
    </w:p>
    <w:p>
      <w:pPr>
        <w:pStyle w:val="3"/>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水域范围的通告</w:t>
      </w:r>
    </w:p>
    <w:p>
      <w:pPr>
        <w:pStyle w:val="3"/>
        <w:spacing w:line="560" w:lineRule="exact"/>
        <w:rPr>
          <w:rFonts w:hint="eastAsia" w:ascii="方正仿宋_GBK" w:hAnsi="方正仿宋_GBK" w:eastAsia="方正仿宋_GBK" w:cs="方正仿宋_GBK"/>
          <w:sz w:val="32"/>
          <w:szCs w:val="32"/>
        </w:rPr>
      </w:pPr>
    </w:p>
    <w:p>
      <w:pPr>
        <w:pStyle w:val="3"/>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pStyle w:val="3"/>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规范桥区水域船舶航行秩序，保障我县支流航道跨河桥梁和船舶航行安全，有效防范船舶碰撞桥梁事故，根据《中华人民共和国桥区水域水上交通安全管理办法》《交通运输部办公厅国家铁路局综合司国铁集团办公厅关于印发船舶碰撞桥梁隐患治理三年行动实施方案的通知》(交办水</w:t>
      </w:r>
      <w:r>
        <w:rPr>
          <w:rFonts w:hint="eastAsia" w:ascii="Times New Roman" w:hAnsi="Times New Roman" w:eastAsia="方正仿宋_GBK"/>
          <w:sz w:val="32"/>
          <w:szCs w:val="32"/>
        </w:rPr>
        <w:t>〔2020〕69号</w:t>
      </w:r>
      <w:r>
        <w:rPr>
          <w:rFonts w:hint="eastAsia" w:ascii="方正仿宋_GBK" w:hAnsi="方正仿宋_GBK" w:eastAsia="方正仿宋_GBK" w:cs="方正仿宋_GBK"/>
          <w:sz w:val="32"/>
          <w:szCs w:val="32"/>
        </w:rPr>
        <w:t>)等有关规定,现将我县通航支</w:t>
      </w:r>
      <w:r>
        <w:rPr>
          <w:rFonts w:hint="eastAsia" w:ascii="Times New Roman" w:hAnsi="Times New Roman" w:eastAsia="方正仿宋_GBK"/>
          <w:sz w:val="32"/>
          <w:szCs w:val="32"/>
        </w:rPr>
        <w:t>流14座</w:t>
      </w:r>
      <w:r>
        <w:rPr>
          <w:rFonts w:hint="eastAsia" w:ascii="方正仿宋_GBK" w:hAnsi="方正仿宋_GBK" w:eastAsia="方正仿宋_GBK" w:cs="方正仿宋_GBK"/>
          <w:sz w:val="32"/>
          <w:szCs w:val="32"/>
        </w:rPr>
        <w:t>跨河桥梁桥区水域范围公布如下。</w:t>
      </w:r>
    </w:p>
    <w:p>
      <w:pPr>
        <w:pStyle w:val="3"/>
        <w:spacing w:line="56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一、桥区水域范围</w:t>
      </w:r>
    </w:p>
    <w:p>
      <w:pPr>
        <w:pStyle w:val="3"/>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根据《重庆市交通局关于印发重庆市地方航道船舶碰撞桥梁隐患</w:t>
      </w:r>
      <w:r>
        <w:rPr>
          <w:rFonts w:hint="eastAsia" w:ascii="Times New Roman" w:hAnsi="Times New Roman" w:eastAsia="方正仿宋_GBK"/>
          <w:sz w:val="32"/>
          <w:szCs w:val="32"/>
        </w:rPr>
        <w:t>治理自查评估区段通航代表船型的通知》(渝交港〔2021〕11号)和《跨航道桥梁桥区水域划定工作及技术指南》的相关要求，我县通航支流14座桥</w:t>
      </w:r>
      <w:r>
        <w:rPr>
          <w:rFonts w:hint="eastAsia" w:ascii="方正仿宋_GBK" w:hAnsi="方正仿宋_GBK" w:eastAsia="方正仿宋_GBK" w:cs="方正仿宋_GBK"/>
          <w:sz w:val="32"/>
          <w:szCs w:val="32"/>
        </w:rPr>
        <w:t>梁桥区水域范围如下表：</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1447"/>
        <w:gridCol w:w="2167"/>
        <w:gridCol w:w="1591"/>
        <w:gridCol w:w="2054"/>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646" w:type="dxa"/>
            <w:vAlign w:val="center"/>
          </w:tcPr>
          <w:p>
            <w:pPr>
              <w:spacing w:line="56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序号</w:t>
            </w:r>
          </w:p>
        </w:tc>
        <w:tc>
          <w:tcPr>
            <w:tcW w:w="1447" w:type="dxa"/>
            <w:vAlign w:val="center"/>
          </w:tcPr>
          <w:p>
            <w:pPr>
              <w:spacing w:line="56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所属航道</w:t>
            </w:r>
          </w:p>
        </w:tc>
        <w:tc>
          <w:tcPr>
            <w:tcW w:w="2167" w:type="dxa"/>
            <w:vAlign w:val="center"/>
          </w:tcPr>
          <w:p>
            <w:pPr>
              <w:spacing w:line="56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桥梁名称</w:t>
            </w:r>
          </w:p>
        </w:tc>
        <w:tc>
          <w:tcPr>
            <w:tcW w:w="1591" w:type="dxa"/>
            <w:vAlign w:val="center"/>
          </w:tcPr>
          <w:p>
            <w:pPr>
              <w:spacing w:line="56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位置</w:t>
            </w:r>
          </w:p>
        </w:tc>
        <w:tc>
          <w:tcPr>
            <w:tcW w:w="2054" w:type="dxa"/>
            <w:vAlign w:val="center"/>
          </w:tcPr>
          <w:p>
            <w:pPr>
              <w:spacing w:line="56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桥区水域范围</w:t>
            </w:r>
          </w:p>
        </w:tc>
        <w:tc>
          <w:tcPr>
            <w:tcW w:w="617" w:type="dxa"/>
            <w:vAlign w:val="center"/>
          </w:tcPr>
          <w:p>
            <w:pPr>
              <w:spacing w:line="56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spacing w:line="56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p>
        </w:tc>
        <w:tc>
          <w:tcPr>
            <w:tcW w:w="1447" w:type="dxa"/>
            <w:vAlign w:val="center"/>
          </w:tcPr>
          <w:p>
            <w:pPr>
              <w:spacing w:line="56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澎溪河</w:t>
            </w:r>
          </w:p>
        </w:tc>
        <w:tc>
          <w:tcPr>
            <w:tcW w:w="2167" w:type="dxa"/>
            <w:vAlign w:val="center"/>
          </w:tcPr>
          <w:p>
            <w:pPr>
              <w:spacing w:line="56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双江大桥</w:t>
            </w:r>
          </w:p>
        </w:tc>
        <w:tc>
          <w:tcPr>
            <w:tcW w:w="1591"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距河口3.9km</w:t>
            </w:r>
          </w:p>
        </w:tc>
        <w:tc>
          <w:tcPr>
            <w:tcW w:w="2054"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桥梁上游440m、下游220m</w:t>
            </w:r>
          </w:p>
        </w:tc>
        <w:tc>
          <w:tcPr>
            <w:tcW w:w="617" w:type="dxa"/>
            <w:vAlign w:val="center"/>
          </w:tcPr>
          <w:p>
            <w:pPr>
              <w:spacing w:line="560" w:lineRule="exact"/>
              <w:jc w:val="cente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spacing w:line="56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p>
        </w:tc>
        <w:tc>
          <w:tcPr>
            <w:tcW w:w="1447" w:type="dxa"/>
            <w:vAlign w:val="center"/>
          </w:tcPr>
          <w:p>
            <w:pPr>
              <w:spacing w:line="56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澎溪河</w:t>
            </w:r>
          </w:p>
        </w:tc>
        <w:tc>
          <w:tcPr>
            <w:tcW w:w="2167" w:type="dxa"/>
            <w:vAlign w:val="center"/>
          </w:tcPr>
          <w:p>
            <w:pPr>
              <w:spacing w:line="56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澎溪河高速公路大桥</w:t>
            </w:r>
          </w:p>
        </w:tc>
        <w:tc>
          <w:tcPr>
            <w:tcW w:w="1591"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距河口8.2km</w:t>
            </w:r>
          </w:p>
        </w:tc>
        <w:tc>
          <w:tcPr>
            <w:tcW w:w="2054"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桥梁上游440m、下游220m</w:t>
            </w:r>
          </w:p>
        </w:tc>
        <w:tc>
          <w:tcPr>
            <w:tcW w:w="617" w:type="dxa"/>
            <w:vAlign w:val="center"/>
          </w:tcPr>
          <w:p>
            <w:pPr>
              <w:spacing w:line="560" w:lineRule="exact"/>
              <w:jc w:val="cente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spacing w:line="56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w:t>
            </w:r>
          </w:p>
        </w:tc>
        <w:tc>
          <w:tcPr>
            <w:tcW w:w="1447" w:type="dxa"/>
            <w:vAlign w:val="center"/>
          </w:tcPr>
          <w:p>
            <w:pPr>
              <w:spacing w:line="56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澎溪河</w:t>
            </w:r>
          </w:p>
        </w:tc>
        <w:tc>
          <w:tcPr>
            <w:tcW w:w="2167" w:type="dxa"/>
            <w:vAlign w:val="center"/>
          </w:tcPr>
          <w:p>
            <w:pPr>
              <w:spacing w:line="56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澎溪河多线特大桥（高铁）</w:t>
            </w:r>
          </w:p>
        </w:tc>
        <w:tc>
          <w:tcPr>
            <w:tcW w:w="1591"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距河口11.4km</w:t>
            </w:r>
          </w:p>
        </w:tc>
        <w:tc>
          <w:tcPr>
            <w:tcW w:w="2054"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桥梁上游440m、下游220m</w:t>
            </w:r>
          </w:p>
        </w:tc>
        <w:tc>
          <w:tcPr>
            <w:tcW w:w="617" w:type="dxa"/>
            <w:vAlign w:val="center"/>
          </w:tcPr>
          <w:p>
            <w:pPr>
              <w:spacing w:line="560" w:lineRule="exact"/>
              <w:jc w:val="center"/>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4</w:t>
            </w:r>
          </w:p>
        </w:tc>
        <w:tc>
          <w:tcPr>
            <w:tcW w:w="1447"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澎溪河</w:t>
            </w:r>
          </w:p>
        </w:tc>
        <w:tc>
          <w:tcPr>
            <w:tcW w:w="2167"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小江大桥</w:t>
            </w:r>
          </w:p>
        </w:tc>
        <w:tc>
          <w:tcPr>
            <w:tcW w:w="1591"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距河口26.2km</w:t>
            </w:r>
          </w:p>
        </w:tc>
        <w:tc>
          <w:tcPr>
            <w:tcW w:w="2054"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桥梁上游440m、下游220m</w:t>
            </w:r>
          </w:p>
        </w:tc>
        <w:tc>
          <w:tcPr>
            <w:tcW w:w="617" w:type="dxa"/>
            <w:vAlign w:val="center"/>
          </w:tcPr>
          <w:p>
            <w:pPr>
              <w:spacing w:line="560" w:lineRule="exact"/>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5</w:t>
            </w:r>
          </w:p>
        </w:tc>
        <w:tc>
          <w:tcPr>
            <w:tcW w:w="1447"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澎溪河</w:t>
            </w:r>
          </w:p>
        </w:tc>
        <w:tc>
          <w:tcPr>
            <w:tcW w:w="2167"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养鹿大桥</w:t>
            </w:r>
          </w:p>
        </w:tc>
        <w:tc>
          <w:tcPr>
            <w:tcW w:w="1591"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距河口43.2km</w:t>
            </w:r>
          </w:p>
        </w:tc>
        <w:tc>
          <w:tcPr>
            <w:tcW w:w="2054"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桥梁上游440m、下游220m</w:t>
            </w:r>
          </w:p>
        </w:tc>
        <w:tc>
          <w:tcPr>
            <w:tcW w:w="617" w:type="dxa"/>
            <w:vAlign w:val="center"/>
          </w:tcPr>
          <w:p>
            <w:pPr>
              <w:spacing w:line="560" w:lineRule="exact"/>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6</w:t>
            </w:r>
          </w:p>
        </w:tc>
        <w:tc>
          <w:tcPr>
            <w:tcW w:w="1447"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汤溪河</w:t>
            </w:r>
          </w:p>
        </w:tc>
        <w:tc>
          <w:tcPr>
            <w:tcW w:w="2167"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乌洋溪大桥</w:t>
            </w:r>
          </w:p>
        </w:tc>
        <w:tc>
          <w:tcPr>
            <w:tcW w:w="1591"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距河口2.2km</w:t>
            </w:r>
          </w:p>
        </w:tc>
        <w:tc>
          <w:tcPr>
            <w:tcW w:w="2054"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桥梁上游352m、下游176m</w:t>
            </w:r>
          </w:p>
        </w:tc>
        <w:tc>
          <w:tcPr>
            <w:tcW w:w="617" w:type="dxa"/>
            <w:vAlign w:val="center"/>
          </w:tcPr>
          <w:p>
            <w:pPr>
              <w:spacing w:line="560" w:lineRule="exact"/>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7</w:t>
            </w:r>
          </w:p>
        </w:tc>
        <w:tc>
          <w:tcPr>
            <w:tcW w:w="1447"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汤溪河</w:t>
            </w:r>
          </w:p>
        </w:tc>
        <w:tc>
          <w:tcPr>
            <w:tcW w:w="2167"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汤溪河特大桥（高速）</w:t>
            </w:r>
          </w:p>
        </w:tc>
        <w:tc>
          <w:tcPr>
            <w:tcW w:w="1591"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距河口3.4km</w:t>
            </w:r>
          </w:p>
        </w:tc>
        <w:tc>
          <w:tcPr>
            <w:tcW w:w="2054"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桥梁上游352m、下游176m</w:t>
            </w:r>
          </w:p>
        </w:tc>
        <w:tc>
          <w:tcPr>
            <w:tcW w:w="617" w:type="dxa"/>
            <w:vAlign w:val="center"/>
          </w:tcPr>
          <w:p>
            <w:pPr>
              <w:spacing w:line="560" w:lineRule="exact"/>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8</w:t>
            </w:r>
          </w:p>
        </w:tc>
        <w:tc>
          <w:tcPr>
            <w:tcW w:w="1447"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汤溪河</w:t>
            </w:r>
          </w:p>
        </w:tc>
        <w:tc>
          <w:tcPr>
            <w:tcW w:w="2167"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汤溪河双线大桥（高铁）</w:t>
            </w:r>
          </w:p>
        </w:tc>
        <w:tc>
          <w:tcPr>
            <w:tcW w:w="1591"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距河口3.8km</w:t>
            </w:r>
          </w:p>
        </w:tc>
        <w:tc>
          <w:tcPr>
            <w:tcW w:w="2054"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桥梁上游352m、下游176m</w:t>
            </w:r>
          </w:p>
        </w:tc>
        <w:tc>
          <w:tcPr>
            <w:tcW w:w="617" w:type="dxa"/>
            <w:vAlign w:val="center"/>
          </w:tcPr>
          <w:p>
            <w:pPr>
              <w:spacing w:line="560" w:lineRule="exact"/>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9</w:t>
            </w:r>
          </w:p>
        </w:tc>
        <w:tc>
          <w:tcPr>
            <w:tcW w:w="1447"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汤溪河</w:t>
            </w:r>
          </w:p>
        </w:tc>
        <w:tc>
          <w:tcPr>
            <w:tcW w:w="2167"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美陶大桥</w:t>
            </w:r>
          </w:p>
        </w:tc>
        <w:tc>
          <w:tcPr>
            <w:tcW w:w="1591"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距河口10.8km</w:t>
            </w:r>
          </w:p>
        </w:tc>
        <w:tc>
          <w:tcPr>
            <w:tcW w:w="2054"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桥梁上游176m、下游88m</w:t>
            </w:r>
          </w:p>
        </w:tc>
        <w:tc>
          <w:tcPr>
            <w:tcW w:w="617" w:type="dxa"/>
            <w:vAlign w:val="center"/>
          </w:tcPr>
          <w:p>
            <w:pPr>
              <w:spacing w:line="560" w:lineRule="exact"/>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10</w:t>
            </w:r>
          </w:p>
        </w:tc>
        <w:tc>
          <w:tcPr>
            <w:tcW w:w="1447"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汤溪河</w:t>
            </w:r>
          </w:p>
        </w:tc>
        <w:tc>
          <w:tcPr>
            <w:tcW w:w="2167"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汤溪河大桥</w:t>
            </w:r>
          </w:p>
        </w:tc>
        <w:tc>
          <w:tcPr>
            <w:tcW w:w="1591"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距河口19.5km</w:t>
            </w:r>
          </w:p>
        </w:tc>
        <w:tc>
          <w:tcPr>
            <w:tcW w:w="2054"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桥梁上游176m、下游88m</w:t>
            </w:r>
          </w:p>
        </w:tc>
        <w:tc>
          <w:tcPr>
            <w:tcW w:w="617" w:type="dxa"/>
            <w:vAlign w:val="center"/>
          </w:tcPr>
          <w:p>
            <w:pPr>
              <w:spacing w:line="560" w:lineRule="exact"/>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11</w:t>
            </w:r>
          </w:p>
        </w:tc>
        <w:tc>
          <w:tcPr>
            <w:tcW w:w="1447"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汤溪河</w:t>
            </w:r>
          </w:p>
        </w:tc>
        <w:tc>
          <w:tcPr>
            <w:tcW w:w="2167"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南溪大桥</w:t>
            </w:r>
          </w:p>
        </w:tc>
        <w:tc>
          <w:tcPr>
            <w:tcW w:w="1591"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距河口21.3km</w:t>
            </w:r>
          </w:p>
        </w:tc>
        <w:tc>
          <w:tcPr>
            <w:tcW w:w="2054"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桥梁上游352m、下游176m</w:t>
            </w:r>
          </w:p>
        </w:tc>
        <w:tc>
          <w:tcPr>
            <w:tcW w:w="617" w:type="dxa"/>
            <w:vAlign w:val="center"/>
          </w:tcPr>
          <w:p>
            <w:pPr>
              <w:spacing w:line="560" w:lineRule="exact"/>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12</w:t>
            </w:r>
          </w:p>
        </w:tc>
        <w:tc>
          <w:tcPr>
            <w:tcW w:w="1447"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磨刀溪</w:t>
            </w:r>
          </w:p>
        </w:tc>
        <w:tc>
          <w:tcPr>
            <w:tcW w:w="2167"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新津大桥</w:t>
            </w:r>
          </w:p>
        </w:tc>
        <w:tc>
          <w:tcPr>
            <w:tcW w:w="1591"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距河口2km</w:t>
            </w:r>
          </w:p>
        </w:tc>
        <w:tc>
          <w:tcPr>
            <w:tcW w:w="2054"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桥梁上游352m、下游176m</w:t>
            </w:r>
          </w:p>
        </w:tc>
        <w:tc>
          <w:tcPr>
            <w:tcW w:w="617" w:type="dxa"/>
            <w:vAlign w:val="center"/>
          </w:tcPr>
          <w:p>
            <w:pPr>
              <w:spacing w:line="560" w:lineRule="exact"/>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13</w:t>
            </w:r>
          </w:p>
        </w:tc>
        <w:tc>
          <w:tcPr>
            <w:tcW w:w="1447"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磨刀溪</w:t>
            </w:r>
          </w:p>
        </w:tc>
        <w:tc>
          <w:tcPr>
            <w:tcW w:w="2167"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龙角大桥</w:t>
            </w:r>
          </w:p>
        </w:tc>
        <w:tc>
          <w:tcPr>
            <w:tcW w:w="1591"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距河口21km</w:t>
            </w:r>
          </w:p>
        </w:tc>
        <w:tc>
          <w:tcPr>
            <w:tcW w:w="2054"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桥梁上游352m、下游176m</w:t>
            </w:r>
          </w:p>
        </w:tc>
        <w:tc>
          <w:tcPr>
            <w:tcW w:w="617" w:type="dxa"/>
            <w:vAlign w:val="center"/>
          </w:tcPr>
          <w:p>
            <w:pPr>
              <w:spacing w:line="560" w:lineRule="exact"/>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14</w:t>
            </w:r>
          </w:p>
        </w:tc>
        <w:tc>
          <w:tcPr>
            <w:tcW w:w="1447"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长滩河</w:t>
            </w:r>
          </w:p>
        </w:tc>
        <w:tc>
          <w:tcPr>
            <w:tcW w:w="2167"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长滩河大桥</w:t>
            </w:r>
          </w:p>
        </w:tc>
        <w:tc>
          <w:tcPr>
            <w:tcW w:w="1591"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距河口5.3km</w:t>
            </w:r>
          </w:p>
        </w:tc>
        <w:tc>
          <w:tcPr>
            <w:tcW w:w="2054" w:type="dxa"/>
            <w:vAlign w:val="center"/>
          </w:tcPr>
          <w:p>
            <w:pPr>
              <w:spacing w:line="560" w:lineRule="exact"/>
              <w:jc w:val="center"/>
              <w:rPr>
                <w:rFonts w:hint="eastAsia" w:ascii="Times New Roman" w:hAnsi="Times New Roman" w:eastAsia="方正仿宋_GBK"/>
                <w:sz w:val="32"/>
                <w:szCs w:val="32"/>
              </w:rPr>
            </w:pPr>
            <w:r>
              <w:rPr>
                <w:rFonts w:hint="eastAsia" w:ascii="Times New Roman" w:hAnsi="Times New Roman" w:eastAsia="方正仿宋_GBK"/>
                <w:sz w:val="32"/>
                <w:szCs w:val="32"/>
              </w:rPr>
              <w:t>桥梁上游268m、下游134m</w:t>
            </w:r>
          </w:p>
        </w:tc>
        <w:tc>
          <w:tcPr>
            <w:tcW w:w="617" w:type="dxa"/>
            <w:vAlign w:val="center"/>
          </w:tcPr>
          <w:p>
            <w:pPr>
              <w:spacing w:line="560" w:lineRule="exact"/>
              <w:jc w:val="center"/>
              <w:rPr>
                <w:rFonts w:hint="eastAsia" w:ascii="Times New Roman" w:hAnsi="Times New Roman" w:eastAsia="方正仿宋_GBK"/>
                <w:sz w:val="32"/>
                <w:szCs w:val="32"/>
              </w:rPr>
            </w:pPr>
          </w:p>
        </w:tc>
      </w:tr>
    </w:tbl>
    <w:p>
      <w:pPr>
        <w:pStyle w:val="3"/>
        <w:spacing w:line="560" w:lineRule="exact"/>
        <w:rPr>
          <w:rFonts w:hint="eastAsia" w:ascii="方正黑体_GBK" w:hAnsi="Times New Roman" w:eastAsia="方正黑体_GBK"/>
          <w:sz w:val="32"/>
          <w:szCs w:val="32"/>
        </w:rPr>
      </w:pPr>
      <w:r>
        <w:rPr>
          <w:rFonts w:hint="eastAsia" w:ascii="方正黑体_GBK" w:hAnsi="Times New Roman" w:eastAsia="方正黑体_GBK"/>
          <w:sz w:val="32"/>
          <w:szCs w:val="32"/>
        </w:rPr>
        <w:t>二、有关要求</w:t>
      </w:r>
    </w:p>
    <w:p>
      <w:pPr>
        <w:pStyle w:val="3"/>
        <w:spacing w:line="560" w:lineRule="exact"/>
        <w:ind w:firstLine="480" w:firstLineChars="15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w:t>
      </w:r>
      <w:r>
        <w:rPr>
          <w:rFonts w:hint="eastAsia" w:ascii="方正仿宋_GBK" w:hAnsi="方正仿宋_GBK" w:eastAsia="方正仿宋_GBK" w:cs="方正仿宋_GBK"/>
          <w:sz w:val="32"/>
          <w:szCs w:val="32"/>
        </w:rPr>
        <w:t>船舶在通过桥区水域前，需保持主机、舵、锚、航行信息、导航设备、拖带设备及应急设备处于良好技术状态，加强瞭望，及早与过往船舶取得联系，明确各自动态及会让意图；遵守桥区水域的限速规定，保持安全航速航行。</w:t>
      </w:r>
    </w:p>
    <w:p>
      <w:pPr>
        <w:pStyle w:val="3"/>
        <w:spacing w:line="560" w:lineRule="exact"/>
        <w:ind w:firstLine="480" w:firstLineChars="15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w:t>
      </w:r>
      <w:r>
        <w:rPr>
          <w:rFonts w:hint="eastAsia" w:ascii="方正仿宋_GBK" w:hAnsi="方正仿宋_GBK" w:eastAsia="方正仿宋_GBK" w:cs="方正仿宋_GBK"/>
          <w:sz w:val="32"/>
          <w:szCs w:val="32"/>
        </w:rPr>
        <w:t>遇有下列情形之一，船舶不得通过桥梁：</w:t>
      </w:r>
    </w:p>
    <w:p>
      <w:pPr>
        <w:pStyle w:val="3"/>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1.水文、气象条件影响船舶安全通过时。</w:t>
      </w:r>
    </w:p>
    <w:p>
      <w:pPr>
        <w:pStyle w:val="3"/>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2.发现桥区水域航道、航标等存在异常情况妨碍本船正常通过时。</w:t>
      </w:r>
    </w:p>
    <w:p>
      <w:pPr>
        <w:pStyle w:val="3"/>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3.本船操纵能力受限或航行设备故障,不能确保安全通过时。</w:t>
      </w:r>
    </w:p>
    <w:p>
      <w:pPr>
        <w:pStyle w:val="3"/>
        <w:spacing w:line="560" w:lineRule="exact"/>
        <w:ind w:firstLine="640" w:firstLineChars="200"/>
        <w:rPr>
          <w:rFonts w:hint="eastAsia" w:ascii="方正仿宋_GBK" w:hAnsi="方正仿宋_GBK" w:eastAsia="方正仿宋_GBK" w:cs="方正仿宋_GBK"/>
          <w:sz w:val="32"/>
          <w:szCs w:val="32"/>
        </w:rPr>
      </w:pPr>
      <w:r>
        <w:rPr>
          <w:rFonts w:ascii="Times New Roman" w:hAnsi="Times New Roman" w:eastAsia="方正仿宋_GBK"/>
          <w:sz w:val="32"/>
          <w:szCs w:val="32"/>
        </w:rPr>
        <w:t>4</w:t>
      </w:r>
      <w:r>
        <w:rPr>
          <w:rFonts w:hint="eastAsia" w:ascii="方正仿宋_GBK" w:hAnsi="方正仿宋_GBK" w:eastAsia="方正仿宋_GBK" w:cs="方正仿宋_GBK"/>
          <w:sz w:val="32"/>
          <w:szCs w:val="32"/>
        </w:rPr>
        <w:t>.相关主管部门发布的禁止船舶通过桥梁的其他情形。</w:t>
      </w:r>
    </w:p>
    <w:p>
      <w:pPr>
        <w:pStyle w:val="3"/>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w:t>
      </w:r>
      <w:r>
        <w:rPr>
          <w:rFonts w:hint="eastAsia" w:ascii="方正仿宋_GBK" w:hAnsi="方正仿宋_GBK" w:eastAsia="方正仿宋_GBK" w:cs="方正仿宋_GBK"/>
          <w:sz w:val="32"/>
          <w:szCs w:val="32"/>
        </w:rPr>
        <w:t>船舶在桥区水域内禁止下列行为:</w:t>
      </w:r>
    </w:p>
    <w:p>
      <w:pPr>
        <w:pStyle w:val="3"/>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1.淌航、掉头、横越。</w:t>
      </w:r>
    </w:p>
    <w:p>
      <w:pPr>
        <w:pStyle w:val="3"/>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2.编解队、过驳、采砂作业。</w:t>
      </w:r>
    </w:p>
    <w:p>
      <w:pPr>
        <w:pStyle w:val="3"/>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3.船舶罗经校验、试航船舶效用试验。</w:t>
      </w:r>
    </w:p>
    <w:p>
      <w:pPr>
        <w:pStyle w:val="3"/>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4.限制性桥梁通航桥孔内追越或并列行驶。</w:t>
      </w:r>
    </w:p>
    <w:p>
      <w:pPr>
        <w:pStyle w:val="3"/>
        <w:spacing w:line="560" w:lineRule="exact"/>
        <w:ind w:firstLine="640" w:firstLineChars="200"/>
        <w:rPr>
          <w:rFonts w:hint="eastAsia" w:ascii="方正仿宋_GBK" w:hAnsi="方正仿宋_GBK" w:eastAsia="方正仿宋_GBK" w:cs="方正仿宋_GBK"/>
          <w:sz w:val="32"/>
          <w:szCs w:val="32"/>
        </w:rPr>
      </w:pPr>
      <w:r>
        <w:rPr>
          <w:rFonts w:ascii="Times New Roman" w:hAnsi="Times New Roman" w:eastAsia="方正仿宋_GBK"/>
          <w:sz w:val="32"/>
          <w:szCs w:val="32"/>
        </w:rPr>
        <w:t>5</w:t>
      </w:r>
      <w:r>
        <w:rPr>
          <w:rFonts w:hint="eastAsia" w:ascii="方正仿宋_GBK" w:hAnsi="方正仿宋_GBK" w:eastAsia="方正仿宋_GBK" w:cs="方正仿宋_GBK"/>
          <w:sz w:val="32"/>
          <w:szCs w:val="32"/>
        </w:rPr>
        <w:t>.捕捞作业,以及其他影响水上交通安全的行为</w:t>
      </w:r>
    </w:p>
    <w:p>
      <w:pPr>
        <w:pStyle w:val="3"/>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w:t>
      </w:r>
      <w:r>
        <w:rPr>
          <w:rFonts w:hint="eastAsia" w:ascii="方正仿宋_GBK" w:hAnsi="方正仿宋_GBK" w:eastAsia="方正仿宋_GBK" w:cs="方正仿宋_GBK"/>
          <w:sz w:val="32"/>
          <w:szCs w:val="32"/>
        </w:rPr>
        <w:t>除紧急情况或航道疏浚、维护外，船舶一律不得在桥区水域范围内锚泊。</w:t>
      </w:r>
    </w:p>
    <w:p>
      <w:pPr>
        <w:pStyle w:val="3"/>
        <w:spacing w:line="560"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（五）</w:t>
      </w:r>
      <w:r>
        <w:rPr>
          <w:rFonts w:hint="eastAsia" w:ascii="方正仿宋_GBK" w:hAnsi="方正仿宋_GBK" w:eastAsia="方正仿宋_GBK" w:cs="方正仿宋_GBK"/>
          <w:sz w:val="32"/>
          <w:szCs w:val="32"/>
        </w:rPr>
        <w:t>其他未尽事宜按国家现行相关规定执行。</w:t>
      </w:r>
    </w:p>
    <w:p>
      <w:pPr>
        <w:pStyle w:val="3"/>
        <w:spacing w:line="560" w:lineRule="exact"/>
        <w:rPr>
          <w:rFonts w:hint="eastAsia" w:ascii="方正仿宋_GBK" w:hAnsi="方正仿宋_GBK" w:eastAsia="方正仿宋_GBK" w:cs="方正仿宋_GBK"/>
          <w:sz w:val="32"/>
          <w:szCs w:val="32"/>
        </w:rPr>
      </w:pPr>
    </w:p>
    <w:p>
      <w:pPr>
        <w:pStyle w:val="3"/>
        <w:spacing w:line="560" w:lineRule="exact"/>
        <w:rPr>
          <w:rFonts w:hint="eastAsia" w:ascii="方正仿宋_GBK" w:hAnsi="方正仿宋_GBK" w:eastAsia="方正仿宋_GBK" w:cs="方正仿宋_GBK"/>
          <w:sz w:val="32"/>
          <w:szCs w:val="32"/>
        </w:rPr>
      </w:pPr>
    </w:p>
    <w:p>
      <w:pPr>
        <w:pStyle w:val="3"/>
        <w:spacing w:line="560" w:lineRule="exact"/>
        <w:ind w:firstLine="5440" w:firstLineChars="17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云阳县交通局</w:t>
      </w:r>
      <w:bookmarkStart w:id="0" w:name="_GoBack"/>
      <w:bookmarkEnd w:id="0"/>
    </w:p>
    <w:p>
      <w:pPr>
        <w:pStyle w:val="3"/>
        <w:spacing w:line="560" w:lineRule="exact"/>
        <w:ind w:firstLine="5280" w:firstLineChars="165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2022年5月</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日</w:t>
      </w:r>
    </w:p>
    <w:p>
      <w:pPr>
        <w:spacing w:line="720" w:lineRule="exact"/>
      </w:pPr>
    </w:p>
    <w:sectPr>
      <w:footerReference r:id="rId5" w:type="first"/>
      <w:footerReference r:id="rId3" w:type="default"/>
      <w:footerReference r:id="rId4" w:type="even"/>
      <w:pgSz w:w="11906" w:h="16838"/>
      <w:pgMar w:top="2098" w:right="1531" w:bottom="1985" w:left="153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80"/>
      <w:jc w:val="right"/>
      <w:rPr>
        <w:rFonts w:ascii="宋体" w:hAnsi="宋体"/>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ascii="宋体" w:hAnsi="宋体"/>
        <w:sz w:val="28"/>
        <w:szCs w:val="28"/>
      </w:rPr>
      <w:t xml:space="preserve"> —</w: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840" w:firstLine="280" w:firstLineChars="100"/>
      <w:rPr>
        <w:rFonts w:ascii="宋体" w:hAnsi="宋体"/>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rPr>
      <w:t xml:space="preserve"> —</w:t>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280"/>
      <w:jc w:val="right"/>
      <w:rPr>
        <w:rFonts w:ascii="宋体" w:hAnsi="宋体"/>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ascii="宋体" w:hAnsi="宋体"/>
        <w:sz w:val="28"/>
        <w:szCs w:val="28"/>
      </w:rPr>
      <w:t xml:space="preserve"> —</w: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YWYyMDY0MzVjMmVmYjFiZmYxY2U3YTQwOTY3NDkifQ=="/>
  </w:docVars>
  <w:rsids>
    <w:rsidRoot w:val="00DF5C26"/>
    <w:rsid w:val="00182E67"/>
    <w:rsid w:val="003A304A"/>
    <w:rsid w:val="00680B2C"/>
    <w:rsid w:val="008955C6"/>
    <w:rsid w:val="00914EE7"/>
    <w:rsid w:val="00A7533E"/>
    <w:rsid w:val="00D31094"/>
    <w:rsid w:val="00DF5C26"/>
    <w:rsid w:val="00F75029"/>
    <w:rsid w:val="00F93BCC"/>
    <w:rsid w:val="02BD2388"/>
    <w:rsid w:val="1F7E33F9"/>
    <w:rsid w:val="21157951"/>
    <w:rsid w:val="281775B3"/>
    <w:rsid w:val="2C6D4B2A"/>
    <w:rsid w:val="2DC2201C"/>
    <w:rsid w:val="37FB0769"/>
    <w:rsid w:val="3CAC1850"/>
    <w:rsid w:val="406E45F2"/>
    <w:rsid w:val="45CA0CDE"/>
    <w:rsid w:val="49AF0520"/>
    <w:rsid w:val="4A6239F0"/>
    <w:rsid w:val="4B703B3D"/>
    <w:rsid w:val="4BAC4330"/>
    <w:rsid w:val="4BC9561D"/>
    <w:rsid w:val="5CC27694"/>
    <w:rsid w:val="5E665D7A"/>
    <w:rsid w:val="6B721082"/>
    <w:rsid w:val="72114CD3"/>
    <w:rsid w:val="74A921E7"/>
    <w:rsid w:val="7E1B0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0"/>
    <w:pPr>
      <w:outlineLvl w:val="3"/>
    </w:pPr>
    <w:rPr>
      <w:rFonts w:ascii="Times New Roman" w:hAnsi="Times New Roman"/>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7"/>
    <w:unhideWhenUsed/>
    <w:qFormat/>
    <w:uiPriority w:val="99"/>
    <w:pPr>
      <w:spacing w:after="120" w:line="540" w:lineRule="exact"/>
    </w:pPr>
    <w:rPr>
      <w:szCs w:val="22"/>
    </w:rPr>
  </w:style>
  <w:style w:type="paragraph" w:styleId="4">
    <w:name w:val="Body Text Indent"/>
    <w:basedOn w:val="1"/>
    <w:qFormat/>
    <w:uiPriority w:val="0"/>
    <w:pPr>
      <w:spacing w:after="120"/>
      <w:ind w:left="420" w:leftChars="200"/>
    </w:pPr>
  </w:style>
  <w:style w:type="paragraph" w:styleId="5">
    <w:name w:val="Balloon Text"/>
    <w:basedOn w:val="1"/>
    <w:link w:val="16"/>
    <w:uiPriority w:val="0"/>
    <w:rPr>
      <w:sz w:val="18"/>
      <w:szCs w:val="18"/>
    </w:rPr>
  </w:style>
  <w:style w:type="paragraph" w:styleId="6">
    <w:name w:val="footer"/>
    <w:basedOn w:val="1"/>
    <w:link w:val="15"/>
    <w:qFormat/>
    <w:uiPriority w:val="99"/>
    <w:pPr>
      <w:tabs>
        <w:tab w:val="center" w:pos="4153"/>
        <w:tab w:val="right" w:pos="8306"/>
      </w:tabs>
      <w:snapToGrid w:val="0"/>
      <w:jc w:val="left"/>
    </w:pPr>
    <w:rPr>
      <w:kern w:val="0"/>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Body Text First Indent 2"/>
    <w:basedOn w:val="4"/>
    <w:unhideWhenUsed/>
    <w:qFormat/>
    <w:uiPriority w:val="99"/>
    <w:pPr>
      <w:ind w:firstLine="420" w:firstLineChars="200"/>
    </w:pPr>
    <w:rPr>
      <w:rFonts w:ascii="Arial" w:hAnsi="Arial"/>
    </w:rPr>
  </w:style>
  <w:style w:type="table" w:styleId="10">
    <w:name w:val="Table Grid"/>
    <w:basedOn w:val="9"/>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2">
    <w:name w:val="D正文"/>
    <w:basedOn w:val="8"/>
    <w:qFormat/>
    <w:uiPriority w:val="0"/>
    <w:rPr>
      <w:rFonts w:ascii="Calibri" w:hAnsi="Calibri"/>
      <w:szCs w:val="22"/>
    </w:rPr>
  </w:style>
  <w:style w:type="character" w:customStyle="1" w:styleId="13">
    <w:name w:val="font11"/>
    <w:basedOn w:val="11"/>
    <w:qFormat/>
    <w:uiPriority w:val="0"/>
    <w:rPr>
      <w:rFonts w:hint="eastAsia" w:ascii="方正仿宋_GBK" w:hAnsi="方正仿宋_GBK" w:eastAsia="方正仿宋_GBK" w:cs="方正仿宋_GBK"/>
      <w:color w:val="000000"/>
      <w:sz w:val="18"/>
      <w:szCs w:val="18"/>
      <w:u w:val="none"/>
    </w:rPr>
  </w:style>
  <w:style w:type="character" w:customStyle="1" w:styleId="14">
    <w:name w:val="font01"/>
    <w:basedOn w:val="11"/>
    <w:qFormat/>
    <w:uiPriority w:val="0"/>
    <w:rPr>
      <w:rFonts w:hint="eastAsia" w:ascii="方正仿宋_GBK" w:hAnsi="方正仿宋_GBK" w:eastAsia="方正仿宋_GBK" w:cs="方正仿宋_GBK"/>
      <w:color w:val="000000"/>
      <w:sz w:val="18"/>
      <w:szCs w:val="18"/>
      <w:u w:val="none"/>
    </w:rPr>
  </w:style>
  <w:style w:type="character" w:customStyle="1" w:styleId="15">
    <w:name w:val="页脚 Char"/>
    <w:link w:val="6"/>
    <w:locked/>
    <w:uiPriority w:val="99"/>
    <w:rPr>
      <w:rFonts w:ascii="Calibri" w:hAnsi="Calibri"/>
      <w:sz w:val="18"/>
      <w:szCs w:val="18"/>
    </w:rPr>
  </w:style>
  <w:style w:type="character" w:customStyle="1" w:styleId="16">
    <w:name w:val="批注框文本 Char"/>
    <w:basedOn w:val="11"/>
    <w:link w:val="5"/>
    <w:uiPriority w:val="0"/>
    <w:rPr>
      <w:rFonts w:ascii="Calibri" w:hAnsi="Calibri"/>
      <w:kern w:val="2"/>
      <w:sz w:val="18"/>
      <w:szCs w:val="18"/>
    </w:rPr>
  </w:style>
  <w:style w:type="character" w:customStyle="1" w:styleId="17">
    <w:name w:val="正文文本 Char"/>
    <w:basedOn w:val="11"/>
    <w:link w:val="3"/>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1039</Words>
  <Characters>1208</Characters>
  <Lines>13</Lines>
  <Paragraphs>3</Paragraphs>
  <TotalTime>1</TotalTime>
  <ScaleCrop>false</ScaleCrop>
  <LinksUpToDate>false</LinksUpToDate>
  <CharactersWithSpaces>1211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2022-05-19T06:58:00Z</dcterms:created>
  <dc:creator>Administrator</dc:creator>
  <cp:lastModifiedBy>-</cp:lastModifiedBy>
  <cp:lastPrinted>2022-01-25T02:20:00Z</cp:lastPrinted>
  <dcterms:modified xsi:type="dcterms:W3CDTF">2022-05-23T06:19:09Z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1F3A39D39596425FB5724D5D7C98B2C0</vt:lpwstr>
  </property>
</Properties>
</file>