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《关于2024年采暖季天然气销售价格的通知》政策解读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近日，我委印发了《关于2024年采暖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季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天然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气销售价格的通知》（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云阳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发改价〔2024〕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632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号，下称《通知》）。现就《通知》政策依据、主要内容、执行时间等解读如下。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一、政策依据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（一）上游门站价格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上游供气企业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调整重庆天然气门站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价格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，结合《重庆市发展和改革委员会关于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2024年采暖季中心城区非居民用气销售价格的通知》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发改价格〔20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1426号）精神，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调整非居民天然气销售价格。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（二）下游销售价格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按照《关于建立居民用天然气上下游价格联动机制的通知》（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云发改价〔2018〕446号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），建立了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天然气上下游价格联动机制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，当上游门站价格调整时，原则上应联动调整下游城市燃气企业天然气销售价格。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二、销售价格调整因素及主要内容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此次采暖季天然气销售价格调整涉及工业、商业、集体用气最高销售价格。由于上游供气企业上调了我市非居民用气门站价格，我委根据现行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天然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气上下游价格联动机制相应上调经城市燃气企业转供的工业、商业、集体用气最高销售价格，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使用万云线天然气供区，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由现行每立方米3.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171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3.669元分别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调整为3.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405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3.903元；非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万云线天然气供区（不含佳兴公司），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由现行每立方米3.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061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woUserID w:val="1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  <w:woUserID w:val="1"/>
        </w:rPr>
        <w:t>559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woUserID w:val="1"/>
        </w:rPr>
        <w:t>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分别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调整为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  <w:woUserID w:val="1"/>
        </w:rPr>
        <w:t>3.295元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3.793元。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为有效统筹天然气价格调整与相关行业平稳协调发展，CNG原料气和车用CNG最高销售价格暂不调整，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使用万云线天然气供区，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分别按现行每立方米2.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686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元和每立方米3.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796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元（按质量计算为每公斤5.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非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万云线天然气供区（不含佳兴公司），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分别按现行每立方米2.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576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元和每立方米3.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woUserID w:val="1"/>
        </w:rPr>
        <w:t>6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元（按质量计算为每公斤5.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三、执行时间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以上采暖季非居民用气最高销售价格自2024年11月1日起执行。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汉仪仿宋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汉仪楷体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30940"/>
    <w:rsid w:val="0D146881"/>
    <w:rsid w:val="23830940"/>
    <w:rsid w:val="2FEC88D7"/>
    <w:rsid w:val="EF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0</TotalTime>
  <ScaleCrop>false</ScaleCrop>
  <LinksUpToDate>false</LinksUpToDate>
  <CharactersWithSpaces>0</CharactersWithSpaces>
  <Application>WWO_openplatform_20210902171309-902389ccc8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2024-12-31T10:11:00Z</dcterms:created>
  <dc:creator>Administrator</dc:creator>
  <cp:lastModifiedBy>Administrator</cp:lastModifiedBy>
  <dcterms:modified xsi:type="dcterms:W3CDTF">2025-01-07T16:53:01Z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CD25B21E168049E3A6BB874FE8F21D2C_11</vt:lpwstr>
  </property>
  <property fmtid="{D5CDD505-2E9C-101B-9397-08002B2CF9AE}" pid="4" name="KSOTemplateDocerSaveRecord">
    <vt:lpwstr>eyJoZGlkIjoiY2VmMmVlN2Y5NTgwY2YyMTkwNjVlZjQwNmRhMDI5ODIifQ==</vt:lpwstr>
  </property>
</Properties>
</file>